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舒城县再生资源回收网点建设规范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一、建设规范的</w:t>
      </w:r>
      <w:r>
        <w:rPr>
          <w:rFonts w:hint="eastAsia" w:ascii="黑体" w:hAnsi="黑体" w:eastAsia="黑体" w:cs="黑体"/>
          <w:sz w:val="32"/>
          <w:szCs w:val="32"/>
        </w:rPr>
        <w:t>范围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和定义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规定了再生资源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的性质、功能、设立原则、建设标准和经营管理要求。适用于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县域范围内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再生资源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的建设和经营管理活动。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2、定义：</w:t>
      </w:r>
      <w:r>
        <w:rPr>
          <w:rFonts w:hint="eastAsia" w:ascii="仿宋_GB2312" w:hAnsi="仿宋_GB2312" w:eastAsia="仿宋_GB2312" w:cs="仿宋_GB2312"/>
          <w:sz w:val="32"/>
          <w:szCs w:val="32"/>
        </w:rPr>
        <w:t>再生资源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</w:rPr>
        <w:t>在社会生产和生活消费过程中产生的，已经失去原有全部或部分使用价值，经过回收、加工处理，能够使其重新获得使用价值的各种废弃物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。包括废旧金属、报废电子产品、报废机电设备及其零部件、废造纸原料（如废纸、废棉等）、废轻化工原料（如橡胶、塑料、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泡沫、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动物杂骨、毛发等）、玻璃类。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有毒有害废品包括废手机、废电池、废油漆、废电瓶、废电灯泡、废机油壶、废农药瓶、废电器线路板。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二、回收网点建设标准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的选址、布局、规模和建设要与当地经济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、城建交通、环保市容协调发展。按照“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便民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垃圾减量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”的原则，采用现代流通方式，改造和建设统一、规范的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回收网点建设标准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提倡“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统一、一规范”，即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统一规划、统一标识、统一价格、统一计量、统一车辆、统一管理和规范经营。</w:t>
      </w:r>
    </w:p>
    <w:p>
      <w:pPr>
        <w:numPr>
          <w:ilvl w:val="0"/>
          <w:numId w:val="1"/>
        </w:numPr>
        <w:ind w:firstLine="6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统一规划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每个乡镇建立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1-2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座、城区内每个社区建立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座规范化收购网点。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应符合工商行政管理登记条件并经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同意方可设立。乡镇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室内外面积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平方，包含堆放废旧物资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室内场所不少于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兑换超市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平方。</w:t>
      </w:r>
    </w:p>
    <w:p>
      <w:pPr>
        <w:numPr>
          <w:ilvl w:val="0"/>
          <w:numId w:val="1"/>
        </w:numPr>
        <w:ind w:left="0" w:leftChars="0" w:firstLine="651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统一标识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回收网点店铺门头及内饰统一装饰，悬挂统一标识。室内</w:t>
      </w:r>
      <w:r>
        <w:rPr>
          <w:rFonts w:hint="eastAsia" w:ascii="仿宋_GB2312" w:hAnsi="仿宋_GB2312" w:eastAsia="仿宋_GB2312" w:cs="仿宋_GB2312"/>
          <w:sz w:val="32"/>
          <w:szCs w:val="32"/>
        </w:rPr>
        <w:t>悬挂相关证照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设有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再生资源知识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51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统一价格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回收废品明码标价，现金或等价兑换券现场支付。兑换超市商品需从正规渠道购进，商品明码标价，保证质量，实行三包。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统一计量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配备统一的检验合格的衡器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并按规定定期送检。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sz w:val="32"/>
          <w:szCs w:val="32"/>
        </w:rPr>
        <w:t>统一车辆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运输车应采用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封闭型车辆，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统一标识和编号，应当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遵照</w:t>
      </w:r>
      <w:r>
        <w:rPr>
          <w:rFonts w:hint="eastAsia" w:ascii="仿宋_GB2312" w:hAnsi="仿宋_GB2312" w:eastAsia="仿宋_GB2312" w:cs="仿宋_GB2312"/>
          <w:sz w:val="32"/>
          <w:szCs w:val="32"/>
        </w:rPr>
        <w:t>当地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政府和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公安交通管理部门规定的路线和时间行驶。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sz w:val="32"/>
          <w:szCs w:val="32"/>
        </w:rPr>
        <w:t>统一管理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分拣中心场地设有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大废旧物资回收区域及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危险废物储存间</w:t>
      </w:r>
      <w:r>
        <w:rPr>
          <w:rFonts w:hint="eastAsia" w:ascii="仿宋_GB2312" w:hAnsi="仿宋_GB2312" w:eastAsia="仿宋_GB2312" w:cs="仿宋_GB2312"/>
          <w:sz w:val="32"/>
          <w:szCs w:val="32"/>
        </w:rPr>
        <w:t>。所有废旧物资不允许露天堆放，按商品储运要求堆放整齐，单个品类废旧物资达到一定储量及时清运，保证场地整洁。严禁在固定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进行任何焚烧作业。设危弃物储藏间，用于集中堆放危弃物，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危险废物储存间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防止泄漏，设排风扇，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定时排风</w:t>
      </w:r>
      <w:r>
        <w:rPr>
          <w:rFonts w:hint="eastAsia" w:ascii="仿宋_GB2312" w:hAnsi="仿宋_GB2312" w:eastAsia="仿宋_GB2312" w:cs="仿宋_GB2312"/>
          <w:sz w:val="32"/>
          <w:szCs w:val="32"/>
        </w:rPr>
        <w:t>循环室内空气。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回收网点建设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应符合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环保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、市容等要求，交通便利、不扰民。符合消防安全管理规定，按要求配置相应消防器材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应保证回收站再生资源能及时运出，避免造成新的环境污染和火灾隐患。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规范经营：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回收站点人员实现挂牌上岗，定期开展业务培训，规范、礼貌服务。发生纠纷，耐心解答，不激化矛盾。张贴投诉举报电话，解答客服投诉。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D948E0"/>
    <w:multiLevelType w:val="singleLevel"/>
    <w:tmpl w:val="C0D948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5697C"/>
    <w:rsid w:val="0422145E"/>
    <w:rsid w:val="0A15697C"/>
    <w:rsid w:val="15CF73E4"/>
    <w:rsid w:val="161A04C0"/>
    <w:rsid w:val="1CF52762"/>
    <w:rsid w:val="2A9778EB"/>
    <w:rsid w:val="31734ADF"/>
    <w:rsid w:val="350A43D4"/>
    <w:rsid w:val="35212B89"/>
    <w:rsid w:val="37B26761"/>
    <w:rsid w:val="4832235B"/>
    <w:rsid w:val="494965AA"/>
    <w:rsid w:val="584F0BC1"/>
    <w:rsid w:val="5A0D774C"/>
    <w:rsid w:val="5EF7143E"/>
    <w:rsid w:val="5F072016"/>
    <w:rsid w:val="63EE6D53"/>
    <w:rsid w:val="66432C9F"/>
    <w:rsid w:val="6DAA50ED"/>
    <w:rsid w:val="6F70669A"/>
    <w:rsid w:val="70B26D4D"/>
    <w:rsid w:val="72157D35"/>
    <w:rsid w:val="73B33593"/>
    <w:rsid w:val="7B06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2020-11-26T05:28:00Z</dcterms:created>
  <dc:creator>Administrator</dc:creator>
  <cp:lastModifiedBy>Administrator</cp:lastModifiedBy>
  <dcterms:modified xsi:type="dcterms:W3CDTF">2020-11-26T07:32:56Z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