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2F" w:rsidRDefault="005700EB">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 xml:space="preserve">  </w:t>
      </w:r>
      <w:r w:rsidR="00207A6C">
        <w:rPr>
          <w:rFonts w:asciiTheme="majorEastAsia" w:eastAsiaTheme="majorEastAsia" w:hAnsiTheme="majorEastAsia" w:cstheme="majorEastAsia" w:hint="eastAsia"/>
          <w:sz w:val="44"/>
          <w:szCs w:val="44"/>
        </w:rPr>
        <w:t>舒城县2020年度城乡困难群体法律援助</w:t>
      </w:r>
    </w:p>
    <w:p w:rsidR="0015252F" w:rsidRDefault="00207A6C">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民生工程绩效评价自评报告</w:t>
      </w:r>
    </w:p>
    <w:p w:rsidR="0015252F" w:rsidRDefault="00207A6C">
      <w:pPr>
        <w:ind w:firstLineChars="200" w:firstLine="640"/>
        <w:rPr>
          <w:rFonts w:ascii="仿宋" w:eastAsia="仿宋" w:hAnsi="仿宋" w:cs="仿宋"/>
          <w:sz w:val="32"/>
          <w:szCs w:val="32"/>
        </w:rPr>
      </w:pPr>
      <w:r>
        <w:rPr>
          <w:rFonts w:ascii="仿宋" w:eastAsia="仿宋" w:hAnsi="仿宋" w:cs="仿宋" w:hint="eastAsia"/>
          <w:sz w:val="32"/>
          <w:szCs w:val="32"/>
        </w:rPr>
        <w:t>舒城县司法局对照《安徽省2020年度城乡困难群体法律援助民生工程绩效评价指标》进行自评，满分100分，自评得分100分。</w:t>
      </w:r>
    </w:p>
    <w:p w:rsidR="0015252F" w:rsidRDefault="00207A6C">
      <w:pPr>
        <w:ind w:firstLineChars="200" w:firstLine="723"/>
        <w:rPr>
          <w:rFonts w:ascii="仿宋" w:eastAsia="仿宋" w:hAnsi="仿宋" w:cs="仿宋"/>
          <w:b/>
          <w:bCs/>
          <w:sz w:val="36"/>
          <w:szCs w:val="36"/>
        </w:rPr>
      </w:pPr>
      <w:r>
        <w:rPr>
          <w:rFonts w:ascii="仿宋" w:eastAsia="仿宋" w:hAnsi="仿宋" w:cs="仿宋" w:hint="eastAsia"/>
          <w:b/>
          <w:bCs/>
          <w:sz w:val="36"/>
          <w:szCs w:val="36"/>
        </w:rPr>
        <w:t>一、投入。（满分20分，自评得分20分）</w:t>
      </w:r>
    </w:p>
    <w:p w:rsidR="0015252F" w:rsidRDefault="00207A6C">
      <w:pPr>
        <w:numPr>
          <w:ilvl w:val="0"/>
          <w:numId w:val="1"/>
        </w:numPr>
        <w:rPr>
          <w:rFonts w:ascii="仿宋" w:eastAsia="仿宋" w:hAnsi="仿宋" w:cs="仿宋"/>
          <w:b/>
          <w:bCs/>
          <w:sz w:val="32"/>
          <w:szCs w:val="32"/>
        </w:rPr>
      </w:pPr>
      <w:r>
        <w:rPr>
          <w:rFonts w:ascii="仿宋" w:eastAsia="仿宋" w:hAnsi="仿宋" w:cs="仿宋" w:hint="eastAsia"/>
          <w:b/>
          <w:bCs/>
          <w:sz w:val="32"/>
          <w:szCs w:val="32"/>
        </w:rPr>
        <w:t>项目立项。(满分12分，自评得分12分）</w:t>
      </w:r>
    </w:p>
    <w:p w:rsidR="0015252F" w:rsidRDefault="00207A6C">
      <w:pPr>
        <w:ind w:firstLineChars="200" w:firstLine="640"/>
        <w:rPr>
          <w:rFonts w:ascii="仿宋" w:eastAsia="仿宋" w:hAnsi="仿宋" w:cs="仿宋"/>
          <w:sz w:val="32"/>
          <w:szCs w:val="32"/>
        </w:rPr>
      </w:pPr>
      <w:r>
        <w:rPr>
          <w:rFonts w:ascii="仿宋" w:eastAsia="仿宋" w:hAnsi="仿宋" w:cs="仿宋" w:hint="eastAsia"/>
          <w:sz w:val="32"/>
          <w:szCs w:val="32"/>
        </w:rPr>
        <w:t>1、绩效目标合理性。绩效目标符合国家相关法律法规、国民经济发展规划和党委政府决策和我县法律援助工作实际。2020年度，法律援助工作纳入舒城县33项民生工程之一，并纳入县政府重点工作。</w:t>
      </w:r>
    </w:p>
    <w:p w:rsidR="0015252F" w:rsidRDefault="00207A6C">
      <w:pPr>
        <w:rPr>
          <w:rFonts w:ascii="仿宋" w:eastAsia="仿宋" w:hAnsi="仿宋" w:cs="仿宋"/>
          <w:sz w:val="32"/>
          <w:szCs w:val="32"/>
        </w:rPr>
      </w:pPr>
      <w:r>
        <w:rPr>
          <w:rFonts w:ascii="仿宋" w:eastAsia="仿宋" w:hAnsi="仿宋" w:cs="仿宋" w:hint="eastAsia"/>
          <w:sz w:val="32"/>
          <w:szCs w:val="32"/>
        </w:rPr>
        <w:t xml:space="preserve">   绩效目标预期案件数量和质量达到规定要求。全年目标任务964件，截止11月30日，实际办理1029件，任务完成率106.74%。</w:t>
      </w:r>
    </w:p>
    <w:p w:rsidR="0015252F" w:rsidRDefault="00207A6C">
      <w:pPr>
        <w:ind w:firstLineChars="200" w:firstLine="640"/>
        <w:rPr>
          <w:rFonts w:ascii="仿宋" w:eastAsia="仿宋" w:hAnsi="仿宋" w:cs="仿宋"/>
          <w:sz w:val="32"/>
          <w:szCs w:val="32"/>
        </w:rPr>
      </w:pPr>
      <w:r>
        <w:rPr>
          <w:rFonts w:ascii="仿宋" w:eastAsia="仿宋" w:hAnsi="仿宋" w:cs="仿宋" w:hint="eastAsia"/>
          <w:sz w:val="32"/>
          <w:szCs w:val="32"/>
        </w:rPr>
        <w:t>2、绩效指标明确性。项目绩效目标细化、分解为具体绩效指标，联合县财政局印发《2020年度舒城县城乡困难群体法律援助民生工程实施办法》，科学分解任务到各法律服务机构；将法律援助考评纳入全县综治考核，并对各法律服务机构进行考评。</w:t>
      </w:r>
    </w:p>
    <w:p w:rsidR="0015252F" w:rsidRDefault="00207A6C">
      <w:pPr>
        <w:numPr>
          <w:ilvl w:val="0"/>
          <w:numId w:val="1"/>
        </w:numPr>
        <w:rPr>
          <w:rFonts w:ascii="仿宋" w:eastAsia="仿宋" w:hAnsi="仿宋" w:cs="仿宋"/>
          <w:b/>
          <w:bCs/>
          <w:sz w:val="32"/>
          <w:szCs w:val="32"/>
        </w:rPr>
      </w:pPr>
      <w:r>
        <w:rPr>
          <w:rFonts w:ascii="仿宋" w:eastAsia="仿宋" w:hAnsi="仿宋" w:cs="仿宋" w:hint="eastAsia"/>
          <w:b/>
          <w:bCs/>
          <w:sz w:val="32"/>
          <w:szCs w:val="32"/>
        </w:rPr>
        <w:t>资金落实。（满分8分，自评得分8分）</w:t>
      </w:r>
    </w:p>
    <w:p w:rsidR="0015252F" w:rsidRDefault="00207A6C">
      <w:pPr>
        <w:ind w:firstLineChars="200" w:firstLine="640"/>
        <w:rPr>
          <w:rFonts w:ascii="仿宋" w:eastAsia="仿宋" w:hAnsi="仿宋" w:cs="仿宋"/>
          <w:sz w:val="32"/>
          <w:szCs w:val="32"/>
        </w:rPr>
      </w:pPr>
      <w:r>
        <w:rPr>
          <w:rFonts w:ascii="仿宋" w:eastAsia="仿宋" w:hAnsi="仿宋" w:cs="仿宋" w:hint="eastAsia"/>
          <w:sz w:val="32"/>
          <w:szCs w:val="32"/>
        </w:rPr>
        <w:t>舒城县政府严格按照规定拨付，配套法律援助经费。2020年度案件任务数964件，已拨付到位资金108万元，财</w:t>
      </w:r>
      <w:r>
        <w:rPr>
          <w:rFonts w:ascii="仿宋" w:eastAsia="仿宋" w:hAnsi="仿宋" w:cs="仿宋" w:hint="eastAsia"/>
          <w:sz w:val="32"/>
          <w:szCs w:val="32"/>
        </w:rPr>
        <w:lastRenderedPageBreak/>
        <w:t>政资金到位率100%。同时法律援助经费列入同级财政预算，实行经费科目单列，单独核算，专款专用。</w:t>
      </w:r>
    </w:p>
    <w:p w:rsidR="0015252F" w:rsidRDefault="00207A6C">
      <w:pPr>
        <w:ind w:firstLineChars="200" w:firstLine="723"/>
        <w:rPr>
          <w:rFonts w:ascii="仿宋" w:eastAsia="仿宋" w:hAnsi="仿宋" w:cs="仿宋"/>
          <w:b/>
          <w:bCs/>
          <w:sz w:val="36"/>
          <w:szCs w:val="36"/>
        </w:rPr>
      </w:pPr>
      <w:r>
        <w:rPr>
          <w:rFonts w:ascii="仿宋" w:eastAsia="仿宋" w:hAnsi="仿宋" w:cs="仿宋" w:hint="eastAsia"/>
          <w:b/>
          <w:bCs/>
          <w:sz w:val="36"/>
          <w:szCs w:val="36"/>
        </w:rPr>
        <w:t>二、过程。（满分24分，自评得分24分）</w:t>
      </w:r>
    </w:p>
    <w:p w:rsidR="0015252F" w:rsidRDefault="00207A6C">
      <w:pPr>
        <w:numPr>
          <w:ilvl w:val="0"/>
          <w:numId w:val="2"/>
        </w:numPr>
        <w:rPr>
          <w:rFonts w:ascii="仿宋" w:eastAsia="仿宋" w:hAnsi="仿宋" w:cs="仿宋"/>
          <w:b/>
          <w:bCs/>
          <w:sz w:val="32"/>
          <w:szCs w:val="32"/>
        </w:rPr>
      </w:pPr>
      <w:r>
        <w:rPr>
          <w:rFonts w:ascii="仿宋" w:eastAsia="仿宋" w:hAnsi="仿宋" w:cs="仿宋" w:hint="eastAsia"/>
          <w:b/>
          <w:bCs/>
          <w:sz w:val="32"/>
          <w:szCs w:val="32"/>
        </w:rPr>
        <w:t>便民服务。（满分9分，自评得分9分）</w:t>
      </w:r>
    </w:p>
    <w:p w:rsidR="0015252F" w:rsidRDefault="00207A6C">
      <w:pPr>
        <w:ind w:firstLineChars="200" w:firstLine="640"/>
        <w:rPr>
          <w:rFonts w:ascii="仿宋" w:eastAsia="仿宋" w:hAnsi="仿宋" w:cs="仿宋"/>
          <w:sz w:val="32"/>
          <w:szCs w:val="32"/>
        </w:rPr>
      </w:pPr>
      <w:r>
        <w:rPr>
          <w:rFonts w:ascii="仿宋" w:eastAsia="仿宋" w:hAnsi="仿宋" w:cs="仿宋" w:hint="eastAsia"/>
          <w:sz w:val="32"/>
          <w:szCs w:val="32"/>
        </w:rPr>
        <w:t>1、信息化应用。法律援助管理平台信息系统内案件结案、归档、补贴发放与实际案件流程同步，案件实时录入率100%，及时完整上传附件，系统案件结案、归档、补贴发放与纸质同步；及时完整上传附件（上传附件包括：民事和行政案件中受援人身份证明、经济困难证明、法律文书、代理词、结案报告等；刑事案件中受援人身份证明、困难证明、公检法机关通知文书、起诉书、判决书、辩护词、结案报告等）。</w:t>
      </w:r>
    </w:p>
    <w:p w:rsidR="0015252F" w:rsidRDefault="00207A6C">
      <w:pPr>
        <w:ind w:firstLineChars="200" w:firstLine="640"/>
        <w:rPr>
          <w:rFonts w:ascii="仿宋" w:eastAsia="仿宋" w:hAnsi="仿宋" w:cs="仿宋"/>
          <w:sz w:val="32"/>
          <w:szCs w:val="32"/>
        </w:rPr>
      </w:pPr>
      <w:r>
        <w:rPr>
          <w:rFonts w:ascii="仿宋" w:eastAsia="仿宋" w:hAnsi="仿宋" w:cs="仿宋" w:hint="eastAsia"/>
          <w:sz w:val="32"/>
          <w:szCs w:val="32"/>
        </w:rPr>
        <w:t>2、工作站点。检察院、法院、看守所法律援助工作站建设全覆盖，并有相对独立办公区域和醒目标识。年初对值班律师进行提前排班并告知，值班时建立专门独立的值班日志并拍摄图片作为佐证。</w:t>
      </w:r>
    </w:p>
    <w:p w:rsidR="0015252F" w:rsidRDefault="00207A6C">
      <w:pPr>
        <w:rPr>
          <w:rFonts w:ascii="仿宋" w:eastAsia="仿宋" w:hAnsi="仿宋" w:cs="仿宋"/>
          <w:b/>
          <w:bCs/>
          <w:sz w:val="32"/>
          <w:szCs w:val="32"/>
        </w:rPr>
      </w:pPr>
      <w:r>
        <w:rPr>
          <w:rFonts w:ascii="仿宋" w:eastAsia="仿宋" w:hAnsi="仿宋" w:cs="仿宋" w:hint="eastAsia"/>
          <w:b/>
          <w:bCs/>
          <w:sz w:val="32"/>
          <w:szCs w:val="32"/>
        </w:rPr>
        <w:t>（二）组织协调。（满分7分，自评得分7分）</w:t>
      </w:r>
    </w:p>
    <w:p w:rsidR="0015252F" w:rsidRDefault="00207A6C">
      <w:pPr>
        <w:ind w:firstLineChars="200" w:firstLine="640"/>
        <w:rPr>
          <w:rFonts w:ascii="仿宋" w:eastAsia="仿宋" w:hAnsi="仿宋" w:cs="仿宋"/>
          <w:sz w:val="32"/>
          <w:szCs w:val="32"/>
        </w:rPr>
      </w:pPr>
      <w:r>
        <w:rPr>
          <w:rFonts w:ascii="仿宋" w:eastAsia="仿宋" w:hAnsi="仿宋" w:cs="仿宋" w:hint="eastAsia"/>
          <w:sz w:val="32"/>
          <w:szCs w:val="32"/>
        </w:rPr>
        <w:t>1、行业协作。联合公安、检察院、法院等部门制定并出台《舒城县关于加强刑事法律援助工作的规定》，与公安、检察院、法院等部门建立联席会议制度，组织召开了全县刑事法律援助联席会议。今年联席会议月11月17日在县法院召开。</w:t>
      </w:r>
    </w:p>
    <w:p w:rsidR="0015252F" w:rsidRDefault="00207A6C">
      <w:pPr>
        <w:ind w:firstLineChars="200" w:firstLine="640"/>
        <w:rPr>
          <w:rFonts w:ascii="仿宋" w:eastAsia="仿宋" w:hAnsi="仿宋" w:cs="仿宋"/>
          <w:sz w:val="32"/>
          <w:szCs w:val="32"/>
        </w:rPr>
      </w:pPr>
      <w:r>
        <w:rPr>
          <w:rFonts w:ascii="仿宋" w:eastAsia="仿宋" w:hAnsi="仿宋" w:cs="仿宋" w:hint="eastAsia"/>
          <w:sz w:val="32"/>
          <w:szCs w:val="32"/>
        </w:rPr>
        <w:lastRenderedPageBreak/>
        <w:t>2、品牌建设。</w:t>
      </w:r>
      <w:r>
        <w:rPr>
          <w:rFonts w:ascii="仿宋" w:eastAsia="仿宋" w:hAnsi="仿宋" w:cs="仿宋" w:hint="eastAsia"/>
          <w:sz w:val="32"/>
          <w:szCs w:val="32"/>
          <w:lang w:val="zh-CN"/>
        </w:rPr>
        <w:t>结合实际，</w:t>
      </w:r>
      <w:r>
        <w:rPr>
          <w:rFonts w:ascii="仿宋" w:eastAsia="仿宋" w:hAnsi="仿宋" w:cs="仿宋" w:hint="eastAsia"/>
          <w:sz w:val="32"/>
          <w:szCs w:val="32"/>
        </w:rPr>
        <w:t>持续开展“法援惠民生助力农民工”、“法援惠民生关爱残疾人”、“法援惠民生扶贫奔小康”、“法援惠民生关爱未成年人”等法律援助特色亮点工作品牌化建设，把“人无我有”、“人有我优”的亮点打造为精品，打造成可推广可复制的品牌。</w:t>
      </w:r>
    </w:p>
    <w:p w:rsidR="0015252F" w:rsidRDefault="00207A6C">
      <w:pPr>
        <w:rPr>
          <w:rFonts w:ascii="仿宋" w:eastAsia="仿宋" w:hAnsi="仿宋" w:cs="仿宋"/>
          <w:b/>
          <w:bCs/>
          <w:sz w:val="32"/>
          <w:szCs w:val="32"/>
        </w:rPr>
      </w:pPr>
      <w:r>
        <w:rPr>
          <w:rFonts w:ascii="仿宋" w:eastAsia="仿宋" w:hAnsi="仿宋" w:cs="仿宋" w:hint="eastAsia"/>
          <w:b/>
          <w:bCs/>
          <w:sz w:val="32"/>
          <w:szCs w:val="32"/>
        </w:rPr>
        <w:t>（三）宣传培训。（满分8分，自评得分8分）</w:t>
      </w:r>
    </w:p>
    <w:p w:rsidR="0015252F" w:rsidRDefault="00207A6C">
      <w:pPr>
        <w:ind w:firstLineChars="200" w:firstLine="640"/>
        <w:rPr>
          <w:rFonts w:ascii="仿宋" w:eastAsia="仿宋" w:hAnsi="仿宋" w:cs="仿宋"/>
          <w:sz w:val="32"/>
          <w:szCs w:val="32"/>
        </w:rPr>
      </w:pPr>
      <w:r>
        <w:rPr>
          <w:rFonts w:ascii="仿宋" w:eastAsia="仿宋" w:hAnsi="仿宋" w:cs="仿宋" w:hint="eastAsia"/>
          <w:sz w:val="32"/>
          <w:szCs w:val="32"/>
        </w:rPr>
        <w:t>1、活动开展。元月2日，开展了“法援惠民生助力农民工”专题宣传活动；5月20日，组织志愿律师开展“法治体检”活动；5月29日，走进《政风行风在线》直播间，专题开展法律援助民生工程宣传；8月21日，联合残联开展“法援惠民生关爱残疾人”专项宣传活动；10月份开展民生工程上街头宣传活动；12月4日，开展“法援惠民生扶贫奔小康宣传”活动。9月27日，组织开展案例撰写培训班；9月25日，组织开展法律援助志愿者培训班；11月9日，中心人员开展集中学习培训。</w:t>
      </w:r>
    </w:p>
    <w:p w:rsidR="0015252F" w:rsidRDefault="00207A6C">
      <w:pPr>
        <w:ind w:firstLineChars="200" w:firstLine="640"/>
        <w:rPr>
          <w:rFonts w:ascii="仿宋" w:eastAsia="仿宋" w:hAnsi="仿宋" w:cs="仿宋"/>
          <w:sz w:val="32"/>
          <w:szCs w:val="32"/>
        </w:rPr>
      </w:pPr>
      <w:r>
        <w:rPr>
          <w:rFonts w:ascii="仿宋" w:eastAsia="仿宋" w:hAnsi="仿宋" w:cs="仿宋" w:hint="eastAsia"/>
          <w:sz w:val="32"/>
          <w:szCs w:val="32"/>
        </w:rPr>
        <w:t>2、案例信息报送。有2篇案例入选2020年度全市十佳法律援助案例；全年被省厅采用信息18篇。制作法律援助宣传动漫片。</w:t>
      </w:r>
    </w:p>
    <w:p w:rsidR="0015252F" w:rsidRDefault="00207A6C">
      <w:pPr>
        <w:rPr>
          <w:rFonts w:ascii="仿宋" w:eastAsia="仿宋" w:hAnsi="仿宋" w:cs="仿宋"/>
          <w:b/>
          <w:bCs/>
          <w:sz w:val="36"/>
          <w:szCs w:val="36"/>
        </w:rPr>
      </w:pPr>
      <w:r>
        <w:rPr>
          <w:rFonts w:ascii="仿宋" w:eastAsia="仿宋" w:hAnsi="仿宋" w:cs="仿宋" w:hint="eastAsia"/>
          <w:b/>
          <w:bCs/>
          <w:sz w:val="36"/>
          <w:szCs w:val="36"/>
        </w:rPr>
        <w:t>三、产出。（满分43分，自评得分43分）</w:t>
      </w:r>
    </w:p>
    <w:p w:rsidR="0015252F" w:rsidRDefault="00207A6C">
      <w:pPr>
        <w:numPr>
          <w:ilvl w:val="0"/>
          <w:numId w:val="3"/>
        </w:numPr>
        <w:rPr>
          <w:rFonts w:ascii="仿宋" w:eastAsia="仿宋" w:hAnsi="仿宋" w:cs="仿宋"/>
          <w:b/>
          <w:bCs/>
          <w:sz w:val="32"/>
          <w:szCs w:val="32"/>
        </w:rPr>
      </w:pPr>
      <w:r>
        <w:rPr>
          <w:rFonts w:ascii="仿宋" w:eastAsia="仿宋" w:hAnsi="仿宋" w:cs="仿宋" w:hint="eastAsia"/>
          <w:b/>
          <w:bCs/>
          <w:sz w:val="32"/>
          <w:szCs w:val="32"/>
        </w:rPr>
        <w:t>案件进度。（满分7分，自评得分7分）</w:t>
      </w:r>
    </w:p>
    <w:p w:rsidR="0015252F" w:rsidRDefault="00207A6C">
      <w:pPr>
        <w:ind w:firstLineChars="200" w:firstLine="640"/>
        <w:rPr>
          <w:rFonts w:ascii="仿宋" w:eastAsia="仿宋" w:hAnsi="仿宋" w:cs="仿宋"/>
          <w:sz w:val="32"/>
          <w:szCs w:val="32"/>
        </w:rPr>
      </w:pPr>
      <w:r>
        <w:rPr>
          <w:rFonts w:ascii="仿宋" w:eastAsia="仿宋" w:hAnsi="仿宋" w:cs="仿宋" w:hint="eastAsia"/>
          <w:sz w:val="32"/>
          <w:szCs w:val="32"/>
        </w:rPr>
        <w:t>结案率。审批案件1029件，办结873件，结案率84.84%。</w:t>
      </w:r>
    </w:p>
    <w:p w:rsidR="0015252F" w:rsidRDefault="00207A6C">
      <w:pPr>
        <w:numPr>
          <w:ilvl w:val="0"/>
          <w:numId w:val="3"/>
        </w:numPr>
        <w:rPr>
          <w:rFonts w:ascii="仿宋" w:eastAsia="仿宋" w:hAnsi="仿宋" w:cs="仿宋"/>
          <w:b/>
          <w:bCs/>
          <w:sz w:val="32"/>
          <w:szCs w:val="32"/>
        </w:rPr>
      </w:pPr>
      <w:r>
        <w:rPr>
          <w:rFonts w:ascii="仿宋" w:eastAsia="仿宋" w:hAnsi="仿宋" w:cs="仿宋" w:hint="eastAsia"/>
          <w:b/>
          <w:bCs/>
          <w:sz w:val="32"/>
          <w:szCs w:val="32"/>
        </w:rPr>
        <w:t>案件结构。（满分6分，自评得分6分）</w:t>
      </w:r>
    </w:p>
    <w:p w:rsidR="0015252F" w:rsidRDefault="00207A6C">
      <w:pPr>
        <w:rPr>
          <w:rFonts w:ascii="仿宋" w:eastAsia="仿宋" w:hAnsi="仿宋" w:cs="仿宋"/>
          <w:sz w:val="32"/>
          <w:szCs w:val="32"/>
        </w:rPr>
      </w:pPr>
      <w:r>
        <w:rPr>
          <w:rFonts w:ascii="仿宋" w:eastAsia="仿宋" w:hAnsi="仿宋" w:cs="仿宋" w:hint="eastAsia"/>
          <w:sz w:val="32"/>
          <w:szCs w:val="32"/>
        </w:rPr>
        <w:lastRenderedPageBreak/>
        <w:t>结构比重。累计办结873件，执业律师办案747件，执业律师办案占比85.56%；办理诉讼类案件803件，诉讼类案件占比91.98%。</w:t>
      </w:r>
    </w:p>
    <w:p w:rsidR="0015252F" w:rsidRDefault="00207A6C">
      <w:pPr>
        <w:numPr>
          <w:ilvl w:val="0"/>
          <w:numId w:val="3"/>
        </w:numPr>
        <w:rPr>
          <w:rFonts w:ascii="仿宋" w:eastAsia="仿宋" w:hAnsi="仿宋" w:cs="仿宋"/>
          <w:b/>
          <w:bCs/>
          <w:sz w:val="32"/>
          <w:szCs w:val="32"/>
        </w:rPr>
      </w:pPr>
      <w:r>
        <w:rPr>
          <w:rFonts w:ascii="仿宋" w:eastAsia="仿宋" w:hAnsi="仿宋" w:cs="仿宋" w:hint="eastAsia"/>
          <w:b/>
          <w:bCs/>
          <w:sz w:val="32"/>
          <w:szCs w:val="32"/>
        </w:rPr>
        <w:t>案件质量。（满分20分，自评得分20分）</w:t>
      </w:r>
    </w:p>
    <w:p w:rsidR="0015252F" w:rsidRDefault="00207A6C">
      <w:pPr>
        <w:ind w:firstLineChars="200" w:firstLine="640"/>
        <w:rPr>
          <w:rFonts w:ascii="仿宋" w:eastAsia="仿宋" w:hAnsi="仿宋" w:cs="仿宋"/>
          <w:sz w:val="32"/>
          <w:szCs w:val="32"/>
        </w:rPr>
      </w:pPr>
      <w:r>
        <w:rPr>
          <w:rFonts w:ascii="仿宋" w:eastAsia="仿宋" w:hAnsi="仿宋" w:cs="仿宋" w:hint="eastAsia"/>
          <w:sz w:val="32"/>
          <w:szCs w:val="32"/>
        </w:rPr>
        <w:t>1、案件监督。县法援中心组织对开庭审理的案件按照5%的比例开展旁听庭审，共计旁听</w:t>
      </w:r>
      <w:r w:rsidR="0094621B">
        <w:rPr>
          <w:rFonts w:ascii="仿宋" w:eastAsia="仿宋" w:hAnsi="仿宋" w:cs="仿宋" w:hint="eastAsia"/>
          <w:sz w:val="32"/>
          <w:szCs w:val="32"/>
        </w:rPr>
        <w:t>56</w:t>
      </w:r>
      <w:r>
        <w:rPr>
          <w:rFonts w:ascii="仿宋" w:eastAsia="仿宋" w:hAnsi="仿宋" w:cs="仿宋" w:hint="eastAsia"/>
          <w:sz w:val="32"/>
          <w:szCs w:val="32"/>
        </w:rPr>
        <w:t>件案件，并建立台账，对旁听庭审情况进行分析并形成分析报告；建立了案件回访制度和回访台账，民事案件回访全覆盖；建立满意度评价机制并开展评价，形成评价报告。</w:t>
      </w:r>
    </w:p>
    <w:p w:rsidR="0015252F" w:rsidRDefault="00207A6C">
      <w:pPr>
        <w:ind w:firstLineChars="200" w:firstLine="640"/>
        <w:rPr>
          <w:rFonts w:ascii="仿宋" w:eastAsia="仿宋" w:hAnsi="仿宋" w:cs="仿宋"/>
          <w:sz w:val="32"/>
          <w:szCs w:val="32"/>
        </w:rPr>
      </w:pPr>
      <w:r>
        <w:rPr>
          <w:rFonts w:ascii="仿宋" w:eastAsia="仿宋" w:hAnsi="仿宋" w:cs="仿宋" w:hint="eastAsia"/>
          <w:sz w:val="32"/>
          <w:szCs w:val="32"/>
        </w:rPr>
        <w:t>2、质量控制。12月17日，组织开展了案件卷宗同行互查互评，并对问题进行梳理，形成通报；本县案件在全市卷宗评查中良好以上比例达89%，合格比例占11%，无不合格卷宗；对本地区涉及法律援助意见建议的都及时处理，今年以来未发生法律援助案件有效投诉。</w:t>
      </w:r>
    </w:p>
    <w:p w:rsidR="0015252F" w:rsidRDefault="00207A6C">
      <w:pPr>
        <w:numPr>
          <w:ilvl w:val="0"/>
          <w:numId w:val="3"/>
        </w:numPr>
        <w:rPr>
          <w:rFonts w:ascii="仿宋" w:eastAsia="仿宋" w:hAnsi="仿宋" w:cs="仿宋"/>
          <w:b/>
          <w:bCs/>
          <w:sz w:val="32"/>
          <w:szCs w:val="32"/>
        </w:rPr>
      </w:pPr>
      <w:r>
        <w:rPr>
          <w:rFonts w:ascii="仿宋" w:eastAsia="仿宋" w:hAnsi="仿宋" w:cs="仿宋" w:hint="eastAsia"/>
          <w:b/>
          <w:bCs/>
          <w:sz w:val="32"/>
          <w:szCs w:val="32"/>
        </w:rPr>
        <w:t>资金监管。（满分10分，自评得分10分）</w:t>
      </w:r>
    </w:p>
    <w:p w:rsidR="0015252F" w:rsidRDefault="00207A6C">
      <w:pPr>
        <w:ind w:firstLineChars="200" w:firstLine="640"/>
        <w:rPr>
          <w:rFonts w:ascii="仿宋" w:eastAsia="仿宋" w:hAnsi="仿宋" w:cs="仿宋"/>
          <w:sz w:val="32"/>
          <w:szCs w:val="32"/>
        </w:rPr>
      </w:pPr>
      <w:r>
        <w:rPr>
          <w:rFonts w:ascii="仿宋" w:eastAsia="仿宋" w:hAnsi="仿宋" w:cs="仿宋" w:hint="eastAsia"/>
          <w:sz w:val="32"/>
          <w:szCs w:val="32"/>
        </w:rPr>
        <w:t>1、资金使用合规性。今年法律援助专项经费108万元，使用</w:t>
      </w:r>
      <w:r w:rsidR="0094621B">
        <w:rPr>
          <w:rFonts w:ascii="仿宋" w:eastAsia="仿宋" w:hAnsi="仿宋" w:cs="仿宋" w:hint="eastAsia"/>
          <w:sz w:val="32"/>
          <w:szCs w:val="32"/>
        </w:rPr>
        <w:t>108.4</w:t>
      </w:r>
      <w:r>
        <w:rPr>
          <w:rFonts w:ascii="仿宋" w:eastAsia="仿宋" w:hAnsi="仿宋" w:cs="仿宋" w:hint="eastAsia"/>
          <w:sz w:val="32"/>
          <w:szCs w:val="32"/>
        </w:rPr>
        <w:t>万元，使用率达</w:t>
      </w:r>
      <w:r w:rsidR="0094621B">
        <w:rPr>
          <w:rFonts w:ascii="仿宋" w:eastAsia="仿宋" w:hAnsi="仿宋" w:cs="仿宋" w:hint="eastAsia"/>
          <w:sz w:val="32"/>
          <w:szCs w:val="32"/>
        </w:rPr>
        <w:t>100.4%</w:t>
      </w:r>
      <w:r>
        <w:rPr>
          <w:rFonts w:ascii="仿宋" w:eastAsia="仿宋" w:hAnsi="仿宋" w:cs="仿宋" w:hint="eastAsia"/>
          <w:sz w:val="32"/>
          <w:szCs w:val="32"/>
        </w:rPr>
        <w:t>；法律援助经费支出符合法律援助经费使用规定。</w:t>
      </w:r>
    </w:p>
    <w:p w:rsidR="0015252F" w:rsidRDefault="00207A6C">
      <w:pPr>
        <w:ind w:firstLineChars="200" w:firstLine="640"/>
        <w:rPr>
          <w:rFonts w:ascii="仿宋" w:eastAsia="仿宋" w:hAnsi="仿宋" w:cs="仿宋"/>
          <w:sz w:val="32"/>
          <w:szCs w:val="32"/>
        </w:rPr>
      </w:pPr>
      <w:r>
        <w:rPr>
          <w:rFonts w:ascii="仿宋" w:eastAsia="仿宋" w:hAnsi="仿宋" w:cs="仿宋" w:hint="eastAsia"/>
          <w:sz w:val="32"/>
          <w:szCs w:val="32"/>
        </w:rPr>
        <w:t>2、财务监控有效性。法律援助经费单列科目、单设台账，收支明晰；法援中心按季度足额发放案件补贴，和县财政局联合制定《舒城县法律援助经费管理使用办法》；7月24日，市法律援助中心组织对舒城县法律援助经费开展专项</w:t>
      </w:r>
      <w:r>
        <w:rPr>
          <w:rFonts w:ascii="仿宋" w:eastAsia="仿宋" w:hAnsi="仿宋" w:cs="仿宋" w:hint="eastAsia"/>
          <w:sz w:val="32"/>
          <w:szCs w:val="32"/>
        </w:rPr>
        <w:lastRenderedPageBreak/>
        <w:t>检查并发放通报。</w:t>
      </w:r>
    </w:p>
    <w:p w:rsidR="0015252F" w:rsidRDefault="00207A6C">
      <w:pPr>
        <w:rPr>
          <w:rFonts w:ascii="仿宋" w:eastAsia="仿宋" w:hAnsi="仿宋" w:cs="仿宋"/>
          <w:b/>
          <w:bCs/>
          <w:sz w:val="36"/>
          <w:szCs w:val="36"/>
        </w:rPr>
      </w:pPr>
      <w:r>
        <w:rPr>
          <w:rFonts w:ascii="仿宋" w:eastAsia="仿宋" w:hAnsi="仿宋" w:cs="仿宋" w:hint="eastAsia"/>
          <w:b/>
          <w:bCs/>
          <w:sz w:val="36"/>
          <w:szCs w:val="36"/>
        </w:rPr>
        <w:t>四、效果。（满分13分，自评得分13分）</w:t>
      </w:r>
    </w:p>
    <w:p w:rsidR="0015252F" w:rsidRDefault="00207A6C">
      <w:pPr>
        <w:numPr>
          <w:ilvl w:val="0"/>
          <w:numId w:val="4"/>
        </w:numPr>
        <w:rPr>
          <w:rFonts w:ascii="仿宋" w:eastAsia="仿宋" w:hAnsi="仿宋" w:cs="仿宋"/>
          <w:b/>
          <w:bCs/>
          <w:sz w:val="32"/>
          <w:szCs w:val="32"/>
        </w:rPr>
      </w:pPr>
      <w:r>
        <w:rPr>
          <w:rFonts w:ascii="仿宋" w:eastAsia="仿宋" w:hAnsi="仿宋" w:cs="仿宋" w:hint="eastAsia"/>
          <w:b/>
          <w:bCs/>
          <w:sz w:val="32"/>
          <w:szCs w:val="32"/>
        </w:rPr>
        <w:t>项目效益。（满分5分，自评得分5分）</w:t>
      </w:r>
    </w:p>
    <w:p w:rsidR="0015252F" w:rsidRDefault="00207A6C">
      <w:pPr>
        <w:ind w:firstLineChars="200" w:firstLine="640"/>
        <w:rPr>
          <w:rFonts w:ascii="仿宋" w:eastAsia="仿宋" w:hAnsi="仿宋" w:cs="仿宋"/>
          <w:sz w:val="32"/>
          <w:szCs w:val="32"/>
        </w:rPr>
      </w:pPr>
      <w:r>
        <w:rPr>
          <w:rFonts w:ascii="仿宋" w:eastAsia="仿宋" w:hAnsi="仿宋" w:cs="仿宋" w:hint="eastAsia"/>
          <w:sz w:val="32"/>
          <w:szCs w:val="32"/>
        </w:rPr>
        <w:t>1、社会效益。严格落实《法律援助条例》《安徽省法律援助条例》和县级以上人民政府法律援助工作的相关规定，法律援助工作做到应援尽援、应援优援，受援人的合法权益得到有效保护，服务和保障民生效果显著。</w:t>
      </w:r>
    </w:p>
    <w:p w:rsidR="0015252F" w:rsidRDefault="00207A6C">
      <w:pPr>
        <w:ind w:firstLineChars="200" w:firstLine="640"/>
        <w:rPr>
          <w:rFonts w:ascii="仿宋" w:eastAsia="仿宋" w:hAnsi="仿宋" w:cs="仿宋"/>
          <w:sz w:val="32"/>
          <w:szCs w:val="32"/>
        </w:rPr>
      </w:pPr>
      <w:r>
        <w:rPr>
          <w:rFonts w:ascii="仿宋" w:eastAsia="仿宋" w:hAnsi="仿宋" w:cs="仿宋" w:hint="eastAsia"/>
          <w:sz w:val="32"/>
          <w:szCs w:val="32"/>
        </w:rPr>
        <w:t>2、可持续影响。扎实推进法律援助值班律师工作、法律援助参与刑事辩护律师全覆盖工作，覆盖率100%，促进社会公平正义明显。将“建档立卡的扶贫对象”等低收入人群列入法律援助对象范围，范围拓宽至低收入人群，惠及更多的困难人群。</w:t>
      </w:r>
    </w:p>
    <w:p w:rsidR="0015252F" w:rsidRDefault="00207A6C">
      <w:pPr>
        <w:numPr>
          <w:ilvl w:val="0"/>
          <w:numId w:val="4"/>
        </w:numPr>
        <w:rPr>
          <w:rFonts w:ascii="仿宋" w:eastAsia="仿宋" w:hAnsi="仿宋" w:cs="仿宋"/>
          <w:b/>
          <w:bCs/>
          <w:sz w:val="32"/>
          <w:szCs w:val="32"/>
        </w:rPr>
      </w:pPr>
      <w:r>
        <w:rPr>
          <w:rFonts w:ascii="仿宋" w:eastAsia="仿宋" w:hAnsi="仿宋" w:cs="仿宋" w:hint="eastAsia"/>
          <w:b/>
          <w:bCs/>
          <w:sz w:val="32"/>
          <w:szCs w:val="32"/>
        </w:rPr>
        <w:t>党委政府肯定和群众认可。（满分8分，自评得分8分）</w:t>
      </w:r>
    </w:p>
    <w:p w:rsidR="0015252F" w:rsidRDefault="00207A6C">
      <w:pPr>
        <w:ind w:firstLineChars="200" w:firstLine="640"/>
        <w:rPr>
          <w:rFonts w:ascii="仿宋" w:eastAsia="仿宋" w:hAnsi="仿宋" w:cs="仿宋"/>
          <w:sz w:val="32"/>
          <w:szCs w:val="32"/>
        </w:rPr>
      </w:pPr>
      <w:r>
        <w:rPr>
          <w:rFonts w:ascii="仿宋" w:eastAsia="仿宋" w:hAnsi="仿宋" w:cs="仿宋" w:hint="eastAsia"/>
          <w:sz w:val="32"/>
          <w:szCs w:val="32"/>
        </w:rPr>
        <w:t>1、党委政府肯定。2019年度全市法律援助民生工程考评“先进县区”；2019年度被县委县政府表彰为实施民生工程先进单位。法律援助民生工程组织实施过程中没有被本地区党委政府及民生办通报批评。</w:t>
      </w:r>
    </w:p>
    <w:p w:rsidR="0015252F" w:rsidRDefault="00207A6C">
      <w:pPr>
        <w:ind w:firstLineChars="200" w:firstLine="640"/>
        <w:rPr>
          <w:rFonts w:ascii="仿宋" w:eastAsia="仿宋" w:hAnsi="仿宋" w:cs="仿宋"/>
          <w:sz w:val="32"/>
          <w:szCs w:val="32"/>
        </w:rPr>
      </w:pPr>
      <w:bookmarkStart w:id="0" w:name="_GoBack"/>
      <w:bookmarkEnd w:id="0"/>
      <w:r>
        <w:rPr>
          <w:rFonts w:ascii="仿宋" w:eastAsia="仿宋" w:hAnsi="仿宋" w:cs="仿宋" w:hint="eastAsia"/>
          <w:sz w:val="32"/>
          <w:szCs w:val="32"/>
        </w:rPr>
        <w:t>2、社会满意度。县法律援助中心对办结的援助案件通过问卷调查、电话访问、现场走访等形式对社会公众和受益对象开展满意度调查，满意度100%，切实有效维护了受援人的合法权益。</w:t>
      </w:r>
    </w:p>
    <w:sectPr w:rsidR="0015252F" w:rsidSect="001525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EB8780"/>
    <w:multiLevelType w:val="singleLevel"/>
    <w:tmpl w:val="F3EB8780"/>
    <w:lvl w:ilvl="0">
      <w:start w:val="1"/>
      <w:numFmt w:val="chineseCounting"/>
      <w:suff w:val="nothing"/>
      <w:lvlText w:val="（%1）"/>
      <w:lvlJc w:val="left"/>
      <w:rPr>
        <w:rFonts w:hint="eastAsia"/>
      </w:rPr>
    </w:lvl>
  </w:abstractNum>
  <w:abstractNum w:abstractNumId="1">
    <w:nsid w:val="0A9D549B"/>
    <w:multiLevelType w:val="singleLevel"/>
    <w:tmpl w:val="0A9D549B"/>
    <w:lvl w:ilvl="0">
      <w:start w:val="1"/>
      <w:numFmt w:val="chineseCounting"/>
      <w:suff w:val="nothing"/>
      <w:lvlText w:val="（%1）"/>
      <w:lvlJc w:val="left"/>
      <w:rPr>
        <w:rFonts w:hint="eastAsia"/>
      </w:rPr>
    </w:lvl>
  </w:abstractNum>
  <w:abstractNum w:abstractNumId="2">
    <w:nsid w:val="155A59DF"/>
    <w:multiLevelType w:val="singleLevel"/>
    <w:tmpl w:val="155A59DF"/>
    <w:lvl w:ilvl="0">
      <w:start w:val="1"/>
      <w:numFmt w:val="chineseCounting"/>
      <w:suff w:val="nothing"/>
      <w:lvlText w:val="（%1）"/>
      <w:lvlJc w:val="left"/>
      <w:rPr>
        <w:rFonts w:hint="eastAsia"/>
      </w:rPr>
    </w:lvl>
  </w:abstractNum>
  <w:abstractNum w:abstractNumId="3">
    <w:nsid w:val="1AB436D5"/>
    <w:multiLevelType w:val="singleLevel"/>
    <w:tmpl w:val="1AB436D5"/>
    <w:lvl w:ilvl="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4261F27"/>
    <w:rsid w:val="0015252F"/>
    <w:rsid w:val="00207A6C"/>
    <w:rsid w:val="003876B1"/>
    <w:rsid w:val="005700EB"/>
    <w:rsid w:val="0094621B"/>
    <w:rsid w:val="00AD415D"/>
    <w:rsid w:val="00B30925"/>
    <w:rsid w:val="00BA3DA5"/>
    <w:rsid w:val="1874487C"/>
    <w:rsid w:val="44261F27"/>
    <w:rsid w:val="6FF67B62"/>
    <w:rsid w:val="75E1428D"/>
    <w:rsid w:val="7ED43D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25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2021-01-04T09:32:00Z</dcterms:created>
  <dcterms:modified xsi:type="dcterms:W3CDTF">2021-01-05T02:02:00Z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