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firstLineChars="0"/>
        <w:jc w:val="center"/>
        <w:rPr>
          <w:rFonts w:hint="eastAsia" w:ascii="仿宋_GB2312" w:hAnsi="Times New Roman" w:eastAsia="仿宋_GB2312" w:cs="Times New Roman"/>
          <w:sz w:val="32"/>
          <w:szCs w:val="24"/>
          <w:lang w:val="en-US" w:eastAsia="zh-CN"/>
        </w:rPr>
      </w:pPr>
      <w:bookmarkStart w:id="0" w:name="_GoBack"/>
      <w:bookmarkEnd w:id="0"/>
      <w:permStart w:id="0" w:edGrp="everyone"/>
      <w:permEnd w:id="0"/>
    </w:p>
    <w:p>
      <w:pPr>
        <w:spacing w:line="600" w:lineRule="exact"/>
        <w:ind w:firstLine="0" w:firstLineChars="0"/>
        <w:jc w:val="center"/>
        <w:rPr>
          <w:rFonts w:hint="eastAsia" w:ascii="仿宋_GB2312" w:hAnsi="Times New Roman" w:eastAsia="仿宋_GB2312" w:cs="Times New Roman"/>
          <w:sz w:val="32"/>
          <w:szCs w:val="24"/>
          <w:lang w:val="en-US" w:eastAsia="zh-CN"/>
        </w:rPr>
      </w:pPr>
    </w:p>
    <w:p>
      <w:pPr>
        <w:spacing w:line="600" w:lineRule="exact"/>
        <w:ind w:firstLine="0" w:firstLineChars="0"/>
        <w:jc w:val="center"/>
        <w:rPr>
          <w:rFonts w:hint="eastAsia" w:ascii="仿宋_GB2312" w:hAnsi="Times New Roman" w:eastAsia="仿宋_GB2312" w:cs="Times New Roman"/>
          <w:sz w:val="32"/>
          <w:szCs w:val="24"/>
          <w:lang w:val="en-US" w:eastAsia="zh-CN"/>
        </w:rPr>
      </w:pPr>
    </w:p>
    <w:p>
      <w:pPr>
        <w:spacing w:line="600" w:lineRule="exact"/>
        <w:ind w:firstLine="0" w:firstLineChars="0"/>
        <w:jc w:val="center"/>
        <w:rPr>
          <w:rFonts w:hint="eastAsia" w:ascii="仿宋_GB2312" w:hAnsi="Times New Roman" w:eastAsia="仿宋_GB2312" w:cs="Times New Roman"/>
          <w:sz w:val="32"/>
          <w:szCs w:val="24"/>
          <w:lang w:val="en-US" w:eastAsia="zh-CN"/>
        </w:rPr>
      </w:pPr>
    </w:p>
    <w:p>
      <w:pPr>
        <w:spacing w:line="600" w:lineRule="exact"/>
        <w:ind w:firstLine="0" w:firstLineChars="0"/>
        <w:jc w:val="center"/>
        <w:rPr>
          <w:rFonts w:hint="eastAsia" w:ascii="仿宋_GB2312" w:hAnsi="Times New Roman" w:eastAsia="仿宋_GB2312" w:cs="Times New Roman"/>
          <w:sz w:val="32"/>
          <w:szCs w:val="24"/>
          <w:lang w:val="en-US" w:eastAsia="zh-CN"/>
        </w:rPr>
      </w:pPr>
    </w:p>
    <w:p>
      <w:pPr>
        <w:spacing w:line="600" w:lineRule="exact"/>
        <w:ind w:firstLine="0" w:firstLineChars="0"/>
        <w:jc w:val="center"/>
        <w:rPr>
          <w:rFonts w:hint="eastAsia" w:ascii="仿宋_GB2312" w:hAnsi="Times New Roman" w:eastAsia="仿宋_GB2312" w:cs="Times New Roman"/>
          <w:sz w:val="32"/>
          <w:szCs w:val="24"/>
          <w:lang w:val="en-US" w:eastAsia="zh-CN"/>
        </w:rPr>
      </w:pPr>
    </w:p>
    <w:p>
      <w:pPr>
        <w:spacing w:line="600" w:lineRule="exact"/>
        <w:ind w:firstLine="0" w:firstLineChars="0"/>
        <w:jc w:val="center"/>
        <w:rPr>
          <w:rFonts w:hint="eastAsia" w:ascii="仿宋_GB2312" w:hAnsi="Times New Roman" w:eastAsia="仿宋_GB2312" w:cs="Times New Roman"/>
          <w:sz w:val="32"/>
          <w:szCs w:val="24"/>
          <w:lang w:val="en-US" w:eastAsia="zh-CN"/>
        </w:rPr>
      </w:pPr>
    </w:p>
    <w:p>
      <w:pPr>
        <w:spacing w:line="600" w:lineRule="exact"/>
        <w:ind w:firstLine="0" w:firstLineChars="0"/>
        <w:jc w:val="center"/>
        <w:rPr>
          <w:rFonts w:hint="eastAsia" w:ascii="仿宋_GB2312" w:hAnsi="Times New Roman" w:eastAsia="仿宋_GB2312" w:cs="Times New Roman"/>
          <w:sz w:val="32"/>
          <w:szCs w:val="24"/>
        </w:rPr>
      </w:pPr>
      <w:r>
        <w:rPr>
          <w:rFonts w:hint="eastAsia" w:ascii="仿宋_GB2312" w:hAnsi="Times New Roman" w:eastAsia="仿宋_GB2312" w:cs="Times New Roman"/>
          <w:sz w:val="32"/>
          <w:szCs w:val="24"/>
          <w:lang w:val="en-US" w:eastAsia="zh-CN"/>
        </w:rPr>
        <w:t>舒政</w:t>
      </w:r>
      <w:r>
        <w:rPr>
          <w:rFonts w:hint="eastAsia" w:ascii="仿宋_GB2312" w:hAnsi="Times New Roman" w:eastAsia="仿宋_GB2312" w:cs="Times New Roman"/>
          <w:sz w:val="32"/>
          <w:szCs w:val="24"/>
        </w:rPr>
        <w:t>办</w:t>
      </w:r>
      <w:r>
        <w:rPr>
          <w:rFonts w:hint="eastAsia" w:ascii="仿宋_GB2312" w:hAnsi="Times New Roman" w:eastAsia="仿宋_GB2312" w:cs="Times New Roman"/>
          <w:sz w:val="32"/>
          <w:szCs w:val="24"/>
          <w:lang w:val="en-US" w:eastAsia="zh-CN"/>
        </w:rPr>
        <w:t>秘</w:t>
      </w:r>
      <w:r>
        <w:rPr>
          <w:rFonts w:hint="eastAsia" w:ascii="仿宋_GB2312" w:hAnsi="Times New Roman" w:eastAsia="仿宋_GB2312" w:cs="Times New Roman"/>
          <w:sz w:val="32"/>
          <w:szCs w:val="24"/>
        </w:rPr>
        <w:t>〔20</w:t>
      </w:r>
      <w:r>
        <w:rPr>
          <w:rFonts w:hint="eastAsia" w:ascii="仿宋_GB2312" w:hAnsi="Times New Roman" w:eastAsia="仿宋_GB2312" w:cs="Times New Roman"/>
          <w:sz w:val="32"/>
          <w:szCs w:val="24"/>
          <w:lang w:val="en-US" w:eastAsia="zh-CN"/>
        </w:rPr>
        <w:t>20</w:t>
      </w:r>
      <w:r>
        <w:rPr>
          <w:rFonts w:hint="eastAsia" w:ascii="仿宋_GB2312" w:hAnsi="Times New Roman" w:eastAsia="仿宋_GB2312" w:cs="Times New Roman"/>
          <w:sz w:val="32"/>
          <w:szCs w:val="24"/>
        </w:rPr>
        <w:t>〕</w:t>
      </w:r>
      <w:r>
        <w:rPr>
          <w:rFonts w:hint="eastAsia" w:ascii="仿宋_GB2312" w:hAnsi="Times New Roman" w:eastAsia="仿宋_GB2312" w:cs="Times New Roman"/>
          <w:sz w:val="32"/>
          <w:szCs w:val="24"/>
          <w:lang w:val="en-US" w:eastAsia="zh-CN"/>
        </w:rPr>
        <w:t>56</w:t>
      </w:r>
      <w:r>
        <w:rPr>
          <w:rFonts w:hint="eastAsia" w:ascii="仿宋_GB2312" w:hAnsi="Times New Roman" w:eastAsia="仿宋_GB2312" w:cs="Times New Roman"/>
          <w:sz w:val="32"/>
          <w:szCs w:val="24"/>
        </w:rPr>
        <w:t>号</w:t>
      </w:r>
    </w:p>
    <w:p>
      <w:pPr>
        <w:spacing w:line="600" w:lineRule="exact"/>
        <w:ind w:firstLine="0" w:firstLineChars="0"/>
        <w:jc w:val="center"/>
        <w:rPr>
          <w:rFonts w:hint="eastAsia" w:ascii="仿宋_GB2312" w:hAnsi="Times New Roman" w:eastAsia="仿宋_GB2312" w:cs="Times New Roman"/>
          <w:sz w:val="32"/>
          <w:szCs w:val="24"/>
        </w:rPr>
      </w:pPr>
    </w:p>
    <w:p>
      <w:pPr>
        <w:spacing w:line="600" w:lineRule="exact"/>
        <w:ind w:firstLine="0" w:firstLineChars="0"/>
        <w:jc w:val="center"/>
        <w:rPr>
          <w:rFonts w:hint="eastAsia" w:ascii="仿宋_GB2312" w:hAnsi="Times New Roman" w:eastAsia="仿宋_GB2312" w:cs="Times New Roman"/>
          <w:sz w:val="32"/>
          <w:szCs w:val="24"/>
        </w:rPr>
      </w:pPr>
    </w:p>
    <w:p>
      <w:pPr>
        <w:spacing w:line="600" w:lineRule="exact"/>
        <w:ind w:firstLine="0" w:firstLineChars="0"/>
        <w:jc w:val="center"/>
        <w:rPr>
          <w:rFonts w:hint="eastAsia" w:ascii="方正小标宋简体" w:hAnsi="Times New Roman" w:eastAsia="方正小标宋简体" w:cs="Times New Roman"/>
          <w:sz w:val="44"/>
          <w:szCs w:val="48"/>
        </w:rPr>
      </w:pPr>
      <w:r>
        <w:rPr>
          <w:rFonts w:hint="eastAsia" w:ascii="方正小标宋简体" w:hAnsi="Times New Roman" w:eastAsia="方正小标宋简体" w:cs="Times New Roman"/>
          <w:sz w:val="44"/>
          <w:szCs w:val="48"/>
        </w:rPr>
        <w:t>舒城县人民政府办公室关于印发《舒城县公益性公墓建设管理暂行办法》的通知</w:t>
      </w:r>
    </w:p>
    <w:p>
      <w:pPr>
        <w:spacing w:line="600" w:lineRule="exact"/>
        <w:ind w:firstLine="0" w:firstLineChars="0"/>
        <w:jc w:val="center"/>
        <w:rPr>
          <w:rFonts w:hint="eastAsia" w:ascii="方正小标宋简体" w:hAnsi="Times New Roman" w:eastAsia="方正小标宋简体" w:cs="Times New Roman"/>
          <w:sz w:val="44"/>
          <w:szCs w:val="48"/>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600" w:lineRule="atLeast"/>
        <w:ind w:left="0" w:leftChars="0" w:right="0" w:firstLine="0" w:firstLineChars="0"/>
        <w:jc w:val="left"/>
        <w:rPr>
          <w:rFonts w:hint="default" w:ascii="Times New Roman" w:hAnsi="Times New Roman" w:cs="Times New Roman"/>
          <w:i w:val="0"/>
          <w:iCs w:val="0"/>
          <w:caps w:val="0"/>
          <w:color w:val="333333"/>
          <w:spacing w:val="0"/>
          <w:sz w:val="32"/>
          <w:szCs w:val="32"/>
        </w:rPr>
      </w:pPr>
      <w:r>
        <w:rPr>
          <w:rFonts w:ascii="仿宋" w:hAnsi="仿宋" w:eastAsia="仿宋" w:cs="仿宋"/>
          <w:i w:val="0"/>
          <w:iCs w:val="0"/>
          <w:caps w:val="0"/>
          <w:color w:val="333333"/>
          <w:spacing w:val="0"/>
          <w:sz w:val="32"/>
          <w:szCs w:val="32"/>
          <w:shd w:val="clear" w:fill="F8F8F8"/>
        </w:rPr>
        <w:t>各乡镇人民政府，开发区管委会，县直有关单位：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32"/>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8F8F8"/>
        </w:rPr>
        <w:t>现将《舒城县公益性公墓建设管理暂行办法》印发给你们，请遵照执行。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i w:val="0"/>
          <w:iCs w:val="0"/>
          <w:caps w:val="0"/>
          <w:color w:val="333333"/>
          <w:spacing w:val="0"/>
          <w:sz w:val="32"/>
          <w:szCs w:val="32"/>
          <w:shd w:val="clear" w:fill="F8F8F8"/>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i w:val="0"/>
          <w:iCs w:val="0"/>
          <w:caps w:val="0"/>
          <w:color w:val="333333"/>
          <w:spacing w:val="0"/>
          <w:sz w:val="32"/>
          <w:szCs w:val="32"/>
          <w:shd w:val="clear" w:fill="F8F8F8"/>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i w:val="0"/>
          <w:iCs w:val="0"/>
          <w:caps w:val="0"/>
          <w:color w:val="333333"/>
          <w:spacing w:val="0"/>
          <w:sz w:val="32"/>
          <w:szCs w:val="32"/>
          <w:shd w:val="clear" w:fill="F8F8F8"/>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right"/>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i w:val="0"/>
          <w:iCs w:val="0"/>
          <w:caps w:val="0"/>
          <w:color w:val="333333"/>
          <w:spacing w:val="0"/>
          <w:sz w:val="32"/>
          <w:szCs w:val="32"/>
          <w:shd w:val="clear" w:fill="F8F8F8"/>
        </w:rPr>
        <w:t>2020</w:t>
      </w:r>
      <w:r>
        <w:rPr>
          <w:rFonts w:hint="eastAsia" w:ascii="仿宋" w:hAnsi="仿宋" w:eastAsia="仿宋" w:cs="仿宋"/>
          <w:i w:val="0"/>
          <w:iCs w:val="0"/>
          <w:caps w:val="0"/>
          <w:color w:val="333333"/>
          <w:spacing w:val="0"/>
          <w:sz w:val="32"/>
          <w:szCs w:val="32"/>
          <w:shd w:val="clear" w:fill="F8F8F8"/>
        </w:rPr>
        <w:t>年</w:t>
      </w:r>
      <w:r>
        <w:rPr>
          <w:rFonts w:hint="default" w:ascii="Times New Roman" w:hAnsi="Times New Roman" w:cs="Times New Roman"/>
          <w:i w:val="0"/>
          <w:iCs w:val="0"/>
          <w:caps w:val="0"/>
          <w:color w:val="333333"/>
          <w:spacing w:val="0"/>
          <w:sz w:val="32"/>
          <w:szCs w:val="32"/>
          <w:shd w:val="clear" w:fill="F8F8F8"/>
        </w:rPr>
        <w:t>11</w:t>
      </w:r>
      <w:r>
        <w:rPr>
          <w:rFonts w:hint="eastAsia" w:ascii="仿宋" w:hAnsi="仿宋" w:eastAsia="仿宋" w:cs="仿宋"/>
          <w:i w:val="0"/>
          <w:iCs w:val="0"/>
          <w:caps w:val="0"/>
          <w:color w:val="333333"/>
          <w:spacing w:val="0"/>
          <w:sz w:val="32"/>
          <w:szCs w:val="32"/>
          <w:shd w:val="clear" w:fill="F8F8F8"/>
        </w:rPr>
        <w:t>月</w:t>
      </w:r>
      <w:r>
        <w:rPr>
          <w:rFonts w:hint="default" w:ascii="Times New Roman" w:hAnsi="Times New Roman" w:cs="Times New Roman"/>
          <w:i w:val="0"/>
          <w:iCs w:val="0"/>
          <w:caps w:val="0"/>
          <w:color w:val="333333"/>
          <w:spacing w:val="0"/>
          <w:sz w:val="32"/>
          <w:szCs w:val="32"/>
          <w:shd w:val="clear" w:fill="F8F8F8"/>
        </w:rPr>
        <w:t>26</w:t>
      </w:r>
      <w:r>
        <w:rPr>
          <w:rFonts w:hint="eastAsia" w:ascii="仿宋" w:hAnsi="仿宋" w:eastAsia="仿宋" w:cs="仿宋"/>
          <w:i w:val="0"/>
          <w:iCs w:val="0"/>
          <w:caps w:val="0"/>
          <w:color w:val="333333"/>
          <w:spacing w:val="0"/>
          <w:sz w:val="32"/>
          <w:szCs w:val="32"/>
          <w:shd w:val="clear" w:fill="F8F8F8"/>
        </w:rPr>
        <w:t>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i w:val="0"/>
          <w:iCs w:val="0"/>
          <w:caps w:val="0"/>
          <w:color w:val="333333"/>
          <w:spacing w:val="0"/>
          <w:sz w:val="32"/>
          <w:szCs w:val="32"/>
          <w:shd w:val="clear" w:fill="F8F8F8"/>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center"/>
        <w:rPr>
          <w:rFonts w:hint="default" w:ascii="Times New Roman" w:hAnsi="Times New Roman" w:cs="Times New Roman"/>
          <w:i w:val="0"/>
          <w:iCs w:val="0"/>
          <w:caps w:val="0"/>
          <w:color w:val="333333"/>
          <w:spacing w:val="0"/>
          <w:sz w:val="32"/>
          <w:szCs w:val="32"/>
        </w:rPr>
      </w:pPr>
      <w:r>
        <w:rPr>
          <w:rFonts w:ascii="方正小标宋简体" w:hAnsi="方正小标宋简体" w:eastAsia="方正小标宋简体" w:cs="方正小标宋简体"/>
          <w:b/>
          <w:bCs/>
          <w:i w:val="0"/>
          <w:iCs w:val="0"/>
          <w:caps w:val="0"/>
          <w:color w:val="333333"/>
          <w:spacing w:val="0"/>
          <w:sz w:val="44"/>
          <w:szCs w:val="44"/>
          <w:shd w:val="clear" w:fill="F8F8F8"/>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center"/>
        <w:rPr>
          <w:rFonts w:hint="default" w:ascii="Times New Roman" w:hAnsi="Times New Roman" w:cs="Times New Roman"/>
          <w:i w:val="0"/>
          <w:iCs w:val="0"/>
          <w:caps w:val="0"/>
          <w:color w:val="333333"/>
          <w:spacing w:val="0"/>
          <w:sz w:val="32"/>
          <w:szCs w:val="32"/>
        </w:rPr>
      </w:pPr>
      <w:r>
        <w:rPr>
          <w:rFonts w:hint="default" w:ascii="方正小标宋简体" w:hAnsi="方正小标宋简体" w:eastAsia="方正小标宋简体" w:cs="方正小标宋简体"/>
          <w:b/>
          <w:bCs/>
          <w:i w:val="0"/>
          <w:iCs w:val="0"/>
          <w:caps w:val="0"/>
          <w:color w:val="333333"/>
          <w:spacing w:val="0"/>
          <w:sz w:val="44"/>
          <w:szCs w:val="44"/>
          <w:shd w:val="clear" w:fill="F8F8F8"/>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50" w:lineRule="atLeast"/>
        <w:ind w:left="0" w:right="0" w:firstLine="0"/>
        <w:jc w:val="both"/>
        <w:rPr>
          <w:rFonts w:hint="default" w:ascii="Times New Roman" w:hAnsi="Times New Roman" w:cs="Times New Roman"/>
          <w:i w:val="0"/>
          <w:iCs w:val="0"/>
          <w:caps w:val="0"/>
          <w:color w:val="333333"/>
          <w:spacing w:val="0"/>
          <w:sz w:val="32"/>
          <w:szCs w:val="32"/>
        </w:rPr>
      </w:pPr>
      <w:r>
        <w:rPr>
          <w:rFonts w:hint="default" w:ascii="方正小标宋简体" w:hAnsi="方正小标宋简体" w:eastAsia="方正小标宋简体" w:cs="方正小标宋简体"/>
          <w:i w:val="0"/>
          <w:iCs w:val="0"/>
          <w:caps w:val="0"/>
          <w:color w:val="333333"/>
          <w:spacing w:val="0"/>
          <w:sz w:val="44"/>
          <w:szCs w:val="44"/>
          <w:shd w:val="clear" w:fill="F8F8F8"/>
        </w:rPr>
        <w:t>舒城县公益性公墓建设管理暂行办法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50" w:lineRule="atLeast"/>
        <w:ind w:left="0" w:right="0" w:firstLine="632"/>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i w:val="0"/>
          <w:iCs w:val="0"/>
          <w:caps w:val="0"/>
          <w:color w:val="333333"/>
          <w:spacing w:val="0"/>
          <w:sz w:val="32"/>
          <w:szCs w:val="32"/>
          <w:shd w:val="clear" w:fill="F8F8F8"/>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40" w:lineRule="atLeast"/>
        <w:ind w:left="0" w:right="0" w:firstLine="632"/>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8F8F8"/>
        </w:rPr>
        <w:t>为进一步深化殡葬改革，规范公益性公墓建设，杜绝乱埋乱葬现象，根据民政部《关于进一步深化殡葬改革促进殡葬事业科学发展的指导意见》（民发〔</w:t>
      </w:r>
      <w:r>
        <w:rPr>
          <w:rFonts w:hint="default" w:ascii="Times New Roman" w:hAnsi="Times New Roman" w:cs="Times New Roman"/>
          <w:i w:val="0"/>
          <w:iCs w:val="0"/>
          <w:caps w:val="0"/>
          <w:color w:val="333333"/>
          <w:spacing w:val="0"/>
          <w:sz w:val="32"/>
          <w:szCs w:val="32"/>
          <w:shd w:val="clear" w:fill="F8F8F8"/>
        </w:rPr>
        <w:t>2009</w:t>
      </w:r>
      <w:r>
        <w:rPr>
          <w:rFonts w:hint="eastAsia" w:ascii="仿宋" w:hAnsi="仿宋" w:eastAsia="仿宋" w:cs="仿宋"/>
          <w:i w:val="0"/>
          <w:iCs w:val="0"/>
          <w:caps w:val="0"/>
          <w:color w:val="333333"/>
          <w:spacing w:val="0"/>
          <w:sz w:val="32"/>
          <w:szCs w:val="32"/>
          <w:shd w:val="clear" w:fill="F8F8F8"/>
        </w:rPr>
        <w:t>〕</w:t>
      </w:r>
      <w:r>
        <w:rPr>
          <w:rFonts w:hint="default" w:ascii="Times New Roman" w:hAnsi="Times New Roman" w:cs="Times New Roman"/>
          <w:i w:val="0"/>
          <w:iCs w:val="0"/>
          <w:caps w:val="0"/>
          <w:color w:val="333333"/>
          <w:spacing w:val="0"/>
          <w:sz w:val="32"/>
          <w:szCs w:val="32"/>
          <w:shd w:val="clear" w:fill="F8F8F8"/>
        </w:rPr>
        <w:t>170</w:t>
      </w:r>
      <w:r>
        <w:rPr>
          <w:rFonts w:hint="eastAsia" w:ascii="仿宋" w:hAnsi="仿宋" w:eastAsia="仿宋" w:cs="仿宋"/>
          <w:i w:val="0"/>
          <w:iCs w:val="0"/>
          <w:caps w:val="0"/>
          <w:color w:val="333333"/>
          <w:spacing w:val="0"/>
          <w:sz w:val="32"/>
          <w:szCs w:val="32"/>
          <w:shd w:val="clear" w:fill="F8F8F8"/>
        </w:rPr>
        <w:t>号）、《六安市公益性公墓管理暂行办法》（六政〔</w:t>
      </w:r>
      <w:r>
        <w:rPr>
          <w:rFonts w:hint="default" w:ascii="Times New Roman" w:hAnsi="Times New Roman" w:cs="Times New Roman"/>
          <w:i w:val="0"/>
          <w:iCs w:val="0"/>
          <w:caps w:val="0"/>
          <w:color w:val="333333"/>
          <w:spacing w:val="0"/>
          <w:sz w:val="32"/>
          <w:szCs w:val="32"/>
          <w:shd w:val="clear" w:fill="F8F8F8"/>
        </w:rPr>
        <w:t>2009</w:t>
      </w:r>
      <w:r>
        <w:rPr>
          <w:rFonts w:hint="eastAsia" w:ascii="仿宋" w:hAnsi="仿宋" w:eastAsia="仿宋" w:cs="仿宋"/>
          <w:i w:val="0"/>
          <w:iCs w:val="0"/>
          <w:caps w:val="0"/>
          <w:color w:val="333333"/>
          <w:spacing w:val="0"/>
          <w:sz w:val="32"/>
          <w:szCs w:val="32"/>
          <w:shd w:val="clear" w:fill="F8F8F8"/>
        </w:rPr>
        <w:t>〕</w:t>
      </w:r>
      <w:r>
        <w:rPr>
          <w:rFonts w:hint="default" w:ascii="Times New Roman" w:hAnsi="Times New Roman" w:cs="Times New Roman"/>
          <w:i w:val="0"/>
          <w:iCs w:val="0"/>
          <w:caps w:val="0"/>
          <w:color w:val="333333"/>
          <w:spacing w:val="0"/>
          <w:sz w:val="32"/>
          <w:szCs w:val="32"/>
          <w:shd w:val="clear" w:fill="F8F8F8"/>
        </w:rPr>
        <w:t>4</w:t>
      </w:r>
      <w:r>
        <w:rPr>
          <w:rFonts w:hint="eastAsia" w:ascii="仿宋" w:hAnsi="仿宋" w:eastAsia="仿宋" w:cs="仿宋"/>
          <w:i w:val="0"/>
          <w:iCs w:val="0"/>
          <w:caps w:val="0"/>
          <w:color w:val="333333"/>
          <w:spacing w:val="0"/>
          <w:sz w:val="32"/>
          <w:szCs w:val="32"/>
          <w:shd w:val="clear" w:fill="F8F8F8"/>
        </w:rPr>
        <w:t>号）精神，结合我县实际，提出如下指导意见：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40" w:lineRule="atLeast"/>
        <w:ind w:left="0" w:right="0" w:firstLine="632"/>
        <w:jc w:val="both"/>
        <w:rPr>
          <w:rFonts w:hint="default" w:ascii="Times New Roman" w:hAnsi="Times New Roman" w:cs="Times New Roman"/>
          <w:i w:val="0"/>
          <w:iCs w:val="0"/>
          <w:caps w:val="0"/>
          <w:color w:val="333333"/>
          <w:spacing w:val="0"/>
          <w:sz w:val="32"/>
          <w:szCs w:val="32"/>
        </w:rPr>
      </w:pPr>
      <w:r>
        <w:rPr>
          <w:rFonts w:ascii="黑体" w:hAnsi="宋体" w:eastAsia="黑体" w:cs="黑体"/>
          <w:i w:val="0"/>
          <w:iCs w:val="0"/>
          <w:caps w:val="0"/>
          <w:color w:val="333333"/>
          <w:spacing w:val="0"/>
          <w:sz w:val="32"/>
          <w:szCs w:val="32"/>
          <w:shd w:val="clear" w:fill="F8F8F8"/>
        </w:rPr>
        <w:t>一、指导思想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40" w:lineRule="atLeast"/>
        <w:ind w:left="0" w:right="0" w:firstLine="632"/>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8F8F8"/>
        </w:rPr>
        <w:t>深入贯彻落实习近平新时代中国特色社会主义思想，适应新时代精神文明建设和乡村振兴需要，大力倡导科学、文明、低碳、节俭的丧葬方式，以清理整治乱埋乱葬为突破口，加快殡葬设施更新改造，树立健康、文明的殡葬新风，促进精神文明和生态文明建设，为增进人民福祉、全面建成小康社会作出贡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40" w:lineRule="atLeast"/>
        <w:ind w:left="0" w:right="0" w:firstLine="632"/>
        <w:jc w:val="both"/>
        <w:rPr>
          <w:rFonts w:hint="default" w:ascii="Times New Roman" w:hAnsi="Times New Roman" w:cs="Times New Roman"/>
          <w:i w:val="0"/>
          <w:iCs w:val="0"/>
          <w:caps w:val="0"/>
          <w:color w:val="333333"/>
          <w:spacing w:val="0"/>
          <w:sz w:val="32"/>
          <w:szCs w:val="32"/>
        </w:rPr>
      </w:pPr>
      <w:r>
        <w:rPr>
          <w:rFonts w:hint="eastAsia" w:ascii="黑体" w:hAnsi="宋体" w:eastAsia="黑体" w:cs="黑体"/>
          <w:i w:val="0"/>
          <w:iCs w:val="0"/>
          <w:caps w:val="0"/>
          <w:color w:val="333333"/>
          <w:spacing w:val="0"/>
          <w:sz w:val="32"/>
          <w:szCs w:val="32"/>
          <w:shd w:val="clear" w:fill="F8F8F8"/>
        </w:rPr>
        <w:t>二、基本原则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40" w:lineRule="atLeast"/>
        <w:ind w:left="0" w:right="0" w:firstLine="632"/>
        <w:jc w:val="both"/>
        <w:rPr>
          <w:rFonts w:hint="default" w:ascii="Times New Roman" w:hAnsi="Times New Roman" w:cs="Times New Roman"/>
          <w:i w:val="0"/>
          <w:iCs w:val="0"/>
          <w:caps w:val="0"/>
          <w:color w:val="333333"/>
          <w:spacing w:val="0"/>
          <w:sz w:val="32"/>
          <w:szCs w:val="32"/>
        </w:rPr>
      </w:pPr>
      <w:r>
        <w:rPr>
          <w:rFonts w:ascii="楷体" w:hAnsi="楷体" w:eastAsia="楷体" w:cs="楷体"/>
          <w:i w:val="0"/>
          <w:iCs w:val="0"/>
          <w:caps w:val="0"/>
          <w:color w:val="333333"/>
          <w:spacing w:val="0"/>
          <w:sz w:val="32"/>
          <w:szCs w:val="32"/>
          <w:shd w:val="clear" w:fill="F8F8F8"/>
        </w:rPr>
        <w:t>（一）政府主导，政策保障。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40" w:lineRule="atLeast"/>
        <w:ind w:left="0" w:right="0" w:firstLine="632"/>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8F8F8"/>
        </w:rPr>
        <w:t>各乡镇人民政府和县政府相关部门要将公益性公墓建设纳入基本公共服务保障范围，强化公益性质，发挥政府主导作用，加大对公益性公墓等殡葬基本公共服务设施建设的投入力度。鼓励社会组织、企业和个人向公益性公墓建设提供捐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40" w:lineRule="atLeast"/>
        <w:ind w:left="0" w:right="0" w:firstLine="632"/>
        <w:jc w:val="both"/>
        <w:rPr>
          <w:rFonts w:hint="default" w:ascii="Times New Roman" w:hAnsi="Times New Roman" w:cs="Times New Roman"/>
          <w:i w:val="0"/>
          <w:iCs w:val="0"/>
          <w:caps w:val="0"/>
          <w:color w:val="333333"/>
          <w:spacing w:val="0"/>
          <w:sz w:val="32"/>
          <w:szCs w:val="32"/>
        </w:rPr>
      </w:pPr>
      <w:r>
        <w:rPr>
          <w:rFonts w:hint="eastAsia" w:ascii="楷体" w:hAnsi="楷体" w:eastAsia="楷体" w:cs="楷体"/>
          <w:i w:val="0"/>
          <w:iCs w:val="0"/>
          <w:caps w:val="0"/>
          <w:color w:val="333333"/>
          <w:spacing w:val="0"/>
          <w:sz w:val="32"/>
          <w:szCs w:val="32"/>
          <w:shd w:val="clear" w:fill="F8F8F8"/>
        </w:rPr>
        <w:t>（二）科学规划，因地制宜。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40" w:lineRule="atLeast"/>
        <w:ind w:left="0" w:right="0" w:firstLine="632"/>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8F8F8"/>
        </w:rPr>
        <w:t>按照因地制宜、合理布局、节地生态、立足现实、兼顾发展原则，由县民政部门牵头会同自然资源、林业等部门，依据土地利用总体规划和城乡规划，组织编制公益性公墓规划。各乡镇和相关部门要结合目前公益性公墓建设状况和人口分布情况，合理确定建设地点、建设规模和建设形式。通过新建、改建或扩建等方式不断完善公益性公墓建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40" w:lineRule="atLeast"/>
        <w:ind w:left="0" w:right="0" w:firstLine="632"/>
        <w:jc w:val="both"/>
        <w:rPr>
          <w:rFonts w:hint="default" w:ascii="Times New Roman" w:hAnsi="Times New Roman" w:cs="Times New Roman"/>
          <w:i w:val="0"/>
          <w:iCs w:val="0"/>
          <w:caps w:val="0"/>
          <w:color w:val="333333"/>
          <w:spacing w:val="0"/>
          <w:sz w:val="32"/>
          <w:szCs w:val="32"/>
        </w:rPr>
      </w:pPr>
      <w:r>
        <w:rPr>
          <w:rFonts w:hint="eastAsia" w:ascii="楷体" w:hAnsi="楷体" w:eastAsia="楷体" w:cs="楷体"/>
          <w:i w:val="0"/>
          <w:iCs w:val="0"/>
          <w:caps w:val="0"/>
          <w:color w:val="333333"/>
          <w:spacing w:val="0"/>
          <w:sz w:val="32"/>
          <w:szCs w:val="32"/>
          <w:shd w:val="clear" w:fill="F8F8F8"/>
        </w:rPr>
        <w:t>（三）明确目标，有序实施。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40" w:lineRule="atLeast"/>
        <w:ind w:left="0" w:right="0" w:firstLine="632"/>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8F8F8"/>
        </w:rPr>
        <w:t>建设</w:t>
      </w:r>
      <w:r>
        <w:rPr>
          <w:rFonts w:hint="default" w:ascii="Times New Roman" w:hAnsi="Times New Roman" w:cs="Times New Roman"/>
          <w:i w:val="0"/>
          <w:iCs w:val="0"/>
          <w:caps w:val="0"/>
          <w:color w:val="333333"/>
          <w:spacing w:val="0"/>
          <w:sz w:val="32"/>
          <w:szCs w:val="32"/>
          <w:shd w:val="clear" w:fill="F8F8F8"/>
        </w:rPr>
        <w:t>1</w:t>
      </w:r>
      <w:r>
        <w:rPr>
          <w:rFonts w:hint="eastAsia" w:ascii="仿宋" w:hAnsi="仿宋" w:eastAsia="仿宋" w:cs="仿宋"/>
          <w:i w:val="0"/>
          <w:iCs w:val="0"/>
          <w:caps w:val="0"/>
          <w:color w:val="333333"/>
          <w:spacing w:val="0"/>
          <w:sz w:val="32"/>
          <w:szCs w:val="32"/>
          <w:shd w:val="clear" w:fill="F8F8F8"/>
        </w:rPr>
        <w:t>处县级城市公益性公墓，每个乡镇至少建立</w:t>
      </w:r>
      <w:r>
        <w:rPr>
          <w:rFonts w:hint="default" w:ascii="Times New Roman" w:hAnsi="Times New Roman" w:cs="Times New Roman"/>
          <w:i w:val="0"/>
          <w:iCs w:val="0"/>
          <w:caps w:val="0"/>
          <w:color w:val="333333"/>
          <w:spacing w:val="0"/>
          <w:sz w:val="32"/>
          <w:szCs w:val="32"/>
          <w:shd w:val="clear" w:fill="F8F8F8"/>
        </w:rPr>
        <w:t>1</w:t>
      </w:r>
      <w:r>
        <w:rPr>
          <w:rFonts w:hint="eastAsia" w:ascii="仿宋" w:hAnsi="仿宋" w:eastAsia="仿宋" w:cs="仿宋"/>
          <w:i w:val="0"/>
          <w:iCs w:val="0"/>
          <w:caps w:val="0"/>
          <w:color w:val="333333"/>
          <w:spacing w:val="0"/>
          <w:sz w:val="32"/>
          <w:szCs w:val="32"/>
          <w:shd w:val="clear" w:fill="F8F8F8"/>
        </w:rPr>
        <w:t>处农村公益性公墓。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40" w:lineRule="atLeast"/>
        <w:ind w:left="0" w:right="0" w:firstLine="632"/>
        <w:jc w:val="both"/>
        <w:rPr>
          <w:rFonts w:hint="default" w:ascii="Times New Roman" w:hAnsi="Times New Roman" w:cs="Times New Roman"/>
          <w:i w:val="0"/>
          <w:iCs w:val="0"/>
          <w:caps w:val="0"/>
          <w:color w:val="333333"/>
          <w:spacing w:val="0"/>
          <w:sz w:val="32"/>
          <w:szCs w:val="32"/>
        </w:rPr>
      </w:pPr>
      <w:r>
        <w:rPr>
          <w:rFonts w:hint="eastAsia" w:ascii="楷体" w:hAnsi="楷体" w:eastAsia="楷体" w:cs="楷体"/>
          <w:i w:val="0"/>
          <w:iCs w:val="0"/>
          <w:caps w:val="0"/>
          <w:color w:val="333333"/>
          <w:spacing w:val="0"/>
          <w:sz w:val="32"/>
          <w:szCs w:val="32"/>
          <w:shd w:val="clear" w:fill="F8F8F8"/>
        </w:rPr>
        <w:t>（四）统一标准，规范实施。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40" w:lineRule="atLeast"/>
        <w:ind w:left="0" w:right="0" w:firstLine="632"/>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8F8F8"/>
        </w:rPr>
        <w:t>公益性公墓是为本辖区人员死亡提供骨灰安葬存放的场所，要充分体现公益性原则，做到墓形、墓穴规格、墓材、收费标准四统一。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40" w:lineRule="atLeast"/>
        <w:ind w:left="0" w:right="0" w:firstLine="632"/>
        <w:jc w:val="both"/>
        <w:rPr>
          <w:rFonts w:hint="default" w:ascii="Times New Roman" w:hAnsi="Times New Roman" w:cs="Times New Roman"/>
          <w:i w:val="0"/>
          <w:iCs w:val="0"/>
          <w:caps w:val="0"/>
          <w:color w:val="333333"/>
          <w:spacing w:val="0"/>
          <w:sz w:val="32"/>
          <w:szCs w:val="32"/>
        </w:rPr>
      </w:pPr>
      <w:r>
        <w:rPr>
          <w:rFonts w:hint="eastAsia" w:ascii="黑体" w:hAnsi="宋体" w:eastAsia="黑体" w:cs="黑体"/>
          <w:i w:val="0"/>
          <w:iCs w:val="0"/>
          <w:caps w:val="0"/>
          <w:color w:val="333333"/>
          <w:spacing w:val="0"/>
          <w:sz w:val="32"/>
          <w:szCs w:val="32"/>
          <w:shd w:val="clear" w:fill="F8F8F8"/>
        </w:rPr>
        <w:t>三、规划建设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40" w:lineRule="atLeast"/>
        <w:ind w:left="0" w:right="0" w:firstLine="632"/>
        <w:jc w:val="both"/>
        <w:rPr>
          <w:rFonts w:hint="default" w:ascii="Times New Roman" w:hAnsi="Times New Roman" w:cs="Times New Roman"/>
          <w:i w:val="0"/>
          <w:iCs w:val="0"/>
          <w:caps w:val="0"/>
          <w:color w:val="333333"/>
          <w:spacing w:val="0"/>
          <w:sz w:val="32"/>
          <w:szCs w:val="32"/>
        </w:rPr>
      </w:pPr>
      <w:r>
        <w:rPr>
          <w:rFonts w:hint="eastAsia" w:ascii="楷体" w:hAnsi="楷体" w:eastAsia="楷体" w:cs="楷体"/>
          <w:i w:val="0"/>
          <w:iCs w:val="0"/>
          <w:caps w:val="0"/>
          <w:color w:val="333333"/>
          <w:spacing w:val="0"/>
          <w:sz w:val="32"/>
          <w:szCs w:val="32"/>
          <w:shd w:val="clear" w:fill="F8F8F8"/>
        </w:rPr>
        <w:t>（一）制定方案。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40" w:lineRule="atLeast"/>
        <w:ind w:left="0" w:right="0" w:firstLine="632"/>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8F8F8"/>
        </w:rPr>
        <w:t>各乡镇人民政府出台本辖区公益性公墓建设实施方案，自然资源和规划、林业等部门要积极参与。结合第三次国土空间规划、农村人居环境整治，对公益性公墓科学规划，合理布局。在确定保障范围、人口总数和现有公墓容量的基础上，确定具体建设规模。乡镇每座公益性公墓占地面积不得超过</w:t>
      </w:r>
      <w:r>
        <w:rPr>
          <w:rFonts w:hint="default" w:ascii="Times New Roman" w:hAnsi="Times New Roman" w:cs="Times New Roman"/>
          <w:i w:val="0"/>
          <w:iCs w:val="0"/>
          <w:caps w:val="0"/>
          <w:color w:val="333333"/>
          <w:spacing w:val="0"/>
          <w:sz w:val="32"/>
          <w:szCs w:val="32"/>
          <w:shd w:val="clear" w:fill="F8F8F8"/>
        </w:rPr>
        <w:t>50</w:t>
      </w:r>
      <w:r>
        <w:rPr>
          <w:rFonts w:hint="eastAsia" w:ascii="仿宋" w:hAnsi="仿宋" w:eastAsia="仿宋" w:cs="仿宋"/>
          <w:i w:val="0"/>
          <w:iCs w:val="0"/>
          <w:caps w:val="0"/>
          <w:color w:val="333333"/>
          <w:spacing w:val="0"/>
          <w:sz w:val="32"/>
          <w:szCs w:val="32"/>
          <w:shd w:val="clear" w:fill="F8F8F8"/>
        </w:rPr>
        <w:t>亩，公墓保障年限不少于</w:t>
      </w:r>
      <w:r>
        <w:rPr>
          <w:rFonts w:hint="default" w:ascii="Times New Roman" w:hAnsi="Times New Roman" w:cs="Times New Roman"/>
          <w:i w:val="0"/>
          <w:iCs w:val="0"/>
          <w:caps w:val="0"/>
          <w:color w:val="333333"/>
          <w:spacing w:val="0"/>
          <w:sz w:val="32"/>
          <w:szCs w:val="32"/>
          <w:shd w:val="clear" w:fill="F8F8F8"/>
        </w:rPr>
        <w:t>20</w:t>
      </w:r>
      <w:r>
        <w:rPr>
          <w:rFonts w:hint="eastAsia" w:ascii="仿宋" w:hAnsi="仿宋" w:eastAsia="仿宋" w:cs="仿宋"/>
          <w:i w:val="0"/>
          <w:iCs w:val="0"/>
          <w:caps w:val="0"/>
          <w:color w:val="333333"/>
          <w:spacing w:val="0"/>
          <w:sz w:val="32"/>
          <w:szCs w:val="32"/>
          <w:shd w:val="clear" w:fill="F8F8F8"/>
        </w:rPr>
        <w:t>年。农村公益性公墓建设规模根据骨灰安置总量确定。〔骨灰安置总量＝农村公益性公墓服务区常住人口数量×人口死亡率×</w:t>
      </w:r>
      <w:r>
        <w:rPr>
          <w:rFonts w:hint="default" w:ascii="Times New Roman" w:hAnsi="Times New Roman" w:cs="Times New Roman"/>
          <w:i w:val="0"/>
          <w:iCs w:val="0"/>
          <w:caps w:val="0"/>
          <w:color w:val="333333"/>
          <w:spacing w:val="0"/>
          <w:sz w:val="32"/>
          <w:szCs w:val="32"/>
          <w:shd w:val="clear" w:fill="F8F8F8"/>
        </w:rPr>
        <w:t>20</w:t>
      </w:r>
      <w:r>
        <w:rPr>
          <w:rFonts w:hint="eastAsia" w:ascii="仿宋" w:hAnsi="仿宋" w:eastAsia="仿宋" w:cs="仿宋"/>
          <w:i w:val="0"/>
          <w:iCs w:val="0"/>
          <w:caps w:val="0"/>
          <w:color w:val="333333"/>
          <w:spacing w:val="0"/>
          <w:sz w:val="32"/>
          <w:szCs w:val="32"/>
          <w:shd w:val="clear" w:fill="F8F8F8"/>
        </w:rPr>
        <w:t>×</w:t>
      </w:r>
      <w:r>
        <w:rPr>
          <w:rFonts w:hint="default" w:ascii="Times New Roman" w:hAnsi="Times New Roman" w:cs="Times New Roman"/>
          <w:i w:val="0"/>
          <w:iCs w:val="0"/>
          <w:caps w:val="0"/>
          <w:color w:val="333333"/>
          <w:spacing w:val="0"/>
          <w:sz w:val="32"/>
          <w:szCs w:val="32"/>
          <w:shd w:val="clear" w:fill="F8F8F8"/>
        </w:rPr>
        <w:t>50%</w:t>
      </w:r>
      <w:r>
        <w:rPr>
          <w:rFonts w:hint="eastAsia" w:ascii="仿宋" w:hAnsi="仿宋" w:eastAsia="仿宋" w:cs="仿宋"/>
          <w:i w:val="0"/>
          <w:iCs w:val="0"/>
          <w:caps w:val="0"/>
          <w:color w:val="333333"/>
          <w:spacing w:val="0"/>
          <w:sz w:val="32"/>
          <w:szCs w:val="32"/>
          <w:shd w:val="clear" w:fill="F8F8F8"/>
        </w:rPr>
        <w:t>（系数</w:t>
      </w:r>
      <w:r>
        <w:rPr>
          <w:rFonts w:hint="default" w:ascii="Times New Roman" w:hAnsi="Times New Roman" w:cs="Times New Roman"/>
          <w:i w:val="0"/>
          <w:iCs w:val="0"/>
          <w:caps w:val="0"/>
          <w:color w:val="333333"/>
          <w:spacing w:val="0"/>
          <w:sz w:val="32"/>
          <w:szCs w:val="32"/>
          <w:shd w:val="clear" w:fill="F8F8F8"/>
        </w:rPr>
        <w:t>20</w:t>
      </w:r>
      <w:r>
        <w:rPr>
          <w:rFonts w:hint="eastAsia" w:ascii="仿宋" w:hAnsi="仿宋" w:eastAsia="仿宋" w:cs="仿宋"/>
          <w:i w:val="0"/>
          <w:iCs w:val="0"/>
          <w:caps w:val="0"/>
          <w:color w:val="333333"/>
          <w:spacing w:val="0"/>
          <w:sz w:val="32"/>
          <w:szCs w:val="32"/>
          <w:shd w:val="clear" w:fill="F8F8F8"/>
        </w:rPr>
        <w:t>表示服务年限为</w:t>
      </w:r>
      <w:r>
        <w:rPr>
          <w:rFonts w:hint="default" w:ascii="Times New Roman" w:hAnsi="Times New Roman" w:cs="Times New Roman"/>
          <w:i w:val="0"/>
          <w:iCs w:val="0"/>
          <w:caps w:val="0"/>
          <w:color w:val="333333"/>
          <w:spacing w:val="0"/>
          <w:sz w:val="32"/>
          <w:szCs w:val="32"/>
          <w:shd w:val="clear" w:fill="F8F8F8"/>
        </w:rPr>
        <w:t>20</w:t>
      </w:r>
      <w:r>
        <w:rPr>
          <w:rFonts w:hint="eastAsia" w:ascii="仿宋" w:hAnsi="仿宋" w:eastAsia="仿宋" w:cs="仿宋"/>
          <w:i w:val="0"/>
          <w:iCs w:val="0"/>
          <w:caps w:val="0"/>
          <w:color w:val="333333"/>
          <w:spacing w:val="0"/>
          <w:sz w:val="32"/>
          <w:szCs w:val="32"/>
          <w:shd w:val="clear" w:fill="F8F8F8"/>
        </w:rPr>
        <w:t>年，</w:t>
      </w:r>
      <w:r>
        <w:rPr>
          <w:rFonts w:hint="default" w:ascii="Times New Roman" w:hAnsi="Times New Roman" w:cs="Times New Roman"/>
          <w:i w:val="0"/>
          <w:iCs w:val="0"/>
          <w:caps w:val="0"/>
          <w:color w:val="333333"/>
          <w:spacing w:val="0"/>
          <w:sz w:val="32"/>
          <w:szCs w:val="32"/>
          <w:shd w:val="clear" w:fill="F8F8F8"/>
        </w:rPr>
        <w:t>50%</w:t>
      </w:r>
      <w:r>
        <w:rPr>
          <w:rFonts w:hint="eastAsia" w:ascii="仿宋" w:hAnsi="仿宋" w:eastAsia="仿宋" w:cs="仿宋"/>
          <w:i w:val="0"/>
          <w:iCs w:val="0"/>
          <w:caps w:val="0"/>
          <w:color w:val="333333"/>
          <w:spacing w:val="0"/>
          <w:sz w:val="32"/>
          <w:szCs w:val="32"/>
          <w:shd w:val="clear" w:fill="F8F8F8"/>
        </w:rPr>
        <w:t>表示公墓的骨灰安置量占当地骨灰安葬需求的估算比例）〕，采取一次性规划到位，分期组织实施。骨灰安葬墓穴单穴占地面积不超过</w:t>
      </w:r>
      <w:r>
        <w:rPr>
          <w:rFonts w:hint="default" w:ascii="Times New Roman" w:hAnsi="Times New Roman" w:cs="Times New Roman"/>
          <w:i w:val="0"/>
          <w:iCs w:val="0"/>
          <w:caps w:val="0"/>
          <w:color w:val="333333"/>
          <w:spacing w:val="0"/>
          <w:sz w:val="32"/>
          <w:szCs w:val="32"/>
          <w:shd w:val="clear" w:fill="F8F8F8"/>
        </w:rPr>
        <w:t>0.5</w:t>
      </w:r>
      <w:r>
        <w:rPr>
          <w:rFonts w:hint="eastAsia" w:ascii="仿宋" w:hAnsi="仿宋" w:eastAsia="仿宋" w:cs="仿宋"/>
          <w:i w:val="0"/>
          <w:iCs w:val="0"/>
          <w:caps w:val="0"/>
          <w:color w:val="333333"/>
          <w:spacing w:val="0"/>
          <w:sz w:val="32"/>
          <w:szCs w:val="32"/>
          <w:shd w:val="clear" w:fill="F8F8F8"/>
        </w:rPr>
        <w:t>平方米，双穴不超过</w:t>
      </w:r>
      <w:r>
        <w:rPr>
          <w:rFonts w:hint="default" w:ascii="Times New Roman" w:hAnsi="Times New Roman" w:cs="Times New Roman"/>
          <w:i w:val="0"/>
          <w:iCs w:val="0"/>
          <w:caps w:val="0"/>
          <w:color w:val="333333"/>
          <w:spacing w:val="0"/>
          <w:sz w:val="32"/>
          <w:szCs w:val="32"/>
          <w:shd w:val="clear" w:fill="F8F8F8"/>
        </w:rPr>
        <w:t>0.8</w:t>
      </w:r>
      <w:r>
        <w:rPr>
          <w:rFonts w:hint="eastAsia" w:ascii="仿宋" w:hAnsi="仿宋" w:eastAsia="仿宋" w:cs="仿宋"/>
          <w:i w:val="0"/>
          <w:iCs w:val="0"/>
          <w:caps w:val="0"/>
          <w:color w:val="333333"/>
          <w:spacing w:val="0"/>
          <w:sz w:val="32"/>
          <w:szCs w:val="32"/>
          <w:shd w:val="clear" w:fill="F8F8F8"/>
        </w:rPr>
        <w:t>平方米。墓碑应为小型化、多样化、艺术化，推广使用卧碑。公墓墓区有一定面积的管理用房，设置祭扫服务区和相关标识牌，配建绿地、公厕、消防设施、停车场及必要的给排水、照明、通行道路等设施，做好无障碍设计，绿化面积达标，道路循环通畅。提倡和鼓励花葬、树葬、草坪葬等绿色生态安葬方式。每座公益性公墓必须按比例预留花葬、树葬、草坪葬的节地生态葬墓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40" w:lineRule="atLeast"/>
        <w:ind w:left="0" w:right="0" w:firstLine="632"/>
        <w:jc w:val="both"/>
        <w:rPr>
          <w:rFonts w:hint="default" w:ascii="Times New Roman" w:hAnsi="Times New Roman" w:cs="Times New Roman"/>
          <w:i w:val="0"/>
          <w:iCs w:val="0"/>
          <w:caps w:val="0"/>
          <w:color w:val="333333"/>
          <w:spacing w:val="0"/>
          <w:sz w:val="32"/>
          <w:szCs w:val="32"/>
        </w:rPr>
      </w:pPr>
      <w:r>
        <w:rPr>
          <w:rFonts w:hint="eastAsia" w:ascii="楷体" w:hAnsi="楷体" w:eastAsia="楷体" w:cs="楷体"/>
          <w:i w:val="0"/>
          <w:iCs w:val="0"/>
          <w:caps w:val="0"/>
          <w:color w:val="333333"/>
          <w:spacing w:val="0"/>
          <w:sz w:val="32"/>
          <w:szCs w:val="32"/>
          <w:shd w:val="clear" w:fill="F8F8F8"/>
        </w:rPr>
        <w:t>（二）科学选址。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40" w:lineRule="atLeast"/>
        <w:ind w:left="0" w:right="0" w:firstLine="632"/>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8F8F8"/>
        </w:rPr>
        <w:t>公益性公墓选址，应充分征求当地群众意见。避免占用国家级公益林和天然林林地，需占用省级公益林地的要按程序申报，严禁占用耕地，不得在公路、铁路、高速公路两侧和文物保护区、生态保护红线区、风景名胜区、城市公园、水库、河流堤坝附近以及水源保护区内选址建设。农村公益性公墓建设数量及布局，依据服务半径、服务人口等因素设置，原则上以乡镇为主，以行政村为辅建设，边远区域或交通不便地区，可以自然村或若干相邻的自然村联办方式兴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40" w:lineRule="atLeast"/>
        <w:ind w:left="0" w:right="0" w:firstLine="632"/>
        <w:jc w:val="both"/>
        <w:rPr>
          <w:rFonts w:hint="default" w:ascii="Times New Roman" w:hAnsi="Times New Roman" w:cs="Times New Roman"/>
          <w:i w:val="0"/>
          <w:iCs w:val="0"/>
          <w:caps w:val="0"/>
          <w:color w:val="333333"/>
          <w:spacing w:val="0"/>
          <w:sz w:val="32"/>
          <w:szCs w:val="32"/>
        </w:rPr>
      </w:pPr>
      <w:r>
        <w:rPr>
          <w:rFonts w:hint="eastAsia" w:ascii="楷体" w:hAnsi="楷体" w:eastAsia="楷体" w:cs="楷体"/>
          <w:i w:val="0"/>
          <w:iCs w:val="0"/>
          <w:caps w:val="0"/>
          <w:color w:val="333333"/>
          <w:spacing w:val="0"/>
          <w:sz w:val="32"/>
          <w:szCs w:val="32"/>
          <w:shd w:val="clear" w:fill="F8F8F8"/>
        </w:rPr>
        <w:t>（三）建设主体。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40" w:lineRule="atLeast"/>
        <w:ind w:left="0" w:right="0" w:firstLine="632"/>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8F8F8"/>
        </w:rPr>
        <w:t>农村公益性公墓由乡镇人民政府和基层自治组织建设管理。城市公益性公墓由县民政部门负责建设管理。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40" w:lineRule="atLeast"/>
        <w:ind w:left="0" w:right="0" w:firstLine="632"/>
        <w:jc w:val="both"/>
        <w:rPr>
          <w:rFonts w:hint="default" w:ascii="Times New Roman" w:hAnsi="Times New Roman" w:cs="Times New Roman"/>
          <w:i w:val="0"/>
          <w:iCs w:val="0"/>
          <w:caps w:val="0"/>
          <w:color w:val="333333"/>
          <w:spacing w:val="0"/>
          <w:sz w:val="32"/>
          <w:szCs w:val="32"/>
        </w:rPr>
      </w:pPr>
      <w:r>
        <w:rPr>
          <w:rFonts w:hint="eastAsia" w:ascii="楷体" w:hAnsi="楷体" w:eastAsia="楷体" w:cs="楷体"/>
          <w:i w:val="0"/>
          <w:iCs w:val="0"/>
          <w:caps w:val="0"/>
          <w:color w:val="333333"/>
          <w:spacing w:val="0"/>
          <w:sz w:val="32"/>
          <w:szCs w:val="32"/>
          <w:shd w:val="clear" w:fill="F8F8F8"/>
        </w:rPr>
        <w:t>（四）申报申批。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40" w:lineRule="atLeast"/>
        <w:ind w:left="0" w:right="0" w:firstLine="632"/>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8F8F8"/>
        </w:rPr>
        <w:t>建立公益性公墓由乡镇人民政府提出申请，报县民政部门审批。申请时应提交以下材料：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40" w:lineRule="atLeast"/>
        <w:ind w:left="0" w:right="0" w:firstLine="632"/>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i w:val="0"/>
          <w:iCs w:val="0"/>
          <w:caps w:val="0"/>
          <w:color w:val="333333"/>
          <w:spacing w:val="0"/>
          <w:sz w:val="32"/>
          <w:szCs w:val="32"/>
          <w:shd w:val="clear" w:fill="F8F8F8"/>
        </w:rPr>
        <w:t>1</w:t>
      </w:r>
      <w:r>
        <w:rPr>
          <w:rFonts w:hint="eastAsia" w:ascii="仿宋" w:hAnsi="仿宋" w:eastAsia="仿宋" w:cs="仿宋"/>
          <w:i w:val="0"/>
          <w:iCs w:val="0"/>
          <w:caps w:val="0"/>
          <w:color w:val="333333"/>
          <w:spacing w:val="0"/>
          <w:sz w:val="32"/>
          <w:szCs w:val="32"/>
          <w:shd w:val="clear" w:fill="F8F8F8"/>
        </w:rPr>
        <w:t>．申请报告。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40" w:lineRule="atLeast"/>
        <w:ind w:left="0" w:right="0" w:firstLine="632"/>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i w:val="0"/>
          <w:iCs w:val="0"/>
          <w:caps w:val="0"/>
          <w:color w:val="333333"/>
          <w:spacing w:val="0"/>
          <w:sz w:val="32"/>
          <w:szCs w:val="32"/>
          <w:shd w:val="clear" w:fill="F8F8F8"/>
        </w:rPr>
        <w:t>2</w:t>
      </w:r>
      <w:r>
        <w:rPr>
          <w:rFonts w:hint="eastAsia" w:ascii="仿宋" w:hAnsi="仿宋" w:eastAsia="仿宋" w:cs="仿宋"/>
          <w:i w:val="0"/>
          <w:iCs w:val="0"/>
          <w:caps w:val="0"/>
          <w:color w:val="333333"/>
          <w:spacing w:val="0"/>
          <w:sz w:val="32"/>
          <w:szCs w:val="32"/>
          <w:shd w:val="clear" w:fill="F8F8F8"/>
        </w:rPr>
        <w:t>．县发改委立项批复。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40" w:lineRule="atLeast"/>
        <w:ind w:left="0" w:right="0" w:firstLine="632"/>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i w:val="0"/>
          <w:iCs w:val="0"/>
          <w:caps w:val="0"/>
          <w:color w:val="333333"/>
          <w:spacing w:val="0"/>
          <w:sz w:val="32"/>
          <w:szCs w:val="32"/>
          <w:shd w:val="clear" w:fill="F8F8F8"/>
        </w:rPr>
        <w:t>3</w:t>
      </w:r>
      <w:r>
        <w:rPr>
          <w:rFonts w:hint="eastAsia" w:ascii="仿宋" w:hAnsi="仿宋" w:eastAsia="仿宋" w:cs="仿宋"/>
          <w:i w:val="0"/>
          <w:iCs w:val="0"/>
          <w:caps w:val="0"/>
          <w:color w:val="333333"/>
          <w:spacing w:val="0"/>
          <w:sz w:val="32"/>
          <w:szCs w:val="32"/>
          <w:shd w:val="clear" w:fill="F8F8F8"/>
        </w:rPr>
        <w:t>．县建设、自然资源和规划、林业、环保等部门审查意见。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40" w:lineRule="atLeast"/>
        <w:ind w:left="0" w:right="0" w:firstLine="632"/>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i w:val="0"/>
          <w:iCs w:val="0"/>
          <w:caps w:val="0"/>
          <w:color w:val="333333"/>
          <w:spacing w:val="0"/>
          <w:sz w:val="32"/>
          <w:szCs w:val="32"/>
          <w:shd w:val="clear" w:fill="F8F8F8"/>
        </w:rPr>
        <w:t>4</w:t>
      </w:r>
      <w:r>
        <w:rPr>
          <w:rFonts w:hint="eastAsia" w:ascii="仿宋" w:hAnsi="仿宋" w:eastAsia="仿宋" w:cs="仿宋"/>
          <w:i w:val="0"/>
          <w:iCs w:val="0"/>
          <w:caps w:val="0"/>
          <w:color w:val="333333"/>
          <w:spacing w:val="0"/>
          <w:sz w:val="32"/>
          <w:szCs w:val="32"/>
          <w:shd w:val="clear" w:fill="F8F8F8"/>
        </w:rPr>
        <w:t>．公墓建设可行性报告。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40" w:lineRule="atLeast"/>
        <w:ind w:left="0" w:right="0" w:firstLine="632"/>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i w:val="0"/>
          <w:iCs w:val="0"/>
          <w:caps w:val="0"/>
          <w:color w:val="333333"/>
          <w:spacing w:val="0"/>
          <w:sz w:val="32"/>
          <w:szCs w:val="32"/>
          <w:shd w:val="clear" w:fill="F8F8F8"/>
        </w:rPr>
        <w:t>5</w:t>
      </w:r>
      <w:r>
        <w:rPr>
          <w:rFonts w:hint="eastAsia" w:ascii="仿宋" w:hAnsi="仿宋" w:eastAsia="仿宋" w:cs="仿宋"/>
          <w:i w:val="0"/>
          <w:iCs w:val="0"/>
          <w:caps w:val="0"/>
          <w:color w:val="333333"/>
          <w:spacing w:val="0"/>
          <w:sz w:val="32"/>
          <w:szCs w:val="32"/>
          <w:shd w:val="clear" w:fill="F8F8F8"/>
        </w:rPr>
        <w:t>．其他。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40" w:lineRule="atLeast"/>
        <w:ind w:left="0" w:right="0" w:firstLine="632"/>
        <w:jc w:val="both"/>
        <w:rPr>
          <w:rFonts w:hint="default" w:ascii="Times New Roman" w:hAnsi="Times New Roman" w:cs="Times New Roman"/>
          <w:i w:val="0"/>
          <w:iCs w:val="0"/>
          <w:caps w:val="0"/>
          <w:color w:val="333333"/>
          <w:spacing w:val="0"/>
          <w:sz w:val="32"/>
          <w:szCs w:val="32"/>
        </w:rPr>
      </w:pPr>
      <w:r>
        <w:rPr>
          <w:rFonts w:hint="eastAsia" w:ascii="黑体" w:hAnsi="宋体" w:eastAsia="黑体" w:cs="黑体"/>
          <w:i w:val="0"/>
          <w:iCs w:val="0"/>
          <w:caps w:val="0"/>
          <w:color w:val="333333"/>
          <w:spacing w:val="0"/>
          <w:sz w:val="32"/>
          <w:szCs w:val="32"/>
          <w:shd w:val="clear" w:fill="F8F8F8"/>
        </w:rPr>
        <w:t>四、保障措施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40" w:lineRule="atLeast"/>
        <w:ind w:left="0" w:right="0" w:firstLine="632"/>
        <w:jc w:val="both"/>
        <w:rPr>
          <w:rFonts w:hint="default" w:ascii="Times New Roman" w:hAnsi="Times New Roman" w:cs="Times New Roman"/>
          <w:i w:val="0"/>
          <w:iCs w:val="0"/>
          <w:caps w:val="0"/>
          <w:color w:val="333333"/>
          <w:spacing w:val="0"/>
          <w:sz w:val="32"/>
          <w:szCs w:val="32"/>
        </w:rPr>
      </w:pPr>
      <w:r>
        <w:rPr>
          <w:rFonts w:hint="eastAsia" w:ascii="楷体" w:hAnsi="楷体" w:eastAsia="楷体" w:cs="楷体"/>
          <w:i w:val="0"/>
          <w:iCs w:val="0"/>
          <w:caps w:val="0"/>
          <w:color w:val="333333"/>
          <w:spacing w:val="0"/>
          <w:sz w:val="32"/>
          <w:szCs w:val="32"/>
          <w:shd w:val="clear" w:fill="F8F8F8"/>
        </w:rPr>
        <w:t>（一）加强组织领导。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40" w:lineRule="atLeast"/>
        <w:ind w:left="0" w:right="0" w:firstLine="632"/>
        <w:jc w:val="both"/>
        <w:rPr>
          <w:rFonts w:hint="default" w:ascii="Times New Roman" w:hAnsi="Times New Roman" w:cs="Times New Roman"/>
          <w:i w:val="0"/>
          <w:iCs w:val="0"/>
          <w:caps w:val="0"/>
          <w:color w:val="333333"/>
          <w:spacing w:val="0"/>
          <w:sz w:val="32"/>
          <w:szCs w:val="32"/>
        </w:rPr>
      </w:pPr>
      <w:r>
        <w:rPr>
          <w:rFonts w:hint="eastAsia" w:ascii="楷体" w:hAnsi="楷体" w:eastAsia="楷体" w:cs="楷体"/>
          <w:i w:val="0"/>
          <w:iCs w:val="0"/>
          <w:caps w:val="0"/>
          <w:color w:val="333333"/>
          <w:spacing w:val="0"/>
          <w:sz w:val="32"/>
          <w:szCs w:val="32"/>
          <w:shd w:val="clear" w:fill="F8F8F8"/>
        </w:rPr>
        <w:t>县</w:t>
      </w:r>
      <w:r>
        <w:rPr>
          <w:rFonts w:hint="eastAsia" w:ascii="仿宋" w:hAnsi="仿宋" w:eastAsia="仿宋" w:cs="仿宋"/>
          <w:i w:val="0"/>
          <w:iCs w:val="0"/>
          <w:caps w:val="0"/>
          <w:color w:val="333333"/>
          <w:spacing w:val="0"/>
          <w:sz w:val="32"/>
          <w:szCs w:val="32"/>
          <w:shd w:val="clear" w:fill="F8F8F8"/>
        </w:rPr>
        <w:t>民政部门充分发挥殡葬主管部门职能作用，会同有关部门做好公益性公墓建设指导。县发改部门要做好城乡公益性公墓项目立项、公墓价格核定等工作。县财政部门要做好公益性公墓建设的资金保障工作。县自然资源和规划部门要做好项目规划，与土地利用总体规划衔接工作，加强建设用地管理，将公益性公墓建设纳入城乡总体规划，并及时申报用地审批。县生态环境部门要加强公益性公墓建设项目环境影响评估，指导公墓建设管理单位在建设中抓好生态环境保护，严防水源污染。县市场监管部门按相关规定监督收费项目和价格，依法查处价格违法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40" w:lineRule="atLeast"/>
        <w:ind w:left="0" w:right="0" w:firstLine="632"/>
        <w:jc w:val="both"/>
        <w:rPr>
          <w:rFonts w:hint="default" w:ascii="Times New Roman" w:hAnsi="Times New Roman" w:cs="Times New Roman"/>
          <w:i w:val="0"/>
          <w:iCs w:val="0"/>
          <w:caps w:val="0"/>
          <w:color w:val="333333"/>
          <w:spacing w:val="0"/>
          <w:sz w:val="32"/>
          <w:szCs w:val="32"/>
        </w:rPr>
      </w:pPr>
      <w:r>
        <w:rPr>
          <w:rFonts w:hint="eastAsia" w:ascii="楷体" w:hAnsi="楷体" w:eastAsia="楷体" w:cs="楷体"/>
          <w:i w:val="0"/>
          <w:iCs w:val="0"/>
          <w:caps w:val="0"/>
          <w:color w:val="333333"/>
          <w:spacing w:val="0"/>
          <w:sz w:val="32"/>
          <w:szCs w:val="32"/>
          <w:shd w:val="clear" w:fill="F8F8F8"/>
        </w:rPr>
        <w:t>（二）加大经费投入。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40" w:lineRule="atLeast"/>
        <w:ind w:left="0" w:right="0" w:firstLine="632"/>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8F8F8"/>
        </w:rPr>
        <w:t>坚持政府主导，强化属地责任。乡镇、村要整合交通、水利、林业等方面项目，多渠道筹集农村公益性公墓新建、改扩建以及配套设施改造等方面资金，统筹做好建设管理经费保障。城市公益性公墓建设资金由县财政安排，县财政对新建公益性公墓采取以奖代补形式给予适当补助。三年后乡镇利用公墓收入实行滚动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40" w:lineRule="atLeast"/>
        <w:ind w:left="0" w:right="0" w:firstLine="632"/>
        <w:jc w:val="both"/>
        <w:rPr>
          <w:rFonts w:hint="default" w:ascii="Times New Roman" w:hAnsi="Times New Roman" w:cs="Times New Roman"/>
          <w:i w:val="0"/>
          <w:iCs w:val="0"/>
          <w:caps w:val="0"/>
          <w:color w:val="333333"/>
          <w:spacing w:val="0"/>
          <w:sz w:val="32"/>
          <w:szCs w:val="32"/>
        </w:rPr>
      </w:pPr>
      <w:r>
        <w:rPr>
          <w:rFonts w:hint="eastAsia" w:ascii="楷体" w:hAnsi="楷体" w:eastAsia="楷体" w:cs="楷体"/>
          <w:i w:val="0"/>
          <w:iCs w:val="0"/>
          <w:caps w:val="0"/>
          <w:color w:val="333333"/>
          <w:spacing w:val="0"/>
          <w:sz w:val="32"/>
          <w:szCs w:val="32"/>
          <w:shd w:val="clear" w:fill="F8F8F8"/>
        </w:rPr>
        <w:t>（三）加强监督管理。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40" w:lineRule="atLeast"/>
        <w:ind w:left="0" w:right="0" w:firstLine="632"/>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i w:val="0"/>
          <w:iCs w:val="0"/>
          <w:caps w:val="0"/>
          <w:color w:val="333333"/>
          <w:spacing w:val="0"/>
          <w:sz w:val="32"/>
          <w:szCs w:val="32"/>
          <w:shd w:val="clear" w:fill="F8F8F8"/>
        </w:rPr>
        <w:t>1</w:t>
      </w:r>
      <w:r>
        <w:rPr>
          <w:rFonts w:hint="eastAsia" w:ascii="仿宋" w:hAnsi="仿宋" w:eastAsia="仿宋" w:cs="仿宋"/>
          <w:i w:val="0"/>
          <w:iCs w:val="0"/>
          <w:caps w:val="0"/>
          <w:color w:val="333333"/>
          <w:spacing w:val="0"/>
          <w:sz w:val="32"/>
          <w:szCs w:val="32"/>
          <w:shd w:val="clear" w:fill="F8F8F8"/>
        </w:rPr>
        <w:t>．依法审批。公益性公墓建设应符合土地利用总体规划和城乡规划，应履行建设用地批准手续，结合实际需要，分期报批，分期建设。使用国有建设用地的，</w:t>
      </w:r>
      <w:r>
        <w:rPr>
          <w:rFonts w:hint="eastAsia" w:ascii="仿宋" w:hAnsi="仿宋" w:eastAsia="仿宋" w:cs="仿宋"/>
          <w:i w:val="0"/>
          <w:iCs w:val="0"/>
          <w:caps w:val="0"/>
          <w:color w:val="262626"/>
          <w:spacing w:val="0"/>
          <w:sz w:val="32"/>
          <w:szCs w:val="32"/>
          <w:shd w:val="clear" w:fill="F8F8F8"/>
        </w:rPr>
        <w:t>由申请人向县自然资源主管部门提出申请，县自然资源主管部门受理并审查，</w:t>
      </w:r>
      <w:r>
        <w:rPr>
          <w:rFonts w:hint="eastAsia" w:ascii="仿宋" w:hAnsi="仿宋" w:eastAsia="仿宋" w:cs="仿宋"/>
          <w:i w:val="0"/>
          <w:iCs w:val="0"/>
          <w:caps w:val="0"/>
          <w:color w:val="333333"/>
          <w:spacing w:val="0"/>
          <w:sz w:val="32"/>
          <w:szCs w:val="32"/>
          <w:shd w:val="clear" w:fill="F8F8F8"/>
        </w:rPr>
        <w:t>报县人民政府批准同意后，属非赢利性的核发《国有建设用地划拨决定书》、办理不动产权证。属乡镇、村公益事业建设，使用集体建设用地的，经乡镇人民政府审核，向县自然资源主管部门提出申请，由县级以上人民政府批准，办理不动产权证；占用农用地（不包括耕地）的，应当按照批准权限办理农用地转用审批手续。涉及使用林地的，应当依法办理使用林地审核审批手续。未经批准的公墓不得开工建设，造成违法用地的，依法追究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40" w:lineRule="atLeast"/>
        <w:ind w:left="0" w:right="0" w:firstLine="632"/>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i w:val="0"/>
          <w:iCs w:val="0"/>
          <w:caps w:val="0"/>
          <w:color w:val="333333"/>
          <w:spacing w:val="0"/>
          <w:sz w:val="32"/>
          <w:szCs w:val="32"/>
          <w:shd w:val="clear" w:fill="F8F8F8"/>
        </w:rPr>
        <w:t>2</w:t>
      </w:r>
      <w:r>
        <w:rPr>
          <w:rFonts w:hint="eastAsia" w:ascii="仿宋" w:hAnsi="仿宋" w:eastAsia="仿宋" w:cs="仿宋"/>
          <w:i w:val="0"/>
          <w:iCs w:val="0"/>
          <w:caps w:val="0"/>
          <w:color w:val="333333"/>
          <w:spacing w:val="0"/>
          <w:sz w:val="32"/>
          <w:szCs w:val="32"/>
          <w:shd w:val="clear" w:fill="F8F8F8"/>
        </w:rPr>
        <w:t>．加强管理。</w:t>
      </w:r>
      <w:r>
        <w:rPr>
          <w:rFonts w:hint="eastAsia" w:ascii="仿宋" w:hAnsi="仿宋" w:eastAsia="仿宋" w:cs="仿宋"/>
          <w:i w:val="0"/>
          <w:iCs w:val="0"/>
          <w:caps w:val="0"/>
          <w:color w:val="333333"/>
          <w:spacing w:val="-4"/>
          <w:sz w:val="32"/>
          <w:szCs w:val="32"/>
          <w:shd w:val="clear" w:fill="F8F8F8"/>
        </w:rPr>
        <w:t>县级公益性公墓由县民政部门负责管理，乡镇公益性公墓由所在地乡镇人民政府负责管理，村级公益性公墓由所在村民委员会通过购买公益岗位等方式统一管理维护，县级民政部门加强业务指导，规范提升农村公益性公墓服务能力和水平，增强庄重感、仪式感。公益性公墓应建立严格的墓穴（格位）出售档案登记管理制度，不得开展租赁、承包经营等商业活动，不得开展以营利为目的的经营活动，对困难群体按政策实行费用减免。严禁在公益性公墓内建家族、宗族、活人墓和从事封建迷信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40" w:lineRule="atLeast"/>
        <w:ind w:left="0" w:right="0" w:firstLine="632"/>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i w:val="0"/>
          <w:iCs w:val="0"/>
          <w:caps w:val="0"/>
          <w:color w:val="333333"/>
          <w:spacing w:val="0"/>
          <w:sz w:val="32"/>
          <w:szCs w:val="32"/>
          <w:shd w:val="clear" w:fill="F8F8F8"/>
        </w:rPr>
        <w:t>3</w:t>
      </w:r>
      <w:r>
        <w:rPr>
          <w:rFonts w:hint="eastAsia" w:ascii="仿宋" w:hAnsi="仿宋" w:eastAsia="仿宋" w:cs="仿宋"/>
          <w:i w:val="0"/>
          <w:iCs w:val="0"/>
          <w:caps w:val="0"/>
          <w:color w:val="333333"/>
          <w:spacing w:val="0"/>
          <w:sz w:val="32"/>
          <w:szCs w:val="32"/>
          <w:shd w:val="clear" w:fill="F8F8F8"/>
        </w:rPr>
        <w:t>．规范收费。公益性公墓实行政府定价，农村公益性公墓收费标准由县价格主管部门会同有关部门根据公墓建设、管理维护等成本核定。收入上交乡镇财政专户，专款专用，全部用于公益性公墓建设、维护和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40" w:lineRule="atLeast"/>
        <w:ind w:left="0" w:right="0" w:firstLine="632"/>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i w:val="0"/>
          <w:iCs w:val="0"/>
          <w:caps w:val="0"/>
          <w:color w:val="333333"/>
          <w:spacing w:val="0"/>
          <w:sz w:val="32"/>
          <w:szCs w:val="32"/>
          <w:shd w:val="clear" w:fill="F8F8F8"/>
        </w:rPr>
        <w:t>4</w:t>
      </w:r>
      <w:r>
        <w:rPr>
          <w:rFonts w:hint="eastAsia" w:ascii="仿宋" w:hAnsi="仿宋" w:eastAsia="仿宋" w:cs="仿宋"/>
          <w:i w:val="0"/>
          <w:iCs w:val="0"/>
          <w:caps w:val="0"/>
          <w:color w:val="333333"/>
          <w:spacing w:val="0"/>
          <w:sz w:val="32"/>
          <w:szCs w:val="32"/>
          <w:shd w:val="clear" w:fill="F8F8F8"/>
        </w:rPr>
        <w:t>．公开公示。</w:t>
      </w:r>
      <w:r>
        <w:rPr>
          <w:rFonts w:hint="eastAsia" w:ascii="仿宋" w:hAnsi="仿宋" w:eastAsia="仿宋" w:cs="仿宋"/>
          <w:i w:val="0"/>
          <w:iCs w:val="0"/>
          <w:caps w:val="0"/>
          <w:color w:val="333333"/>
          <w:spacing w:val="-4"/>
          <w:sz w:val="32"/>
          <w:szCs w:val="32"/>
          <w:shd w:val="clear" w:fill="F8F8F8"/>
        </w:rPr>
        <w:t>公益性公墓应在醒目位置和收费场所设立价格公示牌，公开墓穴价格和投诉电话。公益性公墓实行年检制度，由县民政部门组织实施，报市民政部门备案。年检的结果及时向社会公布，接受群众监督。针对存在的非法建设经营、建造超标准墓穴和乱收费等问题，由县民政部门牵头，相关部门配合，结合殡葬领域专项整治，发现一起处理一起，坚决制止和纠正违法违规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40" w:lineRule="atLeast"/>
        <w:ind w:left="0" w:right="0" w:firstLine="632"/>
        <w:jc w:val="both"/>
        <w:rPr>
          <w:rFonts w:hint="default" w:ascii="Times New Roman" w:hAnsi="Times New Roman" w:cs="Times New Roman"/>
          <w:i w:val="0"/>
          <w:iCs w:val="0"/>
          <w:caps w:val="0"/>
          <w:color w:val="333333"/>
          <w:spacing w:val="0"/>
          <w:sz w:val="32"/>
          <w:szCs w:val="32"/>
        </w:rPr>
      </w:pPr>
      <w:r>
        <w:rPr>
          <w:rFonts w:hint="eastAsia" w:ascii="楷体" w:hAnsi="楷体" w:eastAsia="楷体" w:cs="楷体"/>
          <w:i w:val="0"/>
          <w:iCs w:val="0"/>
          <w:caps w:val="0"/>
          <w:color w:val="333333"/>
          <w:spacing w:val="0"/>
          <w:sz w:val="32"/>
          <w:szCs w:val="32"/>
          <w:shd w:val="clear" w:fill="F8F8F8"/>
        </w:rPr>
        <w:t>（四）加大宣传力度。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40" w:lineRule="atLeast"/>
        <w:ind w:left="0" w:right="0" w:firstLine="632"/>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8F8F8"/>
        </w:rPr>
        <w:t>各乡镇人民政府和殡葬管理部门要深入宣传殡葬改革新理念，鼓励和引导群众主动参与殡葬改革，自觉入墓规范安葬。全体党员干部要率先垂范，并引导群众树立文明节俭、生态环保、移风易俗的殡葬新风尚。</w:t>
      </w:r>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0"/>
  <w:bordersDoNotSurroundFooter w:val="0"/>
  <w:documentProtection w:edit="readOnly" w:enforcement="1" w:cryptProviderType="rsaFull" w:cryptAlgorithmClass="hash" w:cryptAlgorithmType="typeAny" w:cryptAlgorithmSid="4" w:cryptSpinCount="0" w:hash="MKY6fSZfQQYm4+Up4Z/XcAwOa/g=" w:salt="jsvtNZRtS0FvugUl0X4uTw=="/>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137085"/>
    <w:rsid w:val="04137085"/>
    <w:rsid w:val="06A74D3F"/>
    <w:rsid w:val="149731CE"/>
    <w:rsid w:val="35523582"/>
    <w:rsid w:val="61D41DFC"/>
    <w:rsid w:val="6B517EB1"/>
    <w:rsid w:val="72F111F5"/>
    <w:rsid w:val="74451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723" w:firstLineChars="200"/>
      <w:jc w:val="both"/>
    </w:pPr>
    <w:rPr>
      <w:rFonts w:ascii="Calibri" w:hAnsi="Calibri" w:eastAsia="宋体" w:cs="Calibri"/>
      <w:kern w:val="2"/>
      <w:sz w:val="21"/>
      <w:szCs w:val="21"/>
      <w:lang w:val="en-US" w:eastAsia="zh-CN" w:bidi="ar-SA"/>
    </w:rPr>
  </w:style>
  <w:style w:type="paragraph" w:styleId="2">
    <w:name w:val="heading 1"/>
    <w:next w:val="1"/>
    <w:link w:val="9"/>
    <w:qFormat/>
    <w:uiPriority w:val="0"/>
    <w:pPr>
      <w:widowControl w:val="0"/>
      <w:autoSpaceDE w:val="0"/>
      <w:autoSpaceDN w:val="0"/>
      <w:adjustRightInd w:val="0"/>
      <w:spacing w:before="350" w:after="320"/>
      <w:jc w:val="center"/>
      <w:outlineLvl w:val="0"/>
    </w:pPr>
    <w:rPr>
      <w:rFonts w:ascii="Courier New" w:hAnsi="Courier New" w:eastAsia="黑体" w:cs="Times New Roman"/>
      <w:b/>
      <w:color w:val="000000"/>
      <w:sz w:val="30"/>
      <w:lang w:val="en-US" w:eastAsia="zh-CN" w:bidi="ar-SA"/>
    </w:rPr>
  </w:style>
  <w:style w:type="paragraph" w:styleId="3">
    <w:name w:val="heading 2"/>
    <w:next w:val="1"/>
    <w:semiHidden/>
    <w:unhideWhenUsed/>
    <w:qFormat/>
    <w:uiPriority w:val="0"/>
    <w:pPr>
      <w:widowControl w:val="0"/>
      <w:autoSpaceDE w:val="0"/>
      <w:autoSpaceDN w:val="0"/>
      <w:adjustRightInd w:val="0"/>
      <w:spacing w:before="260" w:after="260" w:line="416" w:lineRule="auto"/>
      <w:outlineLvl w:val="1"/>
    </w:pPr>
    <w:rPr>
      <w:rFonts w:ascii="Courier New" w:hAnsi="Courier New" w:eastAsia="宋体" w:cs="Times New Roman"/>
      <w:b/>
      <w:color w:val="000000"/>
      <w:sz w:val="28"/>
      <w:lang w:val="en-US" w:eastAsia="zh-CN" w:bidi="ar-SA"/>
    </w:rPr>
  </w:style>
  <w:style w:type="paragraph" w:styleId="4">
    <w:name w:val="heading 3"/>
    <w:next w:val="1"/>
    <w:semiHidden/>
    <w:unhideWhenUsed/>
    <w:qFormat/>
    <w:uiPriority w:val="0"/>
    <w:pPr>
      <w:widowControl w:val="0"/>
      <w:autoSpaceDE w:val="0"/>
      <w:autoSpaceDN w:val="0"/>
      <w:adjustRightInd w:val="0"/>
      <w:spacing w:before="260" w:after="260" w:line="416" w:lineRule="auto"/>
      <w:outlineLvl w:val="2"/>
    </w:pPr>
    <w:rPr>
      <w:rFonts w:ascii="Courier New" w:hAnsi="Courier New" w:eastAsia="宋体" w:cs="Times New Roman"/>
      <w:color w:val="000000"/>
      <w:sz w:val="24"/>
      <w:lang w:val="en-US" w:eastAsia="zh-CN" w:bidi="ar-SA"/>
    </w:rPr>
  </w:style>
  <w:style w:type="paragraph" w:styleId="5">
    <w:name w:val="heading 4"/>
    <w:basedOn w:val="1"/>
    <w:next w:val="1"/>
    <w:semiHidden/>
    <w:unhideWhenUsed/>
    <w:qFormat/>
    <w:uiPriority w:val="0"/>
    <w:pPr>
      <w:keepNext/>
      <w:keepLines/>
      <w:spacing w:beforeLines="0"/>
      <w:ind w:firstLine="0" w:firstLineChars="0"/>
      <w:outlineLvl w:val="3"/>
    </w:pPr>
    <w:rPr>
      <w:rFonts w:ascii="Arial" w:hAnsi="Arial" w:eastAsia="宋体" w:cstheme="minorBidi"/>
      <w:sz w:val="2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9">
    <w:name w:val="标题 1 Char"/>
    <w:link w:val="2"/>
    <w:qFormat/>
    <w:uiPriority w:val="99"/>
    <w:rPr>
      <w:rFonts w:ascii="Courier New" w:hAnsi="Courier New" w:eastAsia="黑体" w:cs="Times New Roman"/>
      <w:b/>
      <w:color w:val="000000"/>
      <w:sz w:val="3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2021-08-30T05:09:00Z</dcterms:created>
  <dc:creator>小梨涡er</dc:creator>
  <cp:lastModifiedBy>小梨涡er</cp:lastModifiedBy>
  <dcterms:modified xsi:type="dcterms:W3CDTF">2021-08-30T05:13:31Z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2191AF5A431345E29C96B2E4BCEC578B</vt:lpwstr>
  </property>
</Properties>
</file>