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舒城县城关镇人民政府2023年政府信息          公开工作年度报告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报告是根据《中华人民共和国政府信息公开条例》（以下简称《条例》）要求，由城关镇政务公开办编制。全文由政府信息公开总体情况、主动公开政府信息情况、收到和处理政府信息公开申请情况、政府信息公开行政复议和行政诉讼情况、存在主要问题和改进情况、其它需要报告事项等六部分组成。本报告中所列数据的统计期限自2023年1月1日起至2023年12月31日止。本年度报告电子版可从舒城县城关镇政府信息公开网上下载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如对本报告有任何疑问，请与舒城县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城关镇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人民政府联系（地址：舒城县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城关镇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人民政府；邮编：231310；联系电话：0564-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8621377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  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度，城关镇在县政务公开办公室的指导下，围绕政务公开考评指标体系内容要求，立足本职，有序推进年度政务公开工作，聚焦群众关心关切，依托政府信息公开网站，公开主动公开领域信息755条，“两化”专题栏目信息公开公开信息575条。主要公开分为政府政策文件，本级政府相关审批，及群众回应文件，本年度扎实推进村务栏目公开工作，联合15个社区，29个行政村就群众呼应问题及时更新，做好个人隐私保密，民生呼应公开化透明化规范化狠下功夫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城关镇认真落实《条例》关于依申请公开各项规定要求，对照依申请公开办理流程，健全申请登记、审核、办理、答复、归档等相关制度。截至2023年12月31日，共收到依申请公开1条，线上1条，线下0条。行政诉讼1条结果维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1.加强组织领导。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分管领导抓推进，经办人员抓落实”工作要求。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给予了必要的人力、物力、财力支持，为信息工作的开展提供基础和平台。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2.强化学习培训,规范流程制度。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定期召开政务公开工作推进会，提高工作人员的专业素质和责任意识。规范政府信息公开流程，实行“谁主管、谁负责，谁公开、谁审查，先审查、后公开”的三审制度。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3.做好回头看即查即改。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定期对网站信息内容更新、互动回应、敏感词、错误链接等进行检查整改。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我镇按照上级要求按时完成网站集约化工作，深化政府信息公开系统建设,完成新平台下信息公开网的栏目设置和信息迁移。积极做好政务公开和政府信息查询点建设，定期对政府信息公开网络平台进行维护，并对信息更新情况进行检测，发现问题及时反馈并整改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常加强组织领导，强化工作保障。由1名镇领导班子成员分管负责政务公开工作，安排镇信息中心联合经办人员负责政府信息公开日常维护更新工作，各部门积极配合定期召开季度会议将问题摆在台面上，为全方面搜集、传输、反馈信息提供了基础。2、严肃纪律，明确信息发布保密审查责任，全面落实政府信息公开三审制度，发布稿件经相关负责人审核同意后统一进行挂网公开。3、加强工作考核力度，多渠道监督。坚持内部监督和社会监督相结合体系，对外公布投诉举报电话，推进人民群众监督和舆论监督，及时反馈群众呼声。对内强化责任追究，各部门责任清单落实到位，责令责任单位现场整改。4、城关镇政务公开工作依照国家法律、法规和有关政策规定进行。在2023年度政府信息公开工作社会评议方面结果良好；无责任追究情况发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本年处理决定数量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宋体" w:hAnsi="华文宋体" w:eastAsia="华文宋体" w:cs="华文宋体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华文宋体" w:hAnsi="华文宋体" w:eastAsia="华文宋体" w:cs="华文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宋体" w:hAnsi="华文宋体" w:eastAsia="华文宋体" w:cs="华文宋体"/>
          <w:color w:val="333333"/>
          <w:sz w:val="16"/>
          <w:szCs w:val="16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宋体" w:hAnsi="宋体" w:eastAsia="宋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宋体" w:hAnsi="华文宋体" w:eastAsia="华文宋体" w:cs="华文宋体"/>
                <w:sz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宋体" w:hAnsi="华文宋体" w:eastAsia="华文宋体" w:cs="华文宋体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2022年度存在问题及本年度改进情况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存在公开形式不够丰富，公开渠道单一，文件解读质量不高，信息不畅通，群众知情慢等问题，距离各级政府的要求和人民群众的期待还有很大差距。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本年度</w:t>
      </w:r>
      <w:r>
        <w:rPr>
          <w:rFonts w:hint="eastAsia" w:ascii="宋体" w:hAnsi="宋体" w:eastAsia="宋体" w:cs="宋体"/>
          <w:kern w:val="2"/>
          <w:sz w:val="32"/>
          <w:szCs w:val="32"/>
          <w:lang w:bidi="ar-SA"/>
        </w:rPr>
        <w:t>一步提高政策解读质量，不断丰富解读形式，采用图片、短视频、竖状图等易看易懂的工具，多种形式生动形象地展示政策解读，提升内容质量，确保解读要素完备，不断提高政策可读性。</w:t>
      </w:r>
      <w:r>
        <w:rPr>
          <w:rFonts w:hint="eastAsia" w:ascii="宋体" w:hAnsi="宋体" w:eastAsia="宋体" w:cs="宋体"/>
          <w:kern w:val="2"/>
          <w:sz w:val="32"/>
          <w:szCs w:val="32"/>
          <w:lang w:eastAsia="zh-CN" w:bidi="ar-SA"/>
        </w:rPr>
        <w:t>同时</w:t>
      </w:r>
      <w:r>
        <w:rPr>
          <w:rFonts w:hint="eastAsia" w:ascii="宋体" w:hAnsi="宋体" w:eastAsia="宋体" w:cs="宋体"/>
          <w:kern w:val="2"/>
          <w:sz w:val="32"/>
          <w:szCs w:val="32"/>
          <w:lang w:bidi="ar-SA"/>
        </w:rPr>
        <w:t>对信息公开栏目进行全面梳理，每个栏目都关联到具体单位或指定到人，专门安排业务精干人员对具体栏目进行维护</w:t>
      </w:r>
      <w:r>
        <w:rPr>
          <w:rFonts w:hint="eastAsia" w:ascii="宋体" w:hAnsi="宋体" w:eastAsia="宋体" w:cs="宋体"/>
          <w:kern w:val="2"/>
          <w:sz w:val="32"/>
          <w:szCs w:val="32"/>
          <w:lang w:eastAsia="zh-CN" w:bidi="ar-SA"/>
        </w:rPr>
        <w:t>定期召开各部门联合会议就上级部门监测反馈问题即查即改。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（二）2023年度存在问题及下年度改进计划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2023年度我镇政务公开工作取得了一定进展，但仍存在不足之处，如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相关民生关切领域公示信息复杂难以区分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；村级政务公开业务人员对工作认识不够；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各部门站所政务公开经办人态度懈怠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。下一步，我镇将主要做好以下工作：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1、加强政务公开内容的专业性。各部门应该把政府的决策、规划、政策、经济、社会、文化等方面的信息根据实际公众关心部分细分，使公众能够更好了解政府工作。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2、提高政务公开信息的态度的积极性。各部门应认识公布政府的决策、规划、政策等信息公开重要性，提高政务公开工作积极性，我镇也将把相关工作纳入年度考核。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按照国务院办公厅关于印发《政府信息公开信息处理费管理办法的通知》（国办函〔2020〕109号）规定的按件、按量收费标准，本年度没有产生信息公开处理费。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BA278"/>
    <w:multiLevelType w:val="singleLevel"/>
    <w:tmpl w:val="579BA27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CE7FC1A"/>
    <w:multiLevelType w:val="singleLevel"/>
    <w:tmpl w:val="6CE7FC1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YwNzlkMzc0NWE3M2FhNTllNDk4YjgzNGQxYTNkMWYifQ=="/>
  </w:docVars>
  <w:rsids>
    <w:rsidRoot w:val="009A54A0"/>
    <w:rsid w:val="009A54A0"/>
    <w:rsid w:val="00B85D85"/>
    <w:rsid w:val="01BD35AB"/>
    <w:rsid w:val="0D914AC8"/>
    <w:rsid w:val="0E595B2B"/>
    <w:rsid w:val="13D25057"/>
    <w:rsid w:val="157F1EE3"/>
    <w:rsid w:val="16302EF5"/>
    <w:rsid w:val="16DC7F40"/>
    <w:rsid w:val="1A6270A1"/>
    <w:rsid w:val="1ACE3837"/>
    <w:rsid w:val="1C05258D"/>
    <w:rsid w:val="1FE02E2E"/>
    <w:rsid w:val="1FE37802"/>
    <w:rsid w:val="219E7091"/>
    <w:rsid w:val="24DC2553"/>
    <w:rsid w:val="27082DFB"/>
    <w:rsid w:val="2CD45497"/>
    <w:rsid w:val="2DE133A7"/>
    <w:rsid w:val="2F934105"/>
    <w:rsid w:val="300E5D0A"/>
    <w:rsid w:val="31A569B2"/>
    <w:rsid w:val="3354632E"/>
    <w:rsid w:val="3594061B"/>
    <w:rsid w:val="387D5F7F"/>
    <w:rsid w:val="39B20B59"/>
    <w:rsid w:val="3F255D10"/>
    <w:rsid w:val="3F9F7BDF"/>
    <w:rsid w:val="42F81894"/>
    <w:rsid w:val="43BB1AE2"/>
    <w:rsid w:val="43D36DEF"/>
    <w:rsid w:val="45F07E50"/>
    <w:rsid w:val="46584C1D"/>
    <w:rsid w:val="495C6F05"/>
    <w:rsid w:val="49DB4515"/>
    <w:rsid w:val="4D4D7417"/>
    <w:rsid w:val="4F4A571C"/>
    <w:rsid w:val="526E25F6"/>
    <w:rsid w:val="534C79D0"/>
    <w:rsid w:val="56FE466C"/>
    <w:rsid w:val="58622A59"/>
    <w:rsid w:val="604F6155"/>
    <w:rsid w:val="62596DD7"/>
    <w:rsid w:val="625E3698"/>
    <w:rsid w:val="65246ACC"/>
    <w:rsid w:val="654E3E14"/>
    <w:rsid w:val="65C21C5B"/>
    <w:rsid w:val="66BE4026"/>
    <w:rsid w:val="69C67F6C"/>
    <w:rsid w:val="6ABF6E70"/>
    <w:rsid w:val="6B9F6CC6"/>
    <w:rsid w:val="6C4539CE"/>
    <w:rsid w:val="6CF82B2C"/>
    <w:rsid w:val="701838C5"/>
    <w:rsid w:val="71FA72F0"/>
    <w:rsid w:val="72D25AA0"/>
    <w:rsid w:val="73401C26"/>
    <w:rsid w:val="768E00AE"/>
    <w:rsid w:val="798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2413</Words>
  <Characters>2581</Characters>
  <Lines>8</Lines>
  <Paragraphs>2</Paragraphs>
  <TotalTime>16</TotalTime>
  <ScaleCrop>false</ScaleCrop>
  <LinksUpToDate>false</LinksUpToDate>
  <CharactersWithSpaces>2621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Administrator</cp:lastModifiedBy>
  <dcterms:modified xsi:type="dcterms:W3CDTF">2024-01-24T07:25:32Z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2F1340B6D790438F872117D5C8D3EFA7</vt:lpwstr>
  </property>
</Properties>
</file>