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舒城县教育局2023年政府信息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根据《中华人民共和国政府信息公开条例》规定，结合舒城县政务公开工作有关要求，特编制舒城县教育局2023年度政府信息公开年度报告。全文包括：总体情况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主动公开政府信息情况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收到和处理政府信息公开申请情况，政府信息公开行政复议、行政诉讼情况，存在的主要问题及改进情况，其他需要报告的事项。本报告使用数据统计期限为2023年1月1日至2023年12月31日，如对本报告有疑问，请与舒城县教育局联系（地址：舒城县城关镇大黉水巷2号，电话：0564-8621209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2023年，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舒城县教育局认真贯彻落实《中华人民共和国政府信息公开条例》，大力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教育信息主动公开力度，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累计发布政府信息545条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，有效完成年度各项工作任务。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.重点工作落实情况。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制定《舒城县教育局2023年政务公开重点工作任务清单》，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舒城县教育局政务公开重点工作提升行动实施方案》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局机关各责任股室结合业务特点，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对年度重点任务进行细化分工，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着力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提升重点领域信息发布质量，全面提高公开质效。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.牵头工作落实情况。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一是突出基层“两化”领域公开。牵头负责基层“两化”领域义务教育、学前教育栏目，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做好本级信息发布的同时，积极指导各乡镇做好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信息发布，全年共发布义务教育信息207条、学前教育信息66条。二是加强重点领域公开力度。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重点加强学前教育、义务教育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普通高中教育、特殊教育、职业教育、民办教育、教师队伍建设、校园安全、学生资助、重点项目建设、部门预决算等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重点领域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，全年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发布重点领域信息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117条。三是推进公共企事业单位信息公开。贯彻落实上级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要求，以《安徽省教育领域公共企事业单位信息公开指引目录》为依据，全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公办学校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及时更新完善依申请公开工作制度流程，积极参加市、县有关业务培训，提高经办人员依申请公开事项办理流程熟悉程度。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年度我局未收到依申请公开申请事项。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（三）政府信息管理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加强规范性文件管理。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在县政务公开办的指导下，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认真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做好规范性文件的格式调整工作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强化源头认定公开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清理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失效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规范性文件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废止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代政府办发文的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规范性文件1份。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是加强信息公开保密审查。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成立教育系统学校政府信息公开审核工作领导小组，负责全县公办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政府信息公开发布内容的审核把关工作。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  <w:t>发挥好政府网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  <w:t>舒城教育专题”作用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建立健全公共企事业单位公开栏目，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全县共5所城区中小学、4所中职高中、5所城区幼儿园、21所乡镇中心学校（包括21所农村幼儿园、13所农村初中）建立了信息公开目录并完成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学校政府信息公开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工作纳入年度目标考核和学校领导班子考核内容，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督查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的基础上，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定期开展督查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，及时通报督查情况、工作进度，对在工作中行动迟缓、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出现问题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限期整改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，并举一反三向全县其他学校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，同步开展自查自纠工作，确保同类问题不重复发生。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182.29628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）2022年度存在问题整改情况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针对2022年度存在的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信息公开不及时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政策解读不及时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隐私保护不及时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等问题，我局结合季度评估测评问题整改工作，举一反三，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更新发布各项教育动态信息，全面梳理本机关依法行使的行政权力和依法承担的公共服务职责，更新完善权责清单并按要求公开。依法公开工作职能，按要求及时更新机构设置、办公地址、办公时间、联系方式、负责人姓名等信息。进一步提高政策解读质量，固化解读工作流程，增加新闻发布会、图片解读等多种解读形式，实现政策解读形式多元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存在主要问题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及下一步改进措施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2023年我局信息公开工作中存在的主要问题有：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跨年度信息更新不及时。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因局机关经办人员变动，工作交接不够科学及时，对年初跨年度信息更新不够及时规范，导致一季度我局在市级抽测中失分较多，影响了全县的测评成绩排名。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学校信息公开仍有差距。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因时间紧、任务重，加之学校政务公开经办人员业务不熟悉，对政务公开工作的特点、规律和要求理解把握参差不齐，导致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教育领域公共企事业单位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政府信息公开推进比较缓慢，公开内容质量不高。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针对上述问题，我局将从以下两个方面加强改进：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进一步提高思想认识，优化人员力量配备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加强业务人员技能培训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统筹谋划一体推进局机关和各学校政府信息公开工作，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强化责任、常长结合，加强督查、注重实效，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确保年度各项工作得到落实。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舒城县教育局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 xml:space="preserve">     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年1月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jA3ZTZmMzU5ODgxZGNlYmI0YWQwNjhjZmNlZTgifQ=="/>
  </w:docVars>
  <w:rsids>
    <w:rsidRoot w:val="00000000"/>
    <w:rsid w:val="007E02F7"/>
    <w:rsid w:val="00867AE7"/>
    <w:rsid w:val="0093008B"/>
    <w:rsid w:val="018E0F64"/>
    <w:rsid w:val="0E256FA8"/>
    <w:rsid w:val="0EB45D35"/>
    <w:rsid w:val="1043576F"/>
    <w:rsid w:val="11A008D5"/>
    <w:rsid w:val="14985F19"/>
    <w:rsid w:val="14D95BF6"/>
    <w:rsid w:val="1C6B5F36"/>
    <w:rsid w:val="1E7C6F1C"/>
    <w:rsid w:val="1EB33096"/>
    <w:rsid w:val="1FB8489F"/>
    <w:rsid w:val="20F35F51"/>
    <w:rsid w:val="220D5A31"/>
    <w:rsid w:val="2A984622"/>
    <w:rsid w:val="2B3C7E21"/>
    <w:rsid w:val="2FD63906"/>
    <w:rsid w:val="39A20CFD"/>
    <w:rsid w:val="39F06BFD"/>
    <w:rsid w:val="3F3D5B5E"/>
    <w:rsid w:val="406258A1"/>
    <w:rsid w:val="41FA7928"/>
    <w:rsid w:val="43664B49"/>
    <w:rsid w:val="4BE62CCB"/>
    <w:rsid w:val="4FE811D3"/>
    <w:rsid w:val="52EA3518"/>
    <w:rsid w:val="571407D2"/>
    <w:rsid w:val="5964533F"/>
    <w:rsid w:val="5F294A3B"/>
    <w:rsid w:val="5FE12EA7"/>
    <w:rsid w:val="61744FEB"/>
    <w:rsid w:val="65E23EAB"/>
    <w:rsid w:val="6B95500E"/>
    <w:rsid w:val="6F433E0D"/>
    <w:rsid w:val="70AE5DB9"/>
    <w:rsid w:val="75C37062"/>
    <w:rsid w:val="77736202"/>
    <w:rsid w:val="78081664"/>
    <w:rsid w:val="78631299"/>
    <w:rsid w:val="78F41CD4"/>
    <w:rsid w:val="797572B9"/>
    <w:rsid w:val="7A654670"/>
    <w:rsid w:val="7E446E38"/>
    <w:rsid w:val="7F8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xiaomidevice用户</cp:lastModifiedBy>
  <dcterms:modified xsi:type="dcterms:W3CDTF">2024-01-23T07:55:55Z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7560E983FA604C2B8894637761382FEA_13</vt:lpwstr>
  </property>
</Properties>
</file>