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舒城县重点工程建设管理处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（国办公开办函〔2021〕30号，以下简称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安徽省政务公开办公室关于做好2023年政府信息公开工作年度报告编制和数据报送工作的通知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（皖政务办秘〔2024〕2号）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六安市政务公开办公室关于做好2023年度政府信息公开年度报告编制和发布工作的通知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（六政务公开办〔2024〕2号）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和《舒城县人民政府办公室关于做好 2023 年度政府信息公开年度报告编制和发布工作的通知》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要求，舒城县重点工程建设管理处编制了2023年度政府信息公开工作年度报告。全文包括总体情况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收到和处理政府信息公开申请情况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政府信息公开行政复议、行政诉讼情况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存在的主要问题及改进情况，其他需要报告的事项等六个部分。本报告所列数据自2023年1月1日起至2023年12月31日止。如对本报告有任何疑问，请与舒城县重点工程建设管理处办公室联系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_GB2312" w:eastAsia="仿宋_GB2312" w:cs="仿宋_GB2312"/>
          <w:sz w:val="32"/>
          <w:szCs w:val="32"/>
        </w:rPr>
        <w:t>相约河畔12号写字楼9楼903室，电话：0564--8620007，邮编：231300，电子邮箱：2401939681@qq.com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，舒城县重点工程建设管理处学习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围绕重点工程建设这一中心工作，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不断完善和规范信息公开内容，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481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。县重点工程处聚焦</w:t>
      </w:r>
      <w:r>
        <w:rPr>
          <w:rFonts w:hint="eastAsia" w:ascii="仿宋_GB2312" w:hAnsi="仿宋_GB2312" w:eastAsia="仿宋_GB2312" w:cs="仿宋_GB2312"/>
          <w:sz w:val="32"/>
          <w:szCs w:val="32"/>
        </w:rPr>
        <w:t>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点工程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工作，推动重大建设项目全生命周期公开，提高项目前期招投标、工程建设过程管理、项目竣工移交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等方面的信息公开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努力提高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重点工程建设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工作的透明度，最大限度地保障广大公民的知情权、参与权、监督权。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（二）依申请公开方面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县重点工程处积极贯彻落实依申请公开制度，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2023年全年本单位累计受理依申请公开0件。2023年，本单位政府信息公开无行政复议情况、无行政诉讼情况、无投诉举报情况。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（三）政府信息管理方面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我处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严格按照《中华人民共和国政府信息公开条例》规定的法定主动公开内容，坚持“以公开为常态、以不公开为例外”的原则，积极做好主动公开工作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。修订完善政府信息公开各项制度、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更新舒城县重点工程建设管理处信息公开指南。持续做好政府信息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保密审查工作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严格落实信息公开“三审制度”，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</w:t>
      </w:r>
      <w:r>
        <w:rPr>
          <w:rFonts w:hint="eastAsia" w:ascii="仿宋_GB2312" w:hAnsi="仿宋_GB2312" w:eastAsia="仿宋_GB2312" w:cs="仿宋_GB2312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是否有隐私泄露情况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，确保发布的信息内容全面、语言表述严谨、信息发布规范安全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县重点工程处</w:t>
      </w:r>
      <w:r>
        <w:rPr>
          <w:rFonts w:hint="eastAsia" w:ascii="仿宋_GB2312" w:hAnsi="仿宋_GB2312" w:eastAsia="仿宋_GB2312" w:cs="仿宋_GB2312"/>
          <w:sz w:val="32"/>
          <w:szCs w:val="32"/>
        </w:rPr>
        <w:t>未制定行政规范性文件，现行政规范性文件0件，废止行政规范性文件0件。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一是深化门户网站建设。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门户网站为主平台，聚焦主动公开内容，定期对各目录、专题专栏进行完善和补充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打造面向公众的权威信息发布平台。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二是强化政务新媒体建设。通过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新闻发布会、政风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行风在线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领导信访接待等形式，回应群众关切，解答热、难点问题，解决工作中的堵点、难点、痛点。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三是优化热线服务平台建设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加强对12345政务服务便民热线平台、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”重畅决”群众诉求办理平台、“市长信箱”等平台办理回复效率，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更大程度地满足群众对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我县重点工程建设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落实政务公开整改工作，建立清单化、闭环式整改工作机制，以季度政府信息测评整改为契机，逐条排查、以改促进，保证我处政务公开工作有所进展、取得实效。二是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规范建立政务公开考核制度，将政府信息公开工作纳入工作考核内容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，成立专门工作领导小组，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做到分工明确、职责清晰，全力做好政务公开工作。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是做好社会评议制度。认真听取、收集群众对我处政务公开工作的意见和建议，针对出现的问题，及时整改到位，进一步提升政务公开工作成效。202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年，我处未出现因信息公开不到位进行责任追究的情况。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5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435"/>
        <w:gridCol w:w="2435"/>
        <w:gridCol w:w="2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本年废止件数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70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703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lang w:val="en-US" w:eastAsia="zh-CN"/>
        </w:rPr>
      </w:pPr>
    </w:p>
    <w:tbl>
      <w:tblPr>
        <w:tblStyle w:val="3"/>
        <w:tblW w:w="906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731"/>
        <w:gridCol w:w="3219"/>
        <w:gridCol w:w="574"/>
        <w:gridCol w:w="624"/>
        <w:gridCol w:w="660"/>
        <w:gridCol w:w="768"/>
        <w:gridCol w:w="672"/>
        <w:gridCol w:w="660"/>
        <w:gridCol w:w="7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46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3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机构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57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73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3.其他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结果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尚未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  <w: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处的政府信息公开工作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在吸取上年度经验教训的基础上，做好优化提升工作。一是优化政府信息公开目录，规范优化公开流程，不断提升主动公开标准化规范化水平。二是积极探索多样化政策解读，不断丰富解读材料形式，提高解读质量，增强政策解读实效。三是推动重大决策信息公开。推进决策公开，实行重大决策预公开制度，除依法应当保密的外，在决策前向社会公布决策草案、决策依据，广泛听取公众意见，提高群众参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今年我处政府信息工作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虽然取得了一定的成绩，但仍存在一些不足。</w:t>
      </w:r>
      <w:r>
        <w:rPr>
          <w:rFonts w:hint="eastAsia" w:ascii="Times New Roman" w:hAnsi="Times New Roman" w:eastAsia="仿宋_GB2312"/>
          <w:sz w:val="32"/>
          <w:szCs w:val="32"/>
        </w:rPr>
        <w:t>一是政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府信息</w:t>
      </w:r>
      <w:r>
        <w:rPr>
          <w:rFonts w:hint="eastAsia" w:ascii="Times New Roman" w:hAnsi="Times New Roman" w:eastAsia="仿宋_GB2312"/>
          <w:sz w:val="32"/>
          <w:szCs w:val="32"/>
        </w:rPr>
        <w:t>公开机制还不够完善，主动公开意识不强，部分内容更新不及时、不完善；二是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政府信息公开质量不高，经办人员素质需进一步提升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下一步，我处将从以下方面着手，扎实有效推进公开工作：一是继续完善政府信息公开工作机制，加强制度落实、确保全面、及时、准确地公开重点工程建设相关信息。二是加强业务培训，积极组织开展政府信息公开业务学习和培训，进一步增强干部职工政府信息公开责任意识，努力提高我处政府信息公开业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仿宋_GB2312"/>
          <w:sz w:val="32"/>
          <w:szCs w:val="32"/>
        </w:rPr>
        <w:t>2020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default" w:ascii="Times New Roman" w:hAnsi="Times New Roman" w:eastAsia="仿宋_GB2312"/>
          <w:sz w:val="32"/>
          <w:szCs w:val="32"/>
        </w:rPr>
        <w:t>109</w:t>
      </w:r>
      <w:r>
        <w:rPr>
          <w:rFonts w:hint="eastAsia" w:ascii="Times New Roman" w:hAnsi="Times New Roman" w:eastAsia="仿宋_GB2312"/>
          <w:sz w:val="32"/>
          <w:szCs w:val="32"/>
        </w:rPr>
        <w:t>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TA0YTkyNDUyYjNmZjY4MGYwMTY3OGY0ZWUxZWUifQ=="/>
  </w:docVars>
  <w:rsids>
    <w:rsidRoot w:val="00000000"/>
    <w:rsid w:val="0093008B"/>
    <w:rsid w:val="0D4334E0"/>
    <w:rsid w:val="0E256FA8"/>
    <w:rsid w:val="0F2B277A"/>
    <w:rsid w:val="10CE5FD8"/>
    <w:rsid w:val="28EC2844"/>
    <w:rsid w:val="2B2C47F3"/>
    <w:rsid w:val="303D7A6D"/>
    <w:rsid w:val="3F450160"/>
    <w:rsid w:val="40B5159E"/>
    <w:rsid w:val="492714E9"/>
    <w:rsid w:val="4CC823D1"/>
    <w:rsid w:val="4FEA4F02"/>
    <w:rsid w:val="52EA3518"/>
    <w:rsid w:val="57DE0CFA"/>
    <w:rsid w:val="5A755C90"/>
    <w:rsid w:val="61744FEB"/>
    <w:rsid w:val="700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555555"/>
      <w:u w:val="none"/>
    </w:rPr>
  </w:style>
  <w:style w:type="character" w:styleId="7">
    <w:name w:val="Hyperlink"/>
    <w:basedOn w:val="4"/>
    <w:qFormat/>
    <w:uiPriority w:val="0"/>
    <w:rPr>
      <w:color w:val="555555"/>
      <w:u w:val="none"/>
    </w:rPr>
  </w:style>
  <w:style w:type="character" w:customStyle="1" w:styleId="8">
    <w:name w:val="on"/>
    <w:basedOn w:val="4"/>
    <w:qFormat/>
    <w:uiPriority w:val="0"/>
    <w:rPr>
      <w:vanish/>
      <w:shd w:val="clear" w:fill="FFFFFF"/>
    </w:rPr>
  </w:style>
  <w:style w:type="character" w:customStyle="1" w:styleId="9">
    <w:name w:val="on1"/>
    <w:basedOn w:val="4"/>
    <w:qFormat/>
    <w:uiPriority w:val="0"/>
    <w:rPr>
      <w:shd w:val="clear" w:fill="EDEDED"/>
    </w:rPr>
  </w:style>
  <w:style w:type="character" w:customStyle="1" w:styleId="10">
    <w:name w:val="target_fixed"/>
    <w:basedOn w:val="4"/>
    <w:qFormat/>
    <w:uiPriority w:val="0"/>
  </w:style>
  <w:style w:type="character" w:customStyle="1" w:styleId="11">
    <w:name w:val="fir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2868</Words>
  <Characters>2985</Characters>
  <Lines>0</Lines>
  <Paragraphs>0</Paragraphs>
  <TotalTime>51</TotalTime>
  <ScaleCrop>false</ScaleCrop>
  <LinksUpToDate>false</LinksUpToDate>
  <CharactersWithSpaces>3012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雨墨清川</cp:lastModifiedBy>
  <dcterms:modified xsi:type="dcterms:W3CDTF">2024-02-21T03:27:12Z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4EC17A5DC64F4DB49049476141C7C89B_13</vt:lpwstr>
  </property>
</Properties>
</file>