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before="120" w:beforeLines="50" w:after="120" w:afterLines="50" w:line="56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采购需求</w:t>
      </w:r>
    </w:p>
    <w:p>
      <w:pPr>
        <w:spacing w:line="40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1、本采购需求提供的货物规格、技术参数仅作为说明，投标人在投标中可以选用替代标准，但这些替代标准要相当于或优于本</w:t>
      </w:r>
      <w:r>
        <w:rPr>
          <w:rFonts w:hint="eastAsia"/>
          <w:b/>
          <w:sz w:val="24"/>
          <w:szCs w:val="24"/>
          <w:lang w:eastAsia="zh-CN"/>
        </w:rPr>
        <w:t>招标</w:t>
      </w:r>
      <w:r>
        <w:rPr>
          <w:rFonts w:hint="eastAsia"/>
          <w:b/>
          <w:sz w:val="24"/>
          <w:szCs w:val="24"/>
        </w:rPr>
        <w:t>文件中技术参数要求的标准，以满足采购人的需求。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lang w:val="en-US" w:eastAsia="zh-CN"/>
        </w:rPr>
        <w:t>2、</w:t>
      </w:r>
      <w:r>
        <w:rPr>
          <w:rFonts w:hint="eastAsia"/>
          <w:b/>
          <w:sz w:val="24"/>
          <w:lang w:eastAsia="zh-CN"/>
        </w:rPr>
        <w:t>下述标注“▲”的产品为本项目核心产品。</w:t>
      </w: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  <w:bookmarkStart w:id="1" w:name="_GoBack"/>
      <w:bookmarkEnd w:id="1"/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lang w:eastAsia="zh-CN"/>
        </w:rPr>
      </w:pPr>
    </w:p>
    <w:p>
      <w:pPr>
        <w:rPr>
          <w:rFonts w:hint="eastAsia"/>
        </w:rPr>
        <w:sectPr>
          <w:pgSz w:w="11907" w:h="16840"/>
          <w:pgMar w:top="1440" w:right="1247" w:bottom="1440" w:left="1247" w:header="851" w:footer="992" w:gutter="0"/>
          <w:cols w:space="720" w:num="1"/>
          <w:docGrid w:linePitch="303" w:charSpace="0"/>
        </w:sect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Hlt509716920"/>
      <w:bookmarkEnd w:id="0"/>
      <w:r>
        <w:rPr>
          <w:rFonts w:hint="eastAsia" w:ascii="黑体" w:hAnsi="黑体" w:eastAsia="黑体" w:cs="黑体"/>
          <w:sz w:val="32"/>
          <w:szCs w:val="32"/>
        </w:rPr>
        <w:t>残疾人之家（工作站）康复器材品种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、参数及</w:t>
      </w:r>
      <w:r>
        <w:rPr>
          <w:rFonts w:hint="eastAsia" w:ascii="黑体" w:hAnsi="黑体" w:eastAsia="黑体" w:cs="黑体"/>
          <w:sz w:val="32"/>
          <w:szCs w:val="32"/>
        </w:rPr>
        <w:t>数量</w:t>
      </w:r>
    </w:p>
    <w:tbl>
      <w:tblPr>
        <w:tblStyle w:val="7"/>
        <w:tblpPr w:leftFromText="180" w:rightFromText="180" w:vertAnchor="text" w:horzAnchor="page" w:tblpX="1566" w:tblpY="39"/>
        <w:tblOverlap w:val="never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81"/>
        <w:gridCol w:w="7842"/>
        <w:gridCol w:w="2175"/>
        <w:gridCol w:w="615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品牌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品名</w:t>
            </w:r>
          </w:p>
        </w:tc>
        <w:tc>
          <w:tcPr>
            <w:tcW w:w="7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技术参数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特点和功能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E-ZGJ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color w:val="000000"/>
                <w:kern w:val="0"/>
                <w:sz w:val="18"/>
                <w:szCs w:val="18"/>
              </w:rPr>
              <w:t>XS-SZ-06</w:t>
            </w:r>
            <w:r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SH-SZ-03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lang w:eastAsia="zh-CN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肘关节牵引训练椅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960755" cy="1079500"/>
                  <wp:effectExtent l="0" t="0" r="10795" b="6350"/>
                  <wp:docPr id="5" name="图片 1" descr="C:\Users\ADMINI~1\AppData\Local\Temp\ksohtml\clip_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C:\Users\ADMINI~1\AppData\Local\Temp\ksohtml\clip_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产品符合GB24436—2009《康复训练器械安全通用要求》国家标准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主要技术指标和参数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1）外形尺寸：1010mm×1270mm×1190mm±50mm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2）升降支架调节距离：85mm±50mm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3）前臂垫调节距离：230mm±50mm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4）角度调节支架调节角度：20°±3°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5）靠背垫调节角度：10°±3°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 6）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★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>前臂支架调节角度：145°±3°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7）哑铃片质量及数量：4磅/块，共6块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8）座垫额定承载：2000N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产品用途</w:t>
            </w:r>
          </w:p>
          <w:p>
            <w:pPr>
              <w:widowControl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适用于肘关节牵引训练，改善肘关节的活动范围。牵引的质量及方向、座椅高度、固定部位均可调节。</w:t>
            </w: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  <w:t>E-PKQ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color w:val="000000"/>
                <w:kern w:val="0"/>
                <w:sz w:val="18"/>
                <w:szCs w:val="18"/>
              </w:rPr>
              <w:t>XS-QS-05</w:t>
            </w:r>
            <w:r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SH-QS-0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偏瘫康复器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829310" cy="1402080"/>
                  <wp:effectExtent l="0" t="0" r="889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产品符合GB24436—2009《康复训练器械安全通用要求》国家标准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外形尺寸（长×宽×高）：870mm×480mm×1670mm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u w:val="single"/>
              </w:rPr>
              <w:t>★拉环最大行程≥350mm；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绳索、拉环额定承载：</w:t>
            </w: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500N。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滑轮额定承载：</w:t>
            </w:r>
            <w:r>
              <w:rPr>
                <w:rFonts w:hint="eastAsia" w:ascii="宋体" w:hAnsi="宋体" w:cs="宋体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1000N。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产品用途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适用于偏瘫者利用健康一侧的肢体对患侧肢体进行被动性训练，增加关节活动度。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3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sz w:val="18"/>
                <w:szCs w:val="18"/>
              </w:rPr>
              <w:t>E-GST-01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楷体" w:hAnsi="楷体" w:eastAsia="楷体"/>
                <w:sz w:val="18"/>
                <w:szCs w:val="18"/>
                <w:lang w:eastAsia="zh-CN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sz w:val="18"/>
                <w:szCs w:val="18"/>
              </w:rPr>
              <w:t>XS-XZ-01</w:t>
            </w:r>
            <w:r>
              <w:rPr>
                <w:rFonts w:hint="eastAsia" w:ascii="楷体" w:hAnsi="楷体" w:eastAsia="楷体"/>
                <w:sz w:val="18"/>
                <w:szCs w:val="1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sz w:val="18"/>
                <w:szCs w:val="18"/>
              </w:rPr>
              <w:t>SH-XZ-01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股四头肌训练椅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979170" cy="851535"/>
                  <wp:effectExtent l="0" t="0" r="11430" b="5715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产品符合GB24436—2009《康复训练器械安全通用要求》国家标准</w:t>
            </w:r>
          </w:p>
          <w:p>
            <w:pPr>
              <w:adjustRightInd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外形尺寸（长×宽×高）：1120mm×1130mm×1200mm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2、座面高度：≤670mm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3、座面宽度：≥550mm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4、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升降支架可调距离：200mm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5、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小腿垫可调距离：470mm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±15mm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6、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助力手柄可调距离：350mm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±15mm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</w:rPr>
              <w:t>★小腿支架摆动角度≥120°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8、座垫额定承载：≥2000N</w:t>
            </w:r>
          </w:p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9、靠背垫额定承载：≥750N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10、哑铃片质量及数量：每块4磅，共10块</w:t>
            </w:r>
          </w:p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11、支撑保护套材质：PUC复合面料，电压：DC12V</w:t>
            </w:r>
          </w:p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12、有三种定时模式：10、20、30分钟</w:t>
            </w:r>
          </w:p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13、5档电机循环速度</w:t>
            </w:r>
          </w:p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14、加热模式有3档调节：低温、中温、高温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15、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</w:rPr>
              <w:t>★稳定性：设备在正常使用时倾斜10°，应不失衡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adjustRightIn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一、产品特性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1）小腿支架摆动范围可调。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2）运动阻力可通过哑铃片进行调节。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3）靠背垫有坐式和躺式两种状态，可以座姿和卧姿进行训练。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4）小腿支架高度、小腿垫高度、助力手柄高度可调，适合不同身高人群进行训练。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二、产品用途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适用于膝关节活动受限者进行股四头肌抗阻力主动运动，也可进行膝关节屈曲伸展牵引训练。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hint="eastAsia" w:ascii="宋体" w:hAnsi="宋体"/>
                <w:sz w:val="18"/>
                <w:szCs w:val="18"/>
              </w:rPr>
              <w:t>O-SMB-01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color w:val="000000"/>
                <w:kern w:val="0"/>
                <w:sz w:val="18"/>
                <w:szCs w:val="18"/>
              </w:rPr>
              <w:t>XS-ZY-12</w:t>
            </w:r>
            <w:r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SH-ZY-15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可调式砂磨板及附件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882015" cy="657225"/>
                  <wp:effectExtent l="0" t="0" r="13335" b="9525"/>
                  <wp:docPr id="3" name="图片 4" descr="rId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rId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产品符合GB24436—2009《康复训练器械安全通用要求》国家标准</w:t>
            </w:r>
          </w:p>
          <w:p>
            <w:r>
              <w:rPr>
                <w:rFonts w:hint="eastAsia"/>
              </w:rPr>
              <w:t>主要技术指标和参数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1）外形尺寸（长×宽×高）：1040mm×840mm×855mm（不含附件）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±50mm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2）砂磨板角度调节：0°～60°</w:t>
            </w:r>
          </w:p>
          <w:p>
            <w:r>
              <w:rPr>
                <w:rFonts w:hint="eastAsia"/>
              </w:rPr>
              <w:t>3）附件：砂磨斗、摇磨具、单手推板、单手磨具，各1只</w:t>
            </w:r>
          </w:p>
          <w:p>
            <w:pPr>
              <w:pStyle w:val="2"/>
              <w:rPr>
                <w:rFonts w:hint="eastAsia" w:ascii="宋体" w:hAnsi="宋体" w:cs="宋体"/>
                <w:b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21"/>
                <w:szCs w:val="15"/>
                <w:u w:val="single"/>
              </w:rPr>
              <w:t>4）★点压式开关控制台面升降角度调节</w:t>
            </w:r>
            <w:r>
              <w:rPr>
                <w:rFonts w:hint="eastAsia"/>
                <w:b/>
                <w:bCs/>
                <w:sz w:val="21"/>
                <w:szCs w:val="15"/>
                <w:u w:val="single"/>
                <w:lang w:eastAsia="zh-CN"/>
              </w:rPr>
              <w:t>，须提供省级及以上质量检验机构出具的检验（检测）报告扫描件或影印件。</w:t>
            </w:r>
          </w:p>
          <w:p>
            <w:pPr>
              <w:pStyle w:val="2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适用于上肢肌力协调活动能力及关节活动度的作业训练。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JYC-ZZSC-003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 w:cs="宋体"/>
                <w:color w:val="000000"/>
                <w:kern w:val="0"/>
                <w:szCs w:val="21"/>
              </w:rPr>
              <w:t>XS-DZSC-003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SH-DZSC-003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电子助视器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923290" cy="733425"/>
                  <wp:effectExtent l="0" t="0" r="10160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助视器多种功能给使用者在生活、学习、工作、娱乐带来便利，极具握感的圆弧阅读手柄与手写支架一体化设计，加上手柄智能开机功能，是电子助视器个性化及人性化的体现。阅读时只需右手握住阅读手柄，如此就可给用户的左手预留出足够的活动空间。</w:t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1.屏幕尺寸不低于：5英寸；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u w:val="single"/>
              </w:rPr>
              <w:t>★2.最小放大倍数≤1倍（支起支架），最大放大倍数≥80倍；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3.待机工作时间≥4小时；</w:t>
            </w:r>
          </w:p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u w:val="none"/>
              </w:rPr>
              <w:t>4.具有可翻转180°的阅读手柄；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5.白色按键，黑色面板，高对比度设计；</w:t>
            </w:r>
          </w:p>
          <w:p>
            <w:pPr>
              <w:rPr>
                <w:rFonts w:ascii="宋体" w:hAnsi="宋体" w:cs="宋体"/>
                <w:b/>
                <w:bCs w:val="0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8"/>
                <w:szCs w:val="18"/>
                <w:u w:val="single"/>
              </w:rPr>
              <w:t>★6.可通过翻转阅读手柄开机；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7.具有图像冻结功能。冻结后可对图像放大缩小，改变显示模式；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8"/>
                <w:szCs w:val="18"/>
                <w:u w:val="single"/>
              </w:rPr>
              <w:t>★8.不低于17种显示模式；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9.关机后，助视器可记录关机前的放大倍数和显示模式；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10.具有视频输出端口；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11.可打开关闭按键音；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12.可充电电池供电，电池可拆卸；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13.可打开关闭助视器辅助照明灯；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u w:val="single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u w:val="none"/>
              </w:rPr>
              <w:t>4.在开机与关机状态下，均可使用手电筒功能；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15.具有屏幕亮度调节功能；</w:t>
            </w:r>
          </w:p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u w:val="none"/>
              </w:rPr>
              <w:t>16.阅读手柄与手写支架一体化设计；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17.具有自动关机功能；</w:t>
            </w:r>
          </w:p>
          <w:p>
            <w:pPr>
              <w:pStyle w:val="6"/>
              <w:ind w:firstLine="0" w:firstLineChars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一、产品特性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1）小巧实用，画质清晰；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2）极致紧凑设计，带来极致的视觉和握感；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3）自动场景识别，让您在任何环境下，都能享受完美画质；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4）边角圆弧人性化设计；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5）智能背光调节，观看更舒适；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6）更贴心、更易用、更美观；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二、产品用途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适用于低视力、弱视、老年人群。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sz w:val="18"/>
                <w:szCs w:val="18"/>
              </w:rPr>
              <w:t>E-YYT-01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color w:val="000000"/>
                <w:sz w:val="18"/>
                <w:szCs w:val="18"/>
              </w:rPr>
              <w:t>XS-XZ-16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SH-XZ-14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lang w:eastAsia="zh-CN"/>
              </w:rPr>
              <w:t>▲</w:t>
            </w:r>
            <w:r>
              <w:rPr>
                <w:rFonts w:hint="eastAsia" w:ascii="宋体" w:hAnsi="宋体" w:cs="宋体"/>
                <w:sz w:val="18"/>
                <w:szCs w:val="18"/>
              </w:rPr>
              <w:t>液压式踏步器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636270" cy="753745"/>
                  <wp:effectExtent l="0" t="0" r="11430" b="8255"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产品符合GB24436—2009《康复训练器械安全通用要求》国家标准</w:t>
            </w:r>
          </w:p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1）外形尺寸（长×宽×高）：820mm×780mm×1300mm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2）两扶手中心距离：630mm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3）扶手高端中心离地高度：1000mm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4）两踏脚板中心距离：210mm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5）额定承载≥2000N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>6、★油缸力值调节档数≥12档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7、油缸的工作行程：60mm</w:t>
            </w:r>
          </w:p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8、以万向摆动连杆装置为中心运动，万向节满足10万次疲劳试验。</w:t>
            </w:r>
          </w:p>
          <w:p>
            <w:pPr>
              <w:pStyle w:val="2"/>
              <w:rPr>
                <w:rFonts w:ascii="宋体" w:hAnsi="宋体" w:eastAsia="宋体" w:cs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</w:rPr>
              <w:t>9、★稳定性：设备在正常使用时倾斜10°，应不失衡</w:t>
            </w:r>
            <w:r>
              <w:rPr>
                <w:rFonts w:hint="eastAsia" w:hAnsi="宋体" w:eastAsia="宋体" w:cs="宋体"/>
                <w:b/>
                <w:bCs/>
                <w:sz w:val="18"/>
                <w:szCs w:val="18"/>
                <w:u w:val="singl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须提供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省级及以上质量检验机构出具的检验（检测）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报告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  <w:lang w:eastAsia="zh-CN"/>
              </w:rPr>
              <w:t>扫描件或影印件。</w:t>
            </w:r>
          </w:p>
          <w:p>
            <w:pPr>
              <w:pStyle w:val="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一、产品特性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1）运动阻力分12档可调，适应不同肌力人群使用。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2）可显示训练时间、速度等训练数据，方便了解训练情况。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二、产品用途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适用于下肢关节活动度及肌力训练，阻力可调。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sz w:val="18"/>
                <w:szCs w:val="18"/>
              </w:rPr>
              <w:t>E-GLC-0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sz w:val="18"/>
                <w:szCs w:val="18"/>
              </w:rPr>
              <w:t>XS-XZ-16</w:t>
            </w:r>
            <w:r>
              <w:rPr>
                <w:rFonts w:hint="eastAsia" w:ascii="楷体" w:hAnsi="楷体" w:eastAsia="楷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sz w:val="18"/>
                <w:szCs w:val="18"/>
              </w:rPr>
              <w:t>SH-XZ-16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下肢功率车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633730" cy="551815"/>
                  <wp:effectExtent l="0" t="0" r="13970" b="635"/>
                  <wp:docPr id="8" name="图片 7" descr="rId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rId5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产品符合GB24436—2009《康复训练器械安全通用要求》国家标准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1）外形尺寸（长×宽×高）：1300mm×540mm×1040mm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2）座位前后调节距离：240mm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（6档）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3）额定承载≥1050N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适用于下肢关节活动、肌力及协调功能的训练</w:t>
            </w:r>
          </w:p>
          <w:p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1、高硬度海绵握把</w:t>
            </w:r>
          </w:p>
          <w:p>
            <w:pPr>
              <w:spacing w:line="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2、机台随地形可调</w:t>
            </w:r>
          </w:p>
          <w:p>
            <w:pPr>
              <w:spacing w:line="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3、坐垫可调节；更大、更软，使用更加舒适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钱璟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E-QMQ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楷体" w:hAnsi="楷体" w:eastAsia="楷体"/>
                <w:color w:val="000000"/>
                <w:szCs w:val="21"/>
              </w:rPr>
              <w:t>新盛</w:t>
            </w:r>
            <w:r>
              <w:rPr>
                <w:rFonts w:ascii="楷体" w:hAnsi="楷体" w:eastAsia="楷体"/>
                <w:color w:val="000000"/>
                <w:kern w:val="0"/>
                <w:sz w:val="18"/>
                <w:szCs w:val="18"/>
              </w:rPr>
              <w:t>XS-QS-02</w:t>
            </w:r>
            <w:r>
              <w:rPr>
                <w:rFonts w:hint="eastAsia" w:ascii="楷体" w:hAnsi="楷体" w:eastAsia="楷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苏宏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SH-QS-1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骑马训练器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804545" cy="1133475"/>
                  <wp:effectExtent l="0" t="0" r="14605" b="9525"/>
                  <wp:docPr id="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产品符合GB24436—2009《康复训练器械安全通用要求》国家标准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主要技术指标和参数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1）外形尺寸（长×宽×高）：940mm×800mm×1100mm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2）座垫中心至脚踏板距离：550mm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±50mm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3）座垫上下伸展高度范围：600mm～830mm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4）额定承载≥2000N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产品用途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适用于上下肢的关节活动、肌力及协调功能训练，增强肌体耐力。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191</w:t>
            </w:r>
          </w:p>
        </w:tc>
      </w:tr>
    </w:tbl>
    <w:p>
      <w:pPr>
        <w:rPr>
          <w:rFonts w:hint="eastAsia" w:ascii="仿宋" w:hAnsi="仿宋" w:eastAsia="仿宋" w:cs="仿宋"/>
          <w:sz w:val="13"/>
          <w:szCs w:val="1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中标供应商在中标公示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结束后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内须提供所投产品的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证明材料原件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或加盖厂家公章的复印件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以及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样品一套送至采购人，供采购人确认，如提供样品不满足招标文件参数要求或与所投产品不符将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依据招标文件和相关规定给予处理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775F"/>
    <w:rsid w:val="2D4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Arial"/>
      <w:sz w:val="28"/>
    </w:rPr>
  </w:style>
  <w:style w:type="paragraph" w:styleId="4">
    <w:name w:val="Body Text Indent"/>
    <w:basedOn w:val="1"/>
    <w:next w:val="5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2020-04-20T01:30:00Z</dcterms:created>
  <dc:creator>一秒淡泊</dc:creator>
  <cp:lastModifiedBy>一秒淡泊</cp:lastModifiedBy>
  <dcterms:modified xsi:type="dcterms:W3CDTF">2020-04-20T01:31:27Z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