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"/>
          <w:tab w:val="left" w:pos="8208"/>
          <w:tab w:val="left" w:pos="8532"/>
        </w:tabs>
        <w:ind w:right="2890" w:rightChars="0"/>
        <w:rPr>
          <w:rFonts w:hint="eastAsia" w:ascii="仿宋_GB2312" w:eastAsia="仿宋_GB2312"/>
          <w:u w:val="none"/>
          <w:lang w:eastAsia="zh-CN"/>
        </w:rPr>
      </w:pPr>
    </w:p>
    <w:p>
      <w:pPr>
        <w:tabs>
          <w:tab w:val="left" w:pos="316"/>
          <w:tab w:val="left" w:pos="8208"/>
          <w:tab w:val="left" w:pos="8532"/>
        </w:tabs>
        <w:ind w:right="2890" w:rightChars="0"/>
        <w:rPr>
          <w:rFonts w:hint="eastAsia" w:ascii="仿宋_GB2312" w:eastAsia="仿宋_GB2312"/>
          <w:u w:val="none"/>
          <w:lang w:eastAsia="zh-CN"/>
        </w:rPr>
      </w:pPr>
    </w:p>
    <w:p>
      <w:pPr>
        <w:tabs>
          <w:tab w:val="left" w:pos="316"/>
          <w:tab w:val="left" w:pos="8208"/>
          <w:tab w:val="left" w:pos="8532"/>
        </w:tabs>
        <w:ind w:right="2890" w:rightChars="0"/>
        <w:rPr>
          <w:rFonts w:hint="eastAsia" w:ascii="仿宋_GB2312" w:eastAsia="仿宋_GB2312"/>
          <w:u w:val="none"/>
          <w:lang w:eastAsia="zh-CN"/>
        </w:rPr>
      </w:pPr>
    </w:p>
    <w:p>
      <w:pPr>
        <w:tabs>
          <w:tab w:val="left" w:pos="316"/>
          <w:tab w:val="left" w:pos="8208"/>
          <w:tab w:val="left" w:pos="8532"/>
        </w:tabs>
        <w:ind w:right="2890" w:rightChars="0"/>
        <w:rPr>
          <w:rFonts w:hint="eastAsia" w:ascii="仿宋_GB2312"/>
        </w:rPr>
      </w:pPr>
      <w:r>
        <w:rPr>
          <w:rFonts w:hint="eastAsia" w:ascii="仿宋_GB2312" w:eastAsia="仿宋_GB2312"/>
          <w:u w:val="none"/>
          <w:lang w:eastAsia="zh-CN"/>
        </w:rPr>
        <w:pict>
          <v:shape id="_x0000_i1025" o:spt="136" type="#_x0000_t136" style="height:89.4pt;width:440.15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舒城县法治宣传教育工作领导小组办公室文件" style="font-family:方正小标宋简体;font-size:36pt;v-text-align:center;"/>
            <w10:wrap type="none"/>
            <w10:anchorlock/>
          </v:shape>
        </w:pict>
      </w:r>
    </w:p>
    <w:p>
      <w:pPr>
        <w:tabs>
          <w:tab w:val="left" w:pos="8505"/>
        </w:tabs>
        <w:rPr>
          <w:rFonts w:hint="eastAsia" w:eastAsia="仿宋_GB2312"/>
          <w:lang w:eastAsia="zh-CN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-119380</wp:posOffset>
                </wp:positionH>
                <wp:positionV relativeFrom="page">
                  <wp:posOffset>3500120</wp:posOffset>
                </wp:positionV>
                <wp:extent cx="5868035" cy="6350"/>
                <wp:effectExtent l="0" t="0" r="0" b="0"/>
                <wp:wrapSquare wrapText="bothSides"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35" cy="635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9.4pt;margin-top:275.6pt;height:0.5pt;width:462.05pt;mso-position-horizontal-relative:margin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o53A2gAAAAsBAAAP&#10;AAAAAAAAAAEAIAAAACIAAABkcnMvZG93bnJldi54bWxQSwECFAAUAAAACACHTuJAfqVB0t0BAACb&#10;AwAADgAAAAAAAAABACAAAAApAQAAZHJzL2Uyb0RvYy54bWxQSwUGAAAAAAYABgBZAQAAeAUAAAAA&#10;">
                <v:fill on="f" focussize="0,0"/>
                <v:stroke weight="2.5pt" color="#FF0000" joinstyle="round"/>
                <v:imagedata o:title=""/>
                <o:lock v:ext="edit" aspectratio="f"/>
                <w10:wrap type="square"/>
                <w10:anchorlock/>
              </v:line>
            </w:pict>
          </mc:Fallback>
        </mc:AlternateContent>
      </w:r>
      <w:r>
        <w:rPr>
          <w:rFonts w:hint="eastAsia"/>
          <w:sz w:val="20"/>
          <w:lang w:val="en-US" w:eastAsia="zh-CN"/>
        </w:rPr>
        <w:t xml:space="preserve"> </w:t>
      </w:r>
      <w:r>
        <w:rPr>
          <w:rFonts w:hint="eastAsia" w:ascii="仿宋_GB2312"/>
          <w:u w:val="none"/>
          <w:lang w:val="en-US" w:eastAsia="zh-CN"/>
        </w:rPr>
        <w:t xml:space="preserve">             </w:t>
      </w:r>
    </w:p>
    <w:p>
      <w:pPr>
        <w:tabs>
          <w:tab w:val="left" w:pos="158"/>
          <w:tab w:val="left" w:pos="8690"/>
        </w:tabs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舒法宣办〔20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outlineLvl w:val="9"/>
        <w:rPr>
          <w:color w:val="auto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/>
        </w:rPr>
        <w:t>关于成立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/>
          <w:lang w:eastAsia="zh-CN"/>
        </w:rPr>
        <w:t>舒城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/>
        </w:rPr>
        <w:t>县民法典宣讲团的通知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各乡镇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开发区，县直各单位: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为深入学习宣传和贯彻实施《中华人民共和国民法典》，扎实做好民法典宣传教育，推动民法典进机关、进单位、进乡村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进学校、进社区、进企业，在全县上下掀起民法典学习宣传热潮，县法宣办决定组建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舒城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县民法典宣讲团(以下简称“宣讲团")，现将有关事项通知如下: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/>
        </w:rPr>
        <w:t>一、人员组成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宣讲团成员由司法机关、行政执法机关、党校、法律服务机构等部门推荐的法官、检察官、机关干部、律师、教师等实务人员和专家学者组成，共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人(名单见附件)。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/>
        </w:rPr>
        <w:t>二、工作任务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宣讲团主要面向全县各乡镇各单位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开展民法典专题宣讲，旨在宣传民法典的重要意义、核心要义和重点问题，阐释解读民法典一系列新规定新概念新精神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宣传民法典对人民群众社会生活的深远影响，让全社会深入了解民法典、尊崇民法典、遵守民法典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运用民法典，进一步引导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全县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广大干部群众认识到民法典既是保护自身权益的法典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也是全体社会成员都必须遵循的规范，养成自觉守法的意识，形成遇事找法的习惯，培养解决问题靠法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、化解矛盾用法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的意识和能力，营造学习宣传贯彻实施民法典的浓厚氛围。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/>
        </w:rPr>
        <w:t>三、工作要求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/>
        </w:rPr>
        <w:t>(一)高度重视、精心准备。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各单位要把民法典的学习贯彻作为当前普法的重要任务，作为“十四五”时期普法工作的重点，切实用好宣讲团的资源优势，通过党委(党组)中心组学习、专题辅导讲座、“法律六进”等形式，确保广大干部群众普遍接受民法典学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宣传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教育。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/>
        </w:rPr>
        <w:t>(二)提高站位，确保实效。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在今后一个时期，宣讲团将集中为全县各层面各领域提供民法典宣讲服务。宣讲团成员要切实提高政治站位，强化责任担当，正确阐释民法典颁布的重要意义和深远影响，科学解答干部群众关心的法律问题，确保宣讲工作取得实效。宣讲团成员所在单位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以关心支持，为其开展民法典宣讲活动创造良好的条件。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/>
        </w:rPr>
        <w:t>(三)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/>
          <w:lang w:eastAsia="zh-CN"/>
        </w:rPr>
        <w:t>沟通协调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/>
        </w:rPr>
        <w:t>，做好宣传。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各单位可根据宣讲主题、宣讲对象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确定拟邀请的宣讲团成员，及时与宣讲团成员或县法宣办联系沟通，妥善开展相关活动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要做好活动宣传和资料收集整理，及时将民法典宣讲活动信息、图片报送县法宣办。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县法宣办联系电话: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>8553011  邮箱：2438665386@qq.com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舒城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县法治宣传教育工作领导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小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组办公室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2020年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/>
        </w:rPr>
        <w:br w:type="textWrapping"/>
      </w:r>
    </w:p>
    <w:tbl>
      <w:tblPr>
        <w:tblStyle w:val="5"/>
        <w:tblpPr w:leftFromText="180" w:rightFromText="180" w:vertAnchor="text" w:horzAnchor="page" w:tblpX="1585" w:tblpY="12951"/>
        <w:tblOverlap w:val="never"/>
        <w:tblW w:w="9251" w:type="dxa"/>
        <w:tblInd w:w="0" w:type="dxa"/>
        <w:tblBorders>
          <w:top w:val="single" w:color="auto" w:sz="12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1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eastAsia" w:ascii="Times New Roman" w:hAnsi="Times New Roman" w:eastAsia="仿宋_GB2312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抄送：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市法宣办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251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pStyle w:val="2"/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舒城县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法治宣传教育工作领导小组办公室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20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/>
        </w:rPr>
      </w:pPr>
    </w:p>
    <w:sectPr>
      <w:pgSz w:w="11906" w:h="16838"/>
      <w:pgMar w:top="1134" w:right="1701" w:bottom="1134" w:left="170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00BE6"/>
    <w:rsid w:val="01B32B27"/>
    <w:rsid w:val="0C5C5665"/>
    <w:rsid w:val="12190498"/>
    <w:rsid w:val="349B3105"/>
    <w:rsid w:val="3AAF0E58"/>
    <w:rsid w:val="42100BE6"/>
    <w:rsid w:val="4F567AA3"/>
    <w:rsid w:val="5DBA6831"/>
    <w:rsid w:val="608E554E"/>
    <w:rsid w:val="61C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40" w:lineRule="exact"/>
    </w:pPr>
    <w:rPr>
      <w:rFonts w:ascii="Calibri" w:hAnsi="Calibri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2020-09-17T03:02:00Z</dcterms:created>
  <dc:creator>舒城普法</dc:creator>
  <cp:lastModifiedBy>Angela Du胖娇ོ </cp:lastModifiedBy>
  <dcterms:modified xsi:type="dcterms:W3CDTF">2020-09-23T00:17:01Z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