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舒城县农业农村局</w:t>
      </w:r>
      <w:r>
        <w:rPr>
          <w:rFonts w:hint="eastAsia" w:ascii="方正小标宋简体" w:hAnsi="方正小标宋简体" w:eastAsia="方正小标宋简体" w:cs="方正小标宋简体"/>
          <w:sz w:val="32"/>
          <w:szCs w:val="32"/>
          <w:lang w:val="en-US" w:eastAsia="zh-CN"/>
        </w:rPr>
        <w:t>2020年政府信息公开工作年度报告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为了更好地向群众提供政府信息公开服务，根据《中华人民共和国政府信息公开条例》（国务院令第492号公布，国务院令第711号修订，以下简称条例），严格对照《中华人民共和国政府信息公开工作年报报告格式（试行）》的要求，编制2020年度舒城县农业农村局信息公开年度报告，年度报告数据统计时间为2020年1月1日至2020年12月31日，分别从以下六个方面进行梳理汇报。如对本报告有任何疑问，请与舒城县农业农村局联系。（地址：城关镇桃溪路与古城北路交叉口向东约150米，电话：0564-8621215，邮箱：</w:t>
      </w:r>
      <w:r>
        <w:rPr>
          <w:rFonts w:hint="eastAsia" w:ascii="Times New Roman" w:hAnsi="Times New Roman" w:eastAsia="方正仿宋_GB2312" w:cs="Times New Roman"/>
          <w:sz w:val="32"/>
          <w:szCs w:val="32"/>
          <w:lang w:val="en-US" w:eastAsia="zh-CN"/>
        </w:rPr>
        <w:fldChar w:fldCharType="begin"/>
      </w:r>
      <w:r>
        <w:rPr>
          <w:rFonts w:hint="eastAsia" w:ascii="Times New Roman" w:hAnsi="Times New Roman" w:eastAsia="方正仿宋_GB2312" w:cs="Times New Roman"/>
          <w:sz w:val="32"/>
          <w:szCs w:val="32"/>
          <w:lang w:val="en-US" w:eastAsia="zh-CN"/>
        </w:rPr>
        <w:instrText xml:space="preserve"> HYPERLINK "mailto:scnwbgs@126.com）" </w:instrText>
      </w:r>
      <w:r>
        <w:rPr>
          <w:rFonts w:hint="eastAsia" w:ascii="Times New Roman" w:hAnsi="Times New Roman" w:eastAsia="方正仿宋_GB2312" w:cs="Times New Roman"/>
          <w:sz w:val="32"/>
          <w:szCs w:val="32"/>
          <w:lang w:val="en-US" w:eastAsia="zh-CN"/>
        </w:rPr>
        <w:fldChar w:fldCharType="separate"/>
      </w:r>
      <w:r>
        <w:rPr>
          <w:rStyle w:val="5"/>
          <w:rFonts w:hint="eastAsia" w:ascii="Times New Roman" w:hAnsi="Times New Roman" w:eastAsia="方正仿宋_GB2312" w:cs="Times New Roman"/>
          <w:sz w:val="32"/>
          <w:szCs w:val="32"/>
          <w:lang w:val="en-US" w:eastAsia="zh-CN"/>
        </w:rPr>
        <w:t>scnwbgs@126.com）</w:t>
      </w:r>
      <w:r>
        <w:rPr>
          <w:rFonts w:hint="eastAsia" w:ascii="Times New Roman" w:hAnsi="Times New Roman" w:eastAsia="方正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2020年度，我局认真贯彻落实新条例精神，根据《2020年政务公开工作考评方案》要求，围绕年度政务公开重点工作任务，深入解读“六稳”“六保”政策，优化营商环境，完善基层政务公开标准化规范化，坚持以公开为常态、不公开为例外，做到了应公开尽公开，并严格按照政务公开格式和要求，信息发布及时，目录清晰明确。有序推进政务信息公开工作，切实保障人民群众对我县农业农村工作的知情权、参与权、表达权和监督权。</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主动公开情况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2020年，我局根据《安徽省人民政府办公厅关于印发2020年政务公开重点工作任务分工的通知》，全年主动公开政府信息共421条，主要包括精准扶贫信息、行政权力公开信息、“六稳”“六保”信息和政策解读信息等。</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加强用权公开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及时规范公开本机关权责清单和公共服务清单，公开机关职能、机构设置、办公地址、办公时间、联系方式等信息，组织编写县农业农村局机关职能目录；规范重大决策预公开机制，向社会公开征求意见，不低于30日，同步发布意见反馈和意见征集情况。全年召开1场新闻发布会，在“市长热线”平台回应13次，省信访平台办件4次，政府网留言回应1次，全部申请事项均按要求做好回复和不予公开说明工作，回复率达100%。</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重点领域信息公开</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突出做好行业扶贫、社会公益事业及民生领域、政策文件解读等信息公开工作，全年重点领域信息公开54条，围绕放管服、优化营商环境等信息政策解读26条。</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“六稳”“六保”工作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333333"/>
          <w:spacing w:val="0"/>
          <w:sz w:val="32"/>
          <w:szCs w:val="32"/>
          <w:bdr w:val="none" w:color="auto" w:sz="0" w:space="0"/>
          <w:shd w:val="clear" w:fill="FFFFFF"/>
          <w:lang w:val="en-US" w:eastAsia="zh-CN"/>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lang w:eastAsia="zh-CN"/>
        </w:rPr>
        <w:t>全年围绕</w:t>
      </w:r>
      <w:r>
        <w:rPr>
          <w:rFonts w:hint="eastAsia" w:ascii="Times New Roman" w:hAnsi="Times New Roman" w:eastAsia="方正仿宋_GB2312" w:cs="Times New Roman"/>
          <w:sz w:val="32"/>
          <w:szCs w:val="32"/>
          <w:lang w:val="en-US" w:eastAsia="zh-CN"/>
        </w:rPr>
        <w:t>“六稳”“六保”工作</w:t>
      </w:r>
      <w:r>
        <w:rPr>
          <w:rFonts w:ascii="方正仿宋_GB2312" w:hAnsi="方正仿宋_GB2312" w:eastAsia="方正仿宋_GB2312" w:cs="方正仿宋_GB2312"/>
          <w:i w:val="0"/>
          <w:caps w:val="0"/>
          <w:color w:val="333333"/>
          <w:spacing w:val="0"/>
          <w:sz w:val="32"/>
          <w:szCs w:val="32"/>
          <w:bdr w:val="none" w:color="auto" w:sz="0" w:space="0"/>
          <w:shd w:val="clear" w:fill="FFFFFF"/>
        </w:rPr>
        <w:t>积极主动回应农户关于疫情期间春耕备耕、秋种秋收的技术指导意见，并就保民生、保粮食能源安全等百姓关注度较高的问题</w:t>
      </w:r>
      <w:r>
        <w:rPr>
          <w:rFonts w:hint="default" w:ascii="Times New Roman" w:hAnsi="Times New Roman" w:eastAsia="宋体" w:cs="Times New Roman"/>
          <w:i w:val="0"/>
          <w:caps w:val="0"/>
          <w:color w:val="333333"/>
          <w:spacing w:val="0"/>
          <w:sz w:val="32"/>
          <w:szCs w:val="32"/>
          <w:bdr w:val="none" w:color="auto" w:sz="0" w:space="0"/>
          <w:shd w:val="clear" w:fill="FFFFFF"/>
        </w:rPr>
        <w:t>7</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lang w:eastAsia="zh-CN"/>
        </w:rPr>
        <w:t>，从决策背景和依据、制定意义和总体考虑、研判和起草过程、工作目标、主要任务、创新举措、保障措施和下一</w:t>
      </w:r>
      <w:r>
        <w:rPr>
          <w:rFonts w:hint="default" w:ascii="Times New Roman" w:hAnsi="Times New Roman" w:eastAsia="方正仿宋_GB2312" w:cs="Times New Roman"/>
          <w:i w:val="0"/>
          <w:caps w:val="0"/>
          <w:color w:val="333333"/>
          <w:spacing w:val="0"/>
          <w:sz w:val="32"/>
          <w:szCs w:val="32"/>
          <w:bdr w:val="none" w:color="auto" w:sz="0" w:space="0"/>
          <w:shd w:val="clear" w:fill="FFFFFF"/>
          <w:lang w:eastAsia="zh-CN"/>
        </w:rPr>
        <w:t>步工作等</w:t>
      </w:r>
      <w:r>
        <w:rPr>
          <w:rFonts w:hint="default" w:ascii="Times New Roman" w:hAnsi="Times New Roman" w:eastAsia="方正仿宋_GB2312" w:cs="Times New Roman"/>
          <w:i w:val="0"/>
          <w:caps w:val="0"/>
          <w:color w:val="333333"/>
          <w:spacing w:val="0"/>
          <w:sz w:val="32"/>
          <w:szCs w:val="32"/>
          <w:bdr w:val="none" w:color="auto" w:sz="0" w:space="0"/>
          <w:shd w:val="clear" w:fill="FFFFFF"/>
          <w:lang w:val="en-US" w:eastAsia="zh-CN"/>
        </w:rPr>
        <w:t>7个</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lang w:val="en-US" w:eastAsia="zh-CN"/>
        </w:rPr>
        <w:t>实质性内容来进行政策文字解读，方便群众查阅和知晓。</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方正仿宋_GB2312" w:cs="Times New Roman"/>
          <w:i w:val="0"/>
          <w:caps w:val="0"/>
          <w:color w:val="333333"/>
          <w:spacing w:val="0"/>
          <w:sz w:val="32"/>
          <w:szCs w:val="32"/>
          <w:bdr w:val="none" w:color="auto" w:sz="0" w:space="0"/>
          <w:shd w:val="clear" w:fill="FFFFFF"/>
          <w:lang w:val="en-US" w:eastAsia="zh-CN"/>
        </w:rPr>
      </w:pPr>
      <w:r>
        <w:rPr>
          <w:rFonts w:hint="default" w:ascii="Times New Roman" w:hAnsi="Times New Roman" w:eastAsia="方正仿宋_GB2312" w:cs="Times New Roman"/>
          <w:i w:val="0"/>
          <w:caps w:val="0"/>
          <w:color w:val="333333"/>
          <w:spacing w:val="0"/>
          <w:sz w:val="32"/>
          <w:szCs w:val="32"/>
          <w:bdr w:val="none" w:color="auto" w:sz="0" w:space="0"/>
          <w:shd w:val="clear" w:fill="FFFFFF"/>
          <w:lang w:val="en-US" w:eastAsia="zh-CN"/>
        </w:rPr>
        <w:t>基层政务公开标准化规范化工作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default" w:ascii="方正仿宋_GB2312" w:hAnsi="方正仿宋_GB2312" w:eastAsia="方正仿宋_GB2312" w:cs="方正仿宋_GB2312"/>
          <w:i w:val="0"/>
          <w:caps w:val="0"/>
          <w:color w:val="333333"/>
          <w:spacing w:val="0"/>
          <w:sz w:val="32"/>
          <w:szCs w:val="32"/>
          <w:bdr w:val="none" w:color="auto" w:sz="0" w:space="0"/>
          <w:shd w:val="clear" w:fill="FFFFFF"/>
          <w:lang w:val="en-US" w:eastAsia="zh-CN"/>
        </w:rPr>
      </w:pPr>
      <w:r>
        <w:rPr>
          <w:rFonts w:hint="default" w:ascii="Times New Roman" w:hAnsi="Times New Roman" w:eastAsia="方正仿宋_GB2312" w:cs="Times New Roman"/>
          <w:i w:val="0"/>
          <w:caps w:val="0"/>
          <w:color w:val="333333"/>
          <w:spacing w:val="0"/>
          <w:sz w:val="32"/>
          <w:szCs w:val="32"/>
          <w:bdr w:val="none" w:color="auto" w:sz="0" w:space="0"/>
          <w:shd w:val="clear" w:fill="FFFFFF"/>
          <w:lang w:val="en-US" w:eastAsia="zh-CN"/>
        </w:rPr>
        <w:t>严格对照权责清单和公共服务事项清单，我局在“两化栏目”中，及时完善有关信息，全年发布</w:t>
      </w:r>
      <w:r>
        <w:rPr>
          <w:rFonts w:hint="default" w:ascii="Times New Roman" w:hAnsi="Times New Roman" w:eastAsia="方正仿宋_GB2312" w:cs="Times New Roman"/>
          <w:i w:val="0"/>
          <w:caps w:val="0"/>
          <w:color w:val="333333"/>
          <w:spacing w:val="0"/>
          <w:sz w:val="32"/>
          <w:szCs w:val="32"/>
          <w:bdr w:val="none" w:color="auto" w:sz="0" w:space="0"/>
          <w:shd w:val="clear" w:fill="FFFFFF"/>
        </w:rPr>
        <w:t>农村“三大革命”信息</w:t>
      </w:r>
      <w:r>
        <w:rPr>
          <w:rFonts w:hint="default" w:ascii="Times New Roman" w:hAnsi="Times New Roman" w:eastAsia="宋体" w:cs="Times New Roman"/>
          <w:i w:val="0"/>
          <w:caps w:val="0"/>
          <w:color w:val="333333"/>
          <w:spacing w:val="0"/>
          <w:sz w:val="32"/>
          <w:szCs w:val="32"/>
          <w:bdr w:val="none" w:color="auto" w:sz="0" w:space="0"/>
          <w:shd w:val="clear" w:fill="FFFFFF"/>
        </w:rPr>
        <w:t>5</w:t>
      </w:r>
      <w:r>
        <w:rPr>
          <w:rFonts w:hint="default" w:ascii="Times New Roman" w:hAnsi="Times New Roman" w:eastAsia="方正仿宋_GB2312" w:cs="Times New Roman"/>
          <w:i w:val="0"/>
          <w:caps w:val="0"/>
          <w:color w:val="333333"/>
          <w:spacing w:val="0"/>
          <w:sz w:val="32"/>
          <w:szCs w:val="32"/>
          <w:bdr w:val="none" w:color="auto" w:sz="0" w:space="0"/>
          <w:shd w:val="clear" w:fill="FFFFFF"/>
        </w:rPr>
        <w:t>条，行业扶贫相关财政信息</w:t>
      </w:r>
      <w:r>
        <w:rPr>
          <w:rFonts w:hint="default" w:ascii="Times New Roman" w:hAnsi="Times New Roman" w:eastAsia="宋体" w:cs="Times New Roman"/>
          <w:i w:val="0"/>
          <w:caps w:val="0"/>
          <w:color w:val="333333"/>
          <w:spacing w:val="0"/>
          <w:sz w:val="32"/>
          <w:szCs w:val="32"/>
          <w:bdr w:val="none" w:color="auto" w:sz="0" w:space="0"/>
          <w:shd w:val="clear" w:fill="FFFFFF"/>
        </w:rPr>
        <w:t>52</w:t>
      </w:r>
      <w:r>
        <w:rPr>
          <w:rFonts w:hint="default" w:ascii="Times New Roman" w:hAnsi="Times New Roman" w:eastAsia="方正仿宋_GB2312" w:cs="Times New Roman"/>
          <w:i w:val="0"/>
          <w:caps w:val="0"/>
          <w:color w:val="333333"/>
          <w:spacing w:val="0"/>
          <w:sz w:val="32"/>
          <w:szCs w:val="32"/>
          <w:bdr w:val="none" w:color="auto" w:sz="0" w:space="0"/>
          <w:shd w:val="clear" w:fill="FFFFFF"/>
        </w:rPr>
        <w:t>条，涉农补贴资金信息</w:t>
      </w:r>
      <w:r>
        <w:rPr>
          <w:rFonts w:hint="default" w:ascii="Times New Roman" w:hAnsi="Times New Roman" w:eastAsia="宋体" w:cs="Times New Roman"/>
          <w:i w:val="0"/>
          <w:caps w:val="0"/>
          <w:color w:val="333333"/>
          <w:spacing w:val="0"/>
          <w:sz w:val="32"/>
          <w:szCs w:val="32"/>
          <w:bdr w:val="none" w:color="auto" w:sz="0" w:space="0"/>
          <w:shd w:val="clear" w:fill="FFFFFF"/>
        </w:rPr>
        <w:t>26</w:t>
      </w:r>
      <w:r>
        <w:rPr>
          <w:rFonts w:hint="default" w:ascii="Times New Roman" w:hAnsi="Times New Roman" w:eastAsia="方正仿宋_GB2312" w:cs="Times New Roman"/>
          <w:i w:val="0"/>
          <w:caps w:val="0"/>
          <w:color w:val="333333"/>
          <w:spacing w:val="0"/>
          <w:sz w:val="32"/>
          <w:szCs w:val="32"/>
          <w:bdr w:val="none" w:color="auto" w:sz="0" w:space="0"/>
          <w:shd w:val="clear" w:fill="FFFFFF"/>
        </w:rPr>
        <w:t>条，粮食安全信息</w:t>
      </w:r>
      <w:r>
        <w:rPr>
          <w:rFonts w:hint="default" w:ascii="Times New Roman" w:hAnsi="Times New Roman" w:eastAsia="宋体" w:cs="Times New Roman"/>
          <w:i w:val="0"/>
          <w:caps w:val="0"/>
          <w:color w:val="333333"/>
          <w:spacing w:val="0"/>
          <w:sz w:val="32"/>
          <w:szCs w:val="32"/>
          <w:bdr w:val="none" w:color="auto" w:sz="0" w:space="0"/>
          <w:shd w:val="clear" w:fill="FFFFFF"/>
        </w:rPr>
        <w:t>15</w:t>
      </w:r>
      <w:r>
        <w:rPr>
          <w:rFonts w:hint="default" w:ascii="Times New Roman" w:hAnsi="Times New Roman" w:eastAsia="方正仿宋_GB2312" w:cs="Times New Roman"/>
          <w:i w:val="0"/>
          <w:caps w:val="0"/>
          <w:color w:val="333333"/>
          <w:spacing w:val="0"/>
          <w:sz w:val="32"/>
          <w:szCs w:val="32"/>
          <w:bdr w:val="none" w:color="auto" w:sz="0" w:space="0"/>
          <w:shd w:val="clear" w:fill="FFFFFF"/>
        </w:rPr>
        <w:t>条等。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依申请公开情况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严格按照《安徽省政府信息公开申请办理答复规范的通知》（皖政务办秘〔2020〕5号）文件要求，进一步规范我局依申请公开事项，完善依申请公开的登记、审核、办理、答复、归档等工作制度，统一规范政府信息公开答复文书 格式。2020年收到依申请公开1件（线下办理）。全年无信息公开举报、复议和诉讼等情形。</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政府信息管理情况</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加强组织领导，政务公开领导小组由局长任组长，分管副局长任副组长，办公室为主要责任股室，各股室负责人任领导小组成员，安排专人承担政务公开发布、审核工作，排查信息中存在的错字、个人隐私等问题，确保信息发布的准确性、严肃性和合法性。认真撰写年度报告、数据统计等工作，完善相关工作机制，多次在局领导班子和全体职工大会上强调部署每季度的政务公开工作要点和问题整改情况通报，不断提升我局政务信息公开质量和数量。</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平台建设情况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按照实际工作需要和年度考核内容，及时调整、细化公开目录，切实加强信息发布的时效性；对出台的政策文件3日内配备多种形式的解读材料，调高解读质量，便于群众理解；新增“六稳”“六保”专项工作栏目，及时回应人民群众关心的社会民生等问题，同时通过市长热线、信访平台等答复群众留言。</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监督保障</w:t>
      </w:r>
    </w:p>
    <w:p>
      <w:pPr>
        <w:keepNext w:val="0"/>
        <w:keepLines w:val="0"/>
        <w:pageBreakBefore w:val="0"/>
        <w:widowControl w:val="0"/>
        <w:numPr>
          <w:ilvl w:val="0"/>
          <w:numId w:val="4"/>
        </w:numPr>
        <w:kinsoku/>
        <w:wordWrap/>
        <w:overflowPunct/>
        <w:topLinePunct w:val="0"/>
        <w:autoSpaceDE/>
        <w:autoSpaceDN/>
        <w:bidi w:val="0"/>
        <w:adjustRightInd/>
        <w:snapToGrid/>
        <w:ind w:firstLine="64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健全制度保障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更新完善政务公开十二项制度，根据人员变动及时调整成立农业农村局政务公开领导小组，由局长任小组组长，分管负责人任副组长，各股室负责人任小组成员，由办公室一名经办人具体负责信息内容发布，办公室主任负责信息发布审核工作。进一步把政务公开工作列入本年度的重点任务，强化主体责任，加强政务信息隐私排查。</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强化整改成效</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按照季度监测反馈结果，对照评分标准，完善公开目录，查找问题并及时整改，同步发布整改结果。积极开展自查自纠工作，狠抓整改落实，实现政府信息公开工作的规范化。同时认真贯彻落实《舒城县人民政府办公室关于开展政务公开“六提六促”专项行动的通知》（秘函〔2020〕31号）文件要求，制定整改方案，将“六提六促”工作贯穿全年，长期推进。</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加强监督力度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公布监督举报电话、邮箱、地址等，鼓励群众监督和舆论监督，进一步规范政务信息公开工作，提升工作效果。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主动公开政府信息情况</w:t>
      </w:r>
    </w:p>
    <w:tbl>
      <w:tblPr>
        <w:tblStyle w:val="3"/>
        <w:tblW w:w="0" w:type="auto"/>
        <w:jc w:val="center"/>
        <w:shd w:val="clear" w:color="auto" w:fill="auto"/>
        <w:tblLayout w:type="fixed"/>
        <w:tblCellMar>
          <w:top w:w="0" w:type="dxa"/>
          <w:left w:w="0" w:type="dxa"/>
          <w:bottom w:w="0" w:type="dxa"/>
          <w:right w:w="0" w:type="dxa"/>
        </w:tblCellMar>
      </w:tblPr>
      <w:tblGrid>
        <w:gridCol w:w="3607"/>
        <w:gridCol w:w="1875"/>
        <w:gridCol w:w="6"/>
        <w:gridCol w:w="1732"/>
        <w:gridCol w:w="1889"/>
      </w:tblGrid>
      <w:tr>
        <w:tblPrEx>
          <w:shd w:val="clear" w:color="auto" w:fill="auto"/>
          <w:tblCellMar>
            <w:top w:w="0" w:type="dxa"/>
            <w:left w:w="0" w:type="dxa"/>
            <w:bottom w:w="0" w:type="dxa"/>
            <w:right w:w="0" w:type="dxa"/>
          </w:tblCellMar>
        </w:tblPrEx>
        <w:trPr>
          <w:trHeight w:val="495" w:hRule="atLeast"/>
          <w:jc w:val="center"/>
        </w:trPr>
        <w:tc>
          <w:tcPr>
            <w:tcW w:w="9109"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第二十条第（一）项</w:t>
            </w:r>
          </w:p>
        </w:tc>
      </w:tr>
      <w:tr>
        <w:tblPrEx>
          <w:tblCellMar>
            <w:top w:w="0" w:type="dxa"/>
            <w:left w:w="0" w:type="dxa"/>
            <w:bottom w:w="0" w:type="dxa"/>
            <w:right w:w="0" w:type="dxa"/>
          </w:tblCellMar>
        </w:tblPrEx>
        <w:trPr>
          <w:trHeight w:val="390"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本年新</w:t>
            </w:r>
            <w:r>
              <w:rPr>
                <w:rFonts w:hint="eastAsia" w:ascii="宋体" w:hAnsi="宋体" w:eastAsia="宋体" w:cs="Times New Roman"/>
                <w:kern w:val="0"/>
                <w:sz w:val="21"/>
                <w:szCs w:val="21"/>
              </w:rPr>
              <w:t>制作数量</w:t>
            </w:r>
          </w:p>
        </w:tc>
        <w:tc>
          <w:tcPr>
            <w:tcW w:w="1738"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本年新</w:t>
            </w:r>
            <w:r>
              <w:rPr>
                <w:rFonts w:hint="eastAsia" w:ascii="宋体" w:hAnsi="宋体" w:eastAsia="宋体" w:cs="Times New Roman"/>
                <w:kern w:val="0"/>
                <w:sz w:val="21"/>
                <w:szCs w:val="21"/>
              </w:rPr>
              <w:t>公开数量</w:t>
            </w:r>
          </w:p>
        </w:tc>
        <w:tc>
          <w:tcPr>
            <w:tcW w:w="18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对外公开总数量</w:t>
            </w:r>
          </w:p>
        </w:tc>
      </w:tr>
      <w:tr>
        <w:tblPrEx>
          <w:tblCellMar>
            <w:top w:w="0" w:type="dxa"/>
            <w:left w:w="0" w:type="dxa"/>
            <w:bottom w:w="0" w:type="dxa"/>
            <w:right w:w="0" w:type="dxa"/>
          </w:tblCellMar>
        </w:tblPrEx>
        <w:trPr>
          <w:trHeight w:val="523"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规章</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color w:val="000000"/>
                <w:kern w:val="0"/>
                <w:sz w:val="21"/>
                <w:szCs w:val="21"/>
                <w:lang w:val="en-US" w:eastAsia="zh-CN"/>
              </w:rPr>
              <w:t>0</w:t>
            </w:r>
          </w:p>
        </w:tc>
        <w:tc>
          <w:tcPr>
            <w:tcW w:w="173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color w:val="000000"/>
                <w:kern w:val="0"/>
                <w:sz w:val="21"/>
                <w:szCs w:val="21"/>
                <w:lang w:val="en-US" w:eastAsia="zh-CN"/>
              </w:rPr>
              <w:t>0</w:t>
            </w:r>
          </w:p>
        </w:tc>
        <w:tc>
          <w:tcPr>
            <w:tcW w:w="18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color w:val="000000"/>
                <w:kern w:val="0"/>
                <w:sz w:val="21"/>
                <w:szCs w:val="21"/>
                <w:lang w:val="en-US" w:eastAsia="zh-CN"/>
              </w:rPr>
              <w:t>0</w:t>
            </w:r>
          </w:p>
        </w:tc>
      </w:tr>
      <w:tr>
        <w:tblPrEx>
          <w:tblCellMar>
            <w:top w:w="0" w:type="dxa"/>
            <w:left w:w="0" w:type="dxa"/>
            <w:bottom w:w="0" w:type="dxa"/>
            <w:right w:w="0" w:type="dxa"/>
          </w:tblCellMar>
        </w:tblPrEx>
        <w:trPr>
          <w:trHeight w:val="471"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规范性文件</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color w:val="000000"/>
                <w:kern w:val="0"/>
                <w:sz w:val="21"/>
                <w:szCs w:val="21"/>
                <w:lang w:val="en-US" w:eastAsia="zh-CN"/>
              </w:rPr>
              <w:t>0</w:t>
            </w:r>
          </w:p>
        </w:tc>
        <w:tc>
          <w:tcPr>
            <w:tcW w:w="173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color w:val="000000"/>
                <w:kern w:val="0"/>
                <w:sz w:val="21"/>
                <w:szCs w:val="21"/>
                <w:lang w:val="en-US" w:eastAsia="zh-CN"/>
              </w:rPr>
              <w:t>0</w:t>
            </w:r>
          </w:p>
        </w:tc>
        <w:tc>
          <w:tcPr>
            <w:tcW w:w="18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color w:val="000000"/>
                <w:kern w:val="0"/>
                <w:sz w:val="21"/>
                <w:szCs w:val="21"/>
                <w:lang w:val="en-US" w:eastAsia="zh-CN"/>
              </w:rPr>
              <w:t>0</w:t>
            </w:r>
          </w:p>
        </w:tc>
      </w:tr>
      <w:tr>
        <w:tblPrEx>
          <w:tblCellMar>
            <w:top w:w="0" w:type="dxa"/>
            <w:left w:w="0" w:type="dxa"/>
            <w:bottom w:w="0" w:type="dxa"/>
            <w:right w:w="0" w:type="dxa"/>
          </w:tblCellMar>
        </w:tblPrEx>
        <w:trPr>
          <w:trHeight w:val="480" w:hRule="atLeast"/>
          <w:jc w:val="center"/>
        </w:trPr>
        <w:tc>
          <w:tcPr>
            <w:tcW w:w="9109"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第二十条第（五）项</w:t>
            </w:r>
          </w:p>
        </w:tc>
      </w:tr>
      <w:tr>
        <w:tblPrEx>
          <w:tblCellMar>
            <w:top w:w="0" w:type="dxa"/>
            <w:left w:w="0" w:type="dxa"/>
            <w:bottom w:w="0" w:type="dxa"/>
            <w:right w:w="0" w:type="dxa"/>
          </w:tblCellMar>
        </w:tblPrEx>
        <w:trPr>
          <w:trHeight w:val="634"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上一年项目数量</w:t>
            </w:r>
          </w:p>
        </w:tc>
        <w:tc>
          <w:tcPr>
            <w:tcW w:w="1738"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本年增/减</w:t>
            </w:r>
          </w:p>
        </w:tc>
        <w:tc>
          <w:tcPr>
            <w:tcW w:w="18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处理决定数量</w:t>
            </w:r>
          </w:p>
        </w:tc>
      </w:tr>
      <w:tr>
        <w:tblPrEx>
          <w:tblCellMar>
            <w:top w:w="0" w:type="dxa"/>
            <w:left w:w="0" w:type="dxa"/>
            <w:bottom w:w="0" w:type="dxa"/>
            <w:right w:w="0" w:type="dxa"/>
          </w:tblCellMar>
        </w:tblPrEx>
        <w:trPr>
          <w:trHeight w:val="528"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行政许可</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19</w:t>
            </w:r>
          </w:p>
        </w:tc>
        <w:tc>
          <w:tcPr>
            <w:tcW w:w="17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0</w:t>
            </w:r>
          </w:p>
        </w:tc>
        <w:tc>
          <w:tcPr>
            <w:tcW w:w="18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370</w:t>
            </w:r>
          </w:p>
        </w:tc>
      </w:tr>
      <w:tr>
        <w:tblPrEx>
          <w:tblCellMar>
            <w:top w:w="0" w:type="dxa"/>
            <w:left w:w="0" w:type="dxa"/>
            <w:bottom w:w="0" w:type="dxa"/>
            <w:right w:w="0" w:type="dxa"/>
          </w:tblCellMar>
        </w:tblPrEx>
        <w:trPr>
          <w:trHeight w:val="550"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其他对外管理服务事项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56</w:t>
            </w:r>
          </w:p>
        </w:tc>
        <w:tc>
          <w:tcPr>
            <w:tcW w:w="17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0</w:t>
            </w:r>
          </w:p>
        </w:tc>
        <w:tc>
          <w:tcPr>
            <w:tcW w:w="18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25</w:t>
            </w:r>
          </w:p>
        </w:tc>
      </w:tr>
      <w:tr>
        <w:tblPrEx>
          <w:tblCellMar>
            <w:top w:w="0" w:type="dxa"/>
            <w:left w:w="0" w:type="dxa"/>
            <w:bottom w:w="0" w:type="dxa"/>
            <w:right w:w="0" w:type="dxa"/>
          </w:tblCellMar>
        </w:tblPrEx>
        <w:trPr>
          <w:trHeight w:val="406" w:hRule="atLeast"/>
          <w:jc w:val="center"/>
        </w:trPr>
        <w:tc>
          <w:tcPr>
            <w:tcW w:w="9109"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第二十条第（六）项</w:t>
            </w:r>
          </w:p>
        </w:tc>
      </w:tr>
      <w:tr>
        <w:tblPrEx>
          <w:tblCellMar>
            <w:top w:w="0" w:type="dxa"/>
            <w:left w:w="0" w:type="dxa"/>
            <w:bottom w:w="0" w:type="dxa"/>
            <w:right w:w="0" w:type="dxa"/>
          </w:tblCellMar>
        </w:tblPrEx>
        <w:trPr>
          <w:trHeight w:val="634"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上一年项目数量</w:t>
            </w:r>
          </w:p>
        </w:tc>
        <w:tc>
          <w:tcPr>
            <w:tcW w:w="1738"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本年增/减</w:t>
            </w:r>
          </w:p>
        </w:tc>
        <w:tc>
          <w:tcPr>
            <w:tcW w:w="18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处理决定数量</w:t>
            </w:r>
          </w:p>
        </w:tc>
      </w:tr>
      <w:tr>
        <w:tblPrEx>
          <w:tblCellMar>
            <w:top w:w="0" w:type="dxa"/>
            <w:left w:w="0" w:type="dxa"/>
            <w:bottom w:w="0" w:type="dxa"/>
            <w:right w:w="0" w:type="dxa"/>
          </w:tblCellMar>
        </w:tblPrEx>
        <w:trPr>
          <w:trHeight w:val="430"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行政处罚</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136</w:t>
            </w:r>
          </w:p>
        </w:tc>
        <w:tc>
          <w:tcPr>
            <w:tcW w:w="17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增88</w:t>
            </w:r>
          </w:p>
        </w:tc>
        <w:tc>
          <w:tcPr>
            <w:tcW w:w="18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26</w:t>
            </w:r>
          </w:p>
        </w:tc>
      </w:tr>
      <w:tr>
        <w:tblPrEx>
          <w:tblCellMar>
            <w:top w:w="0" w:type="dxa"/>
            <w:left w:w="0" w:type="dxa"/>
            <w:bottom w:w="0" w:type="dxa"/>
            <w:right w:w="0" w:type="dxa"/>
          </w:tblCellMar>
        </w:tblPrEx>
        <w:trPr>
          <w:trHeight w:val="409"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行政强制</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12</w:t>
            </w:r>
          </w:p>
        </w:tc>
        <w:tc>
          <w:tcPr>
            <w:tcW w:w="17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减11</w:t>
            </w:r>
          </w:p>
        </w:tc>
        <w:tc>
          <w:tcPr>
            <w:tcW w:w="18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474" w:hRule="atLeast"/>
          <w:jc w:val="center"/>
        </w:trPr>
        <w:tc>
          <w:tcPr>
            <w:tcW w:w="9109"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第二十条第（八）项</w:t>
            </w:r>
          </w:p>
        </w:tc>
      </w:tr>
      <w:tr>
        <w:tblPrEx>
          <w:tblCellMar>
            <w:top w:w="0" w:type="dxa"/>
            <w:left w:w="0" w:type="dxa"/>
            <w:bottom w:w="0" w:type="dxa"/>
            <w:right w:w="0" w:type="dxa"/>
          </w:tblCellMar>
        </w:tblPrEx>
        <w:trPr>
          <w:trHeight w:val="270"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上一年项目数量</w:t>
            </w:r>
          </w:p>
        </w:tc>
        <w:tc>
          <w:tcPr>
            <w:tcW w:w="3621"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本年增/减</w:t>
            </w:r>
          </w:p>
        </w:tc>
      </w:tr>
      <w:tr>
        <w:tblPrEx>
          <w:tblCellMar>
            <w:top w:w="0" w:type="dxa"/>
            <w:left w:w="0" w:type="dxa"/>
            <w:bottom w:w="0" w:type="dxa"/>
            <w:right w:w="0" w:type="dxa"/>
          </w:tblCellMar>
        </w:tblPrEx>
        <w:trPr>
          <w:trHeight w:val="551"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行政事业性收费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color w:val="000000"/>
                <w:kern w:val="0"/>
                <w:sz w:val="21"/>
                <w:szCs w:val="21"/>
                <w:lang w:val="en-US" w:eastAsia="zh-CN"/>
              </w:rPr>
              <w:t>0</w:t>
            </w:r>
          </w:p>
        </w:tc>
        <w:tc>
          <w:tcPr>
            <w:tcW w:w="3621"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color w:val="000000"/>
                <w:kern w:val="0"/>
                <w:sz w:val="21"/>
                <w:szCs w:val="21"/>
                <w:lang w:val="en-US" w:eastAsia="zh-CN"/>
              </w:rPr>
              <w:t>0</w:t>
            </w:r>
          </w:p>
        </w:tc>
      </w:tr>
      <w:tr>
        <w:tblPrEx>
          <w:tblCellMar>
            <w:top w:w="0" w:type="dxa"/>
            <w:left w:w="0" w:type="dxa"/>
            <w:bottom w:w="0" w:type="dxa"/>
            <w:right w:w="0" w:type="dxa"/>
          </w:tblCellMar>
        </w:tblPrEx>
        <w:trPr>
          <w:trHeight w:val="476" w:hRule="atLeast"/>
          <w:jc w:val="center"/>
        </w:trPr>
        <w:tc>
          <w:tcPr>
            <w:tcW w:w="9109"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第二十条第（九）项</w:t>
            </w:r>
          </w:p>
        </w:tc>
      </w:tr>
      <w:tr>
        <w:tblPrEx>
          <w:tblCellMar>
            <w:top w:w="0" w:type="dxa"/>
            <w:left w:w="0" w:type="dxa"/>
            <w:bottom w:w="0" w:type="dxa"/>
            <w:right w:w="0" w:type="dxa"/>
          </w:tblCellMar>
        </w:tblPrEx>
        <w:trPr>
          <w:trHeight w:val="585"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采购项目数量</w:t>
            </w:r>
          </w:p>
        </w:tc>
        <w:tc>
          <w:tcPr>
            <w:tcW w:w="3621"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采购总金额</w:t>
            </w:r>
          </w:p>
        </w:tc>
      </w:tr>
      <w:tr>
        <w:tblPrEx>
          <w:tblCellMar>
            <w:top w:w="0" w:type="dxa"/>
            <w:left w:w="0" w:type="dxa"/>
            <w:bottom w:w="0" w:type="dxa"/>
            <w:right w:w="0" w:type="dxa"/>
          </w:tblCellMar>
        </w:tblPrEx>
        <w:trPr>
          <w:trHeight w:val="539" w:hRule="atLeast"/>
          <w:jc w:val="center"/>
        </w:trPr>
        <w:tc>
          <w:tcPr>
            <w:tcW w:w="3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政府集中采购</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56</w:t>
            </w:r>
          </w:p>
        </w:tc>
        <w:tc>
          <w:tcPr>
            <w:tcW w:w="3621"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32.5982万元</w:t>
            </w: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收到和处理政府信息公开申请情况</w:t>
      </w:r>
    </w:p>
    <w:tbl>
      <w:tblPr>
        <w:tblStyle w:val="3"/>
        <w:tblW w:w="9480" w:type="dxa"/>
        <w:jc w:val="center"/>
        <w:shd w:val="clear" w:color="auto" w:fill="auto"/>
        <w:tblLayout w:type="fixed"/>
        <w:tblCellMar>
          <w:top w:w="0" w:type="dxa"/>
          <w:left w:w="0" w:type="dxa"/>
          <w:bottom w:w="0" w:type="dxa"/>
          <w:right w:w="0" w:type="dxa"/>
        </w:tblCellMar>
      </w:tblPr>
      <w:tblGrid>
        <w:gridCol w:w="645"/>
        <w:gridCol w:w="892"/>
        <w:gridCol w:w="2404"/>
        <w:gridCol w:w="626"/>
        <w:gridCol w:w="789"/>
        <w:gridCol w:w="789"/>
        <w:gridCol w:w="849"/>
        <w:gridCol w:w="1016"/>
        <w:gridCol w:w="745"/>
        <w:gridCol w:w="725"/>
      </w:tblGrid>
      <w:tr>
        <w:tblPrEx>
          <w:shd w:val="clear" w:color="auto" w:fill="auto"/>
          <w:tblCellMar>
            <w:top w:w="0" w:type="dxa"/>
            <w:left w:w="0" w:type="dxa"/>
            <w:bottom w:w="0" w:type="dxa"/>
            <w:right w:w="0" w:type="dxa"/>
          </w:tblCellMar>
        </w:tblPrEx>
        <w:trPr>
          <w:trHeight w:val="540" w:hRule="atLeast"/>
          <w:jc w:val="center"/>
        </w:trPr>
        <w:tc>
          <w:tcPr>
            <w:tcW w:w="3941"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（本列数据的勾稽关系为：第一项加第二项之和，等于第三项加第四项之和）</w:t>
            </w:r>
          </w:p>
        </w:tc>
        <w:tc>
          <w:tcPr>
            <w:tcW w:w="5539"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申请人情况</w:t>
            </w:r>
          </w:p>
        </w:tc>
      </w:tr>
      <w:tr>
        <w:tblPrEx>
          <w:tblCellMar>
            <w:top w:w="0" w:type="dxa"/>
            <w:left w:w="0" w:type="dxa"/>
            <w:bottom w:w="0" w:type="dxa"/>
            <w:right w:w="0" w:type="dxa"/>
          </w:tblCellMar>
        </w:tblPrEx>
        <w:trPr>
          <w:trHeight w:val="676" w:hRule="atLeast"/>
          <w:jc w:val="center"/>
        </w:trPr>
        <w:tc>
          <w:tcPr>
            <w:tcW w:w="394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自然人</w:t>
            </w:r>
          </w:p>
        </w:tc>
        <w:tc>
          <w:tcPr>
            <w:tcW w:w="418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法人或其他组织</w:t>
            </w:r>
          </w:p>
        </w:tc>
        <w:tc>
          <w:tcPr>
            <w:tcW w:w="72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总计</w:t>
            </w:r>
          </w:p>
        </w:tc>
      </w:tr>
      <w:tr>
        <w:tblPrEx>
          <w:tblCellMar>
            <w:top w:w="0" w:type="dxa"/>
            <w:left w:w="0" w:type="dxa"/>
            <w:bottom w:w="0" w:type="dxa"/>
            <w:right w:w="0" w:type="dxa"/>
          </w:tblCellMar>
        </w:tblPrEx>
        <w:trPr>
          <w:trHeight w:val="700" w:hRule="atLeast"/>
          <w:jc w:val="center"/>
        </w:trPr>
        <w:tc>
          <w:tcPr>
            <w:tcW w:w="394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商业企业</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科研机构</w:t>
            </w:r>
          </w:p>
        </w:tc>
        <w:tc>
          <w:tcPr>
            <w:tcW w:w="84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社会公益组织</w:t>
            </w:r>
          </w:p>
        </w:tc>
        <w:tc>
          <w:tcPr>
            <w:tcW w:w="10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法律服务机构</w:t>
            </w:r>
          </w:p>
        </w:tc>
        <w:tc>
          <w:tcPr>
            <w:tcW w:w="7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其他</w:t>
            </w:r>
          </w:p>
        </w:tc>
        <w:tc>
          <w:tcPr>
            <w:tcW w:w="72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657" w:hRule="atLeast"/>
          <w:jc w:val="center"/>
        </w:trPr>
        <w:tc>
          <w:tcPr>
            <w:tcW w:w="394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一、本年新收政府信息公开申请数量</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w:t>
            </w:r>
          </w:p>
        </w:tc>
      </w:tr>
      <w:tr>
        <w:tblPrEx>
          <w:tblCellMar>
            <w:top w:w="0" w:type="dxa"/>
            <w:left w:w="0" w:type="dxa"/>
            <w:bottom w:w="0" w:type="dxa"/>
            <w:right w:w="0" w:type="dxa"/>
          </w:tblCellMar>
        </w:tblPrEx>
        <w:trPr>
          <w:trHeight w:val="553" w:hRule="atLeast"/>
          <w:jc w:val="center"/>
        </w:trPr>
        <w:tc>
          <w:tcPr>
            <w:tcW w:w="394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二、上年结转政府信息公开申请数量</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372" w:hRule="atLeast"/>
          <w:jc w:val="center"/>
        </w:trPr>
        <w:tc>
          <w:tcPr>
            <w:tcW w:w="64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三、本年度办理结果</w:t>
            </w:r>
          </w:p>
        </w:tc>
        <w:tc>
          <w:tcPr>
            <w:tcW w:w="32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（一）予以公开</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32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（二）部分公开（区分处理的，只计这一情形，不计其他情形）</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（三）不予公开</w:t>
            </w: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1.属于国家秘密</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2.其他法律行政法规禁止公开</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3.危及“三安全一稳定”</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4.保护第三方合法权益</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5.属于三类内部事务信息</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6.属于四类过程性信息</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7.属于行政执法案卷</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8.属于行政查询事项</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（四）无法</w:t>
            </w:r>
          </w:p>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提供</w:t>
            </w: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1.本机关不掌握相关政府信息</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2.没有现成信息需要另行制作</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3.补正后申请内容仍不明确</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（五）不予</w:t>
            </w:r>
          </w:p>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处理</w:t>
            </w: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1.信访举报投诉类申请</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2.重复申请</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3.要求提供公开出版物</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4.无正当理由大量反复申请</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24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5.要求行政机关确认或重新出具已获取信息</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32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（六）其他处理</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r>
        <w:tblPrEx>
          <w:tblCellMar>
            <w:top w:w="0" w:type="dxa"/>
            <w:left w:w="0" w:type="dxa"/>
            <w:bottom w:w="0" w:type="dxa"/>
            <w:right w:w="0" w:type="dxa"/>
          </w:tblCellMar>
        </w:tblPrEx>
        <w:trPr>
          <w:trHeight w:val="194"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32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（七）总计</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w:t>
            </w:r>
          </w:p>
        </w:tc>
      </w:tr>
      <w:tr>
        <w:tblPrEx>
          <w:tblCellMar>
            <w:top w:w="0" w:type="dxa"/>
            <w:left w:w="0" w:type="dxa"/>
            <w:bottom w:w="0" w:type="dxa"/>
            <w:right w:w="0" w:type="dxa"/>
          </w:tblCellMar>
        </w:tblPrEx>
        <w:trPr>
          <w:trHeight w:val="372" w:hRule="atLeast"/>
          <w:jc w:val="center"/>
        </w:trPr>
        <w:tc>
          <w:tcPr>
            <w:tcW w:w="394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四、结转下年度继续办理</w:t>
            </w:r>
          </w:p>
        </w:tc>
        <w:tc>
          <w:tcPr>
            <w:tcW w:w="6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10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0" w:lineRule="atLeast"/>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黑体" w:hAnsi="黑体" w:eastAsia="黑体" w:cs="黑体"/>
          <w:sz w:val="32"/>
          <w:szCs w:val="32"/>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sz w:val="32"/>
          <w:szCs w:val="32"/>
          <w:lang w:val="en-US" w:eastAsia="zh-CN"/>
        </w:rPr>
      </w:pPr>
      <w:r>
        <w:rPr>
          <w:rFonts w:hint="default" w:ascii="黑体" w:hAnsi="黑体" w:eastAsia="黑体" w:cs="黑体"/>
          <w:sz w:val="32"/>
          <w:szCs w:val="32"/>
          <w:lang w:val="en-US" w:eastAsia="zh-CN"/>
        </w:rPr>
        <w:t>政府信息公开行政复议、行政诉讼情况</w:t>
      </w:r>
    </w:p>
    <w:tbl>
      <w:tblPr>
        <w:tblStyle w:val="3"/>
        <w:tblW w:w="0" w:type="auto"/>
        <w:jc w:val="center"/>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color w:val="000000"/>
                <w:kern w:val="0"/>
                <w:sz w:val="21"/>
                <w:szCs w:val="21"/>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582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 name="KGD_Gobal1" descr="lskY7P30+39SSS2ze3CC/GltcmOJY4NN+eYdoM74EyfhGEnex3S2E5CJcIrgSWcplXyvH8h3TgutgU2+rmk6RKTVrNVt1PnONjzqCISOyvSSrI3sE23IPFMLvlWlU/kIy8uHjA+o2/MqPu8JCmgJ50Ze8QRfks1is1+pbLGhZLLl/R6+zP7L/v45TCO+v2HO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c/cI+oaDrir+vmT/V/QMM1H1GQU0ak/EsNaS8aEq3QeuSbvSJYMzEVvAFIgWLZ5H0mvLt5wOwihbQCrgINS5mgP8nx7t/C8ECstx7AyxU1hL4QuSK4KCn5A8A5ewtWhpn66bUAC/OpnKltON8sAY8FHQzOlynoLWXQp71go9hAM/yWVyea94Z6dOUsM9IGn7hENvNqZWRZRfOUpKV3uNe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GltcmOJY4NN+eYdoM74EyfhGEnex3S2E5CJcIrgSWcplXyvH8h3TgutgU2+rmk6RKTVrNVt1PnONjzqCISOyvSSrI3sE23IPFMLvlWlU/kIy8uHjA+o2/MqPu8JCmgJ50Ze8QRfks1is1+pbLGhZLLl/R6+zP7L/v45TCO+v2HO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c/cI+oaDrir+vmT/V/QMM1H1GQU0ak/EsNaS8aEq3QeuSbvSJYMzEVvAFIgWLZ5H0mvLt5wOwihbQCrgINS5mgP8nx7t/C8ECstx7AyxU1hL4QuSK4KCn5A8A5ewtWhpn66bUAC/OpnKltON8sAY8FHQzOlynoLWXQp71go9hAM/yWVyea94Z6dOUsM9IGn7hENvNqZWRZRfOUpKV3uNeA==" style="position:absolute;left:0pt;margin-left:-100pt;margin-top:-62pt;height:5pt;width:5pt;visibility:hidden;z-index:2516582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">
                <v:fill on="t" focussize="0,0"/>
                <v:stroke weight="1pt" color="#41719C [3204]" miterlimit="8" joinstyle="miter"/>
                <v:imagedata o:title=""/>
                <o:lock v:ext="edit" aspectratio="f"/>
                <v:textbox>
                  <w:txbxContent>
                    <w:p>
                      <w:pPr>
                        <w:jc w:val="center"/>
                      </w:pPr>
                    </w:p>
                  </w:txbxContent>
                </v:textbox>
              </v:rect>
            </w:pict>
          </mc:Fallback>
        </mc:AlternateConten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2020年，我局政务公开</w:t>
      </w:r>
      <w:r>
        <w:rPr>
          <w:rFonts w:hint="eastAsia" w:ascii="Times New Roman" w:hAnsi="Times New Roman" w:eastAsia="方正仿宋_GB2312" w:cs="Times New Roman"/>
          <w:sz w:val="32"/>
          <w:szCs w:val="32"/>
          <w:lang w:val="en-US" w:eastAsia="zh-CN"/>
        </w:rPr>
        <w:t>工作总体较好，但仍然存在一些不足。主要表现在政策解读形式单一，解读质量有待提高，文字解读较多，图表、视频、图解等解读方式应用不足，政务信息更新时间有待进一步提高。下一步，我局将继续强化政务公开人员的业务水平，改进工作作风，创新信息发布形式，丰富政策解读内容，健全政务公开制度，规范信息内容，保证信息发布的时效性，提升我局政务公开工作的影响力、传播力，多渠道监督保障运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2312" w:cs="Times New Roman"/>
          <w:sz w:val="32"/>
          <w:szCs w:val="32"/>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sz w:val="32"/>
          <w:szCs w:val="32"/>
          <w:lang w:val="en-US" w:eastAsia="zh-CN"/>
        </w:rPr>
        <w:t xml:space="preserve"> 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 xml:space="preserve">2021年2月3日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5C0"/>
    <w:multiLevelType w:val="singleLevel"/>
    <w:tmpl w:val="042405C0"/>
    <w:lvl w:ilvl="0" w:tentative="0">
      <w:start w:val="1"/>
      <w:numFmt w:val="decimal"/>
      <w:suff w:val="nothing"/>
      <w:lvlText w:val="%1、"/>
      <w:lvlJc w:val="left"/>
    </w:lvl>
  </w:abstractNum>
  <w:abstractNum w:abstractNumId="1">
    <w:nsid w:val="18C55800"/>
    <w:multiLevelType w:val="singleLevel"/>
    <w:tmpl w:val="18C55800"/>
    <w:lvl w:ilvl="0" w:tentative="0">
      <w:start w:val="1"/>
      <w:numFmt w:val="chineseCounting"/>
      <w:suff w:val="nothing"/>
      <w:lvlText w:val="（%1）"/>
      <w:lvlJc w:val="left"/>
      <w:rPr>
        <w:rFonts w:hint="eastAsia"/>
      </w:rPr>
    </w:lvl>
  </w:abstractNum>
  <w:abstractNum w:abstractNumId="2">
    <w:nsid w:val="3B72A754"/>
    <w:multiLevelType w:val="singleLevel"/>
    <w:tmpl w:val="3B72A754"/>
    <w:lvl w:ilvl="0" w:tentative="0">
      <w:start w:val="1"/>
      <w:numFmt w:val="chineseCounting"/>
      <w:suff w:val="nothing"/>
      <w:lvlText w:val="%1、"/>
      <w:lvlJc w:val="left"/>
      <w:rPr>
        <w:rFonts w:hint="eastAsia"/>
      </w:rPr>
    </w:lvl>
  </w:abstractNum>
  <w:abstractNum w:abstractNumId="3">
    <w:nsid w:val="41586050"/>
    <w:multiLevelType w:val="singleLevel"/>
    <w:tmpl w:val="41586050"/>
    <w:lvl w:ilvl="0" w:tentative="0">
      <w:start w:val="5"/>
      <w:numFmt w:val="chineseCounting"/>
      <w:suff w:val="nothing"/>
      <w:lvlText w:val="%1、"/>
      <w:lvlJc w:val="left"/>
      <w:rPr>
        <w:rFonts w:hint="eastAsia"/>
      </w:rPr>
    </w:lvl>
  </w:abstractNum>
  <w:abstractNum w:abstractNumId="4">
    <w:nsid w:val="68A0A013"/>
    <w:multiLevelType w:val="singleLevel"/>
    <w:tmpl w:val="68A0A013"/>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D1EFC9DB-FC60-46A6-A4F9-E2CB3C763FAB}"/>
    <w:docVar w:name="DocumentName" w:val="28592 中的文档"/>
  </w:docVars>
  <w:rsids>
    <w:rsidRoot w:val="765B6EB4"/>
    <w:rsid w:val="046625B6"/>
    <w:rsid w:val="0E6772A9"/>
    <w:rsid w:val="18135F71"/>
    <w:rsid w:val="1EB74A52"/>
    <w:rsid w:val="1ED37F86"/>
    <w:rsid w:val="22B7315C"/>
    <w:rsid w:val="241736BE"/>
    <w:rsid w:val="29B17FFE"/>
    <w:rsid w:val="2B0E23BF"/>
    <w:rsid w:val="3CE02DE0"/>
    <w:rsid w:val="3CF05B1D"/>
    <w:rsid w:val="46E4574E"/>
    <w:rsid w:val="48B71461"/>
    <w:rsid w:val="49F22A33"/>
    <w:rsid w:val="4B5F3981"/>
    <w:rsid w:val="4E302BFA"/>
    <w:rsid w:val="57017B7E"/>
    <w:rsid w:val="5BB42B59"/>
    <w:rsid w:val="5D7D1EB3"/>
    <w:rsid w:val="5F6478F5"/>
    <w:rsid w:val="60164C36"/>
    <w:rsid w:val="6B792531"/>
    <w:rsid w:val="6EE20E60"/>
    <w:rsid w:val="765B6EB4"/>
    <w:rsid w:val="7958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2021-01-05T00:10:00Z</dcterms:created>
  <dc:creator>六安国家农业科技园</dc:creator>
  <cp:lastModifiedBy>六安国家农业科技园</cp:lastModifiedBy>
  <cp:lastPrinted>2021-01-11T02:16:00Z</cp:lastPrinted>
  <dcterms:modified xsi:type="dcterms:W3CDTF">2021-02-03T08:32:59Z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