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center"/>
        <w:rPr>
          <w:rFonts w:hint="eastAsia" w:ascii="仿宋_GB2312" w:hAnsi="Times New Roman" w:eastAsia="仿宋_GB2312" w:cs="Times New Roman"/>
          <w:sz w:val="32"/>
          <w:szCs w:val="24"/>
        </w:rPr>
      </w:pPr>
    </w:p>
    <w:p>
      <w:pPr>
        <w:spacing w:line="600" w:lineRule="exact"/>
        <w:ind w:firstLine="0" w:firstLineChars="0"/>
        <w:jc w:val="center"/>
        <w:rPr>
          <w:rFonts w:hint="eastAsia" w:ascii="仿宋_GB2312" w:hAnsi="Times New Roman" w:eastAsia="仿宋_GB2312" w:cs="Times New Roman"/>
          <w:sz w:val="32"/>
          <w:szCs w:val="24"/>
        </w:rPr>
      </w:pPr>
    </w:p>
    <w:p>
      <w:pPr>
        <w:spacing w:line="600" w:lineRule="exact"/>
        <w:ind w:firstLine="0" w:firstLineChars="0"/>
        <w:jc w:val="center"/>
        <w:rPr>
          <w:rFonts w:hint="eastAsia" w:ascii="仿宋_GB2312" w:hAnsi="Times New Roman" w:eastAsia="仿宋_GB2312" w:cs="Times New Roman"/>
          <w:sz w:val="32"/>
          <w:szCs w:val="24"/>
        </w:rPr>
      </w:pPr>
    </w:p>
    <w:p>
      <w:pPr>
        <w:spacing w:line="600" w:lineRule="exact"/>
        <w:ind w:firstLine="0" w:firstLineChars="0"/>
        <w:jc w:val="center"/>
        <w:rPr>
          <w:rFonts w:hint="eastAsia" w:ascii="仿宋_GB2312" w:hAnsi="Times New Roman" w:eastAsia="仿宋_GB2312" w:cs="Times New Roman"/>
          <w:sz w:val="32"/>
          <w:szCs w:val="24"/>
        </w:rPr>
      </w:pPr>
    </w:p>
    <w:p>
      <w:pPr>
        <w:spacing w:line="600" w:lineRule="exact"/>
        <w:ind w:firstLine="0" w:firstLineChars="0"/>
        <w:jc w:val="center"/>
        <w:rPr>
          <w:rFonts w:hint="eastAsia" w:ascii="仿宋_GB2312" w:hAnsi="Times New Roman" w:eastAsia="仿宋_GB2312" w:cs="Times New Roman"/>
          <w:sz w:val="32"/>
          <w:szCs w:val="24"/>
        </w:rPr>
      </w:pPr>
    </w:p>
    <w:p>
      <w:pPr>
        <w:spacing w:line="600" w:lineRule="exact"/>
        <w:ind w:firstLine="0" w:firstLineChars="0"/>
        <w:jc w:val="center"/>
        <w:rPr>
          <w:rFonts w:hint="eastAsia" w:ascii="仿宋_GB2312" w:hAnsi="Times New Roman" w:eastAsia="仿宋_GB2312" w:cs="Times New Roman"/>
          <w:sz w:val="32"/>
          <w:szCs w:val="24"/>
        </w:rPr>
      </w:pPr>
      <w:r>
        <w:rPr>
          <w:rFonts w:hint="eastAsia" w:ascii="仿宋_GB2312" w:hAnsi="Times New Roman" w:eastAsia="仿宋_GB2312" w:cs="Times New Roman"/>
          <w:sz w:val="32"/>
          <w:szCs w:val="24"/>
          <w:lang w:val="en-US" w:eastAsia="zh-CN"/>
        </w:rPr>
        <w:t>舒政</w:t>
      </w:r>
      <w:r>
        <w:rPr>
          <w:rFonts w:hint="eastAsia" w:ascii="仿宋_GB2312" w:hAnsi="Times New Roman" w:eastAsia="仿宋_GB2312" w:cs="Times New Roman"/>
          <w:sz w:val="32"/>
          <w:szCs w:val="24"/>
        </w:rPr>
        <w:t>办〔20</w:t>
      </w:r>
      <w:r>
        <w:rPr>
          <w:rFonts w:hint="eastAsia" w:ascii="仿宋_GB2312" w:hAnsi="Times New Roman" w:eastAsia="仿宋_GB2312" w:cs="Times New Roman"/>
          <w:sz w:val="32"/>
          <w:szCs w:val="24"/>
          <w:lang w:val="en-US" w:eastAsia="zh-CN"/>
        </w:rPr>
        <w:t>20</w:t>
      </w:r>
      <w:r>
        <w:rPr>
          <w:rFonts w:hint="eastAsia" w:ascii="仿宋_GB2312" w:hAnsi="Times New Roman" w:eastAsia="仿宋_GB2312" w:cs="Times New Roman"/>
          <w:sz w:val="32"/>
          <w:szCs w:val="24"/>
        </w:rPr>
        <w:t>〕</w:t>
      </w:r>
      <w:r>
        <w:rPr>
          <w:rFonts w:hint="eastAsia" w:ascii="仿宋_GB2312" w:hAnsi="Times New Roman" w:eastAsia="仿宋_GB2312" w:cs="Times New Roman"/>
          <w:sz w:val="32"/>
          <w:szCs w:val="24"/>
          <w:lang w:val="en-US" w:eastAsia="zh-CN"/>
        </w:rPr>
        <w:t>11</w:t>
      </w:r>
      <w:r>
        <w:rPr>
          <w:rFonts w:hint="eastAsia" w:ascii="仿宋_GB2312" w:hAnsi="Times New Roman" w:eastAsia="仿宋_GB2312" w:cs="Times New Roman"/>
          <w:sz w:val="32"/>
          <w:szCs w:val="24"/>
        </w:rPr>
        <w:t>号</w:t>
      </w:r>
    </w:p>
    <w:p>
      <w:pPr>
        <w:spacing w:line="600" w:lineRule="exact"/>
        <w:ind w:firstLine="0" w:firstLineChars="0"/>
        <w:jc w:val="center"/>
        <w:rPr>
          <w:rFonts w:hint="eastAsia" w:ascii="仿宋_GB2312" w:hAnsi="Times New Roman" w:eastAsia="仿宋_GB2312" w:cs="Times New Roman"/>
          <w:sz w:val="32"/>
          <w:szCs w:val="24"/>
        </w:rPr>
      </w:pPr>
    </w:p>
    <w:p>
      <w:pPr>
        <w:spacing w:line="600" w:lineRule="exact"/>
        <w:ind w:firstLine="0" w:firstLineChars="0"/>
        <w:jc w:val="center"/>
        <w:rPr>
          <w:rFonts w:hint="eastAsia" w:ascii="仿宋_GB2312" w:hAnsi="Times New Roman" w:eastAsia="仿宋_GB2312" w:cs="Times New Roman"/>
          <w:sz w:val="32"/>
          <w:szCs w:val="24"/>
        </w:rPr>
      </w:pPr>
    </w:p>
    <w:p>
      <w:pPr>
        <w:spacing w:line="600" w:lineRule="exact"/>
        <w:ind w:firstLine="0" w:firstLineChars="0"/>
        <w:jc w:val="center"/>
        <w:rPr>
          <w:rFonts w:hint="eastAsia" w:ascii="方正小标宋简体" w:hAnsi="Times New Roman" w:eastAsia="方正小标宋简体" w:cs="Times New Roman"/>
          <w:sz w:val="44"/>
          <w:szCs w:val="48"/>
        </w:rPr>
      </w:pPr>
      <w:r>
        <w:rPr>
          <w:rFonts w:hint="eastAsia" w:ascii="方正小标宋简体" w:hAnsi="Times New Roman" w:eastAsia="方正小标宋简体" w:cs="Times New Roman"/>
          <w:sz w:val="44"/>
          <w:szCs w:val="48"/>
        </w:rPr>
        <w:t>舒城县人民政府办公室关于印发《舒城县商品房预售资金监管暂行办法》的通知</w:t>
      </w:r>
      <w:r>
        <w:rPr>
          <w:rFonts w:hint="eastAsia" w:ascii="方正小标宋简体" w:hAnsi="Times New Roman" w:eastAsia="方正小标宋简体" w:cs="Times New Roman"/>
          <w:sz w:val="44"/>
          <w:szCs w:val="48"/>
        </w:rPr>
        <w:br w:type="textWrapp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600" w:lineRule="atLeast"/>
        <w:ind w:left="0" w:leftChars="0" w:right="0" w:firstLine="0" w:firstLineChars="0"/>
        <w:jc w:val="both"/>
        <w:rPr>
          <w:rFonts w:hint="default" w:ascii="Times New Roman" w:hAnsi="Times New Roman" w:cs="Times New Roman"/>
          <w:i w:val="0"/>
          <w:iCs w:val="0"/>
          <w:caps w:val="0"/>
          <w:color w:val="333333"/>
          <w:spacing w:val="0"/>
          <w:sz w:val="32"/>
          <w:szCs w:val="32"/>
        </w:rPr>
      </w:pPr>
      <w:r>
        <w:rPr>
          <w:rFonts w:ascii="仿宋" w:hAnsi="仿宋" w:eastAsia="仿宋" w:cs="仿宋"/>
          <w:i w:val="0"/>
          <w:iCs w:val="0"/>
          <w:caps w:val="0"/>
          <w:color w:val="333333"/>
          <w:spacing w:val="0"/>
          <w:sz w:val="32"/>
          <w:szCs w:val="32"/>
          <w:bdr w:val="none" w:color="auto" w:sz="0" w:space="0"/>
          <w:shd w:val="clear" w:fill="F8F8F8"/>
        </w:rPr>
        <w:t>各乡镇人民政府，开发区、万佛湖管委会，县政府有关部门：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现将《舒城县商品房预售资金监管暂行办法》印发给你们，请遵照执行。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60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60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600" w:lineRule="atLeast"/>
        <w:ind w:left="0" w:right="0" w:firstLine="0"/>
        <w:jc w:val="both"/>
        <w:rPr>
          <w:rFonts w:hint="default" w:ascii="Times New Roman" w:hAnsi="Times New Roman" w:cs="Times New Roman"/>
          <w:i w:val="0"/>
          <w:iCs w:val="0"/>
          <w:caps w:val="0"/>
          <w:color w:val="333333"/>
          <w:spacing w:val="0"/>
          <w:sz w:val="32"/>
          <w:szCs w:val="32"/>
          <w:bdr w:val="none" w:color="auto" w:sz="0" w:space="0"/>
          <w:shd w:val="clear" w:fill="F8F8F8"/>
        </w:rPr>
      </w:pPr>
      <w:r>
        <w:rPr>
          <w:rFonts w:hint="default" w:ascii="Times New Roman" w:hAnsi="Times New Roman" w:cs="Times New Roman"/>
          <w:i w:val="0"/>
          <w:iCs w:val="0"/>
          <w:caps w:val="0"/>
          <w:color w:val="333333"/>
          <w:spacing w:val="0"/>
          <w:sz w:val="32"/>
          <w:szCs w:val="32"/>
          <w:bdr w:val="none" w:color="auto" w:sz="0" w:space="0"/>
          <w:shd w:val="clear" w:fill="F8F8F8"/>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600" w:lineRule="atLeast"/>
        <w:ind w:left="0" w:right="0" w:firstLine="0"/>
        <w:jc w:val="both"/>
        <w:rPr>
          <w:rFonts w:hint="default" w:ascii="Times New Roman" w:hAnsi="Times New Roman" w:cs="Times New Roman"/>
          <w:i w:val="0"/>
          <w:iCs w:val="0"/>
          <w:caps w:val="0"/>
          <w:color w:val="333333"/>
          <w:spacing w:val="0"/>
          <w:sz w:val="32"/>
          <w:szCs w:val="32"/>
          <w:bdr w:val="none" w:color="auto" w:sz="0" w:space="0"/>
          <w:shd w:val="clear" w:fill="F8F8F8"/>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600" w:lineRule="atLeast"/>
        <w:ind w:left="0" w:right="0" w:firstLine="0"/>
        <w:jc w:val="both"/>
        <w:rPr>
          <w:rFonts w:hint="default" w:ascii="Times New Roman" w:hAnsi="Times New Roman" w:cs="Times New Roman"/>
          <w:i w:val="0"/>
          <w:iCs w:val="0"/>
          <w:caps w:val="0"/>
          <w:color w:val="333333"/>
          <w:spacing w:val="0"/>
          <w:sz w:val="32"/>
          <w:szCs w:val="32"/>
          <w:bdr w:val="none" w:color="auto" w:sz="0" w:space="0"/>
          <w:shd w:val="clear" w:fill="F8F8F8"/>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600" w:lineRule="atLeast"/>
        <w:ind w:left="0" w:right="0" w:firstLine="0"/>
        <w:jc w:val="both"/>
        <w:rPr>
          <w:rFonts w:hint="default" w:ascii="Times New Roman" w:hAnsi="Times New Roman" w:cs="Times New Roman"/>
          <w:i w:val="0"/>
          <w:iCs w:val="0"/>
          <w:caps w:val="0"/>
          <w:color w:val="333333"/>
          <w:spacing w:val="0"/>
          <w:sz w:val="32"/>
          <w:szCs w:val="32"/>
          <w:bdr w:val="none" w:color="auto" w:sz="0" w:space="0"/>
          <w:shd w:val="clear" w:fill="F8F8F8"/>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600" w:lineRule="atLeast"/>
        <w:ind w:left="0" w:right="0" w:firstLine="0"/>
        <w:jc w:val="both"/>
        <w:rPr>
          <w:rFonts w:hint="default" w:ascii="Times New Roman" w:hAnsi="Times New Roman" w:cs="Times New Roman"/>
          <w:i w:val="0"/>
          <w:iCs w:val="0"/>
          <w:caps w:val="0"/>
          <w:color w:val="333333"/>
          <w:spacing w:val="0"/>
          <w:sz w:val="32"/>
          <w:szCs w:val="32"/>
          <w:bdr w:val="none" w:color="auto" w:sz="0" w:space="0"/>
          <w:shd w:val="clear" w:fill="F8F8F8"/>
        </w:rPr>
      </w:pPr>
      <w:bookmarkStart w:id="0" w:name="_GoBack"/>
      <w:bookmarkEnd w:id="0"/>
      <w:permStart w:id="0" w:edGrp="everyone"/>
      <w:perm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5085"/>
        <w:jc w:val="right"/>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2020</w:t>
      </w:r>
      <w:r>
        <w:rPr>
          <w:rFonts w:hint="eastAsia" w:ascii="仿宋" w:hAnsi="仿宋" w:eastAsia="仿宋" w:cs="仿宋"/>
          <w:i w:val="0"/>
          <w:iCs w:val="0"/>
          <w:caps w:val="0"/>
          <w:color w:val="333333"/>
          <w:spacing w:val="0"/>
          <w:sz w:val="32"/>
          <w:szCs w:val="32"/>
          <w:bdr w:val="none" w:color="auto" w:sz="0" w:space="0"/>
          <w:shd w:val="clear" w:fill="F8F8F8"/>
        </w:rPr>
        <w:t>年</w:t>
      </w:r>
      <w:r>
        <w:rPr>
          <w:rFonts w:hint="default" w:ascii="Times New Roman" w:hAnsi="Times New Roman" w:cs="Times New Roman"/>
          <w:i w:val="0"/>
          <w:iCs w:val="0"/>
          <w:caps w:val="0"/>
          <w:color w:val="333333"/>
          <w:spacing w:val="0"/>
          <w:sz w:val="32"/>
          <w:szCs w:val="32"/>
          <w:bdr w:val="none" w:color="auto" w:sz="0" w:space="0"/>
          <w:shd w:val="clear" w:fill="F8F8F8"/>
        </w:rPr>
        <w:t>8</w:t>
      </w:r>
      <w:r>
        <w:rPr>
          <w:rFonts w:hint="eastAsia" w:ascii="仿宋" w:hAnsi="仿宋" w:eastAsia="仿宋" w:cs="仿宋"/>
          <w:i w:val="0"/>
          <w:iCs w:val="0"/>
          <w:caps w:val="0"/>
          <w:color w:val="333333"/>
          <w:spacing w:val="0"/>
          <w:sz w:val="32"/>
          <w:szCs w:val="32"/>
          <w:bdr w:val="none" w:color="auto" w:sz="0" w:space="0"/>
          <w:shd w:val="clear" w:fill="F8F8F8"/>
        </w:rPr>
        <w:t>月</w:t>
      </w:r>
      <w:r>
        <w:rPr>
          <w:rFonts w:hint="default" w:ascii="Times New Roman" w:hAnsi="Times New Roman" w:cs="Times New Roman"/>
          <w:i w:val="0"/>
          <w:iCs w:val="0"/>
          <w:caps w:val="0"/>
          <w:color w:val="333333"/>
          <w:spacing w:val="0"/>
          <w:sz w:val="32"/>
          <w:szCs w:val="32"/>
          <w:bdr w:val="none" w:color="auto" w:sz="0" w:space="0"/>
          <w:shd w:val="clear" w:fill="F8F8F8"/>
        </w:rPr>
        <w:t>31</w:t>
      </w:r>
      <w:r>
        <w:rPr>
          <w:rFonts w:hint="eastAsia" w:ascii="仿宋" w:hAnsi="仿宋" w:eastAsia="仿宋" w:cs="仿宋"/>
          <w:i w:val="0"/>
          <w:iCs w:val="0"/>
          <w:caps w:val="0"/>
          <w:color w:val="333333"/>
          <w:spacing w:val="0"/>
          <w:sz w:val="32"/>
          <w:szCs w:val="32"/>
          <w:bdr w:val="none" w:color="auto" w:sz="0" w:space="0"/>
          <w:shd w:val="clear" w:fill="F8F8F8"/>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880"/>
        <w:jc w:val="center"/>
        <w:rPr>
          <w:rFonts w:hint="default" w:ascii="Times New Roman" w:hAnsi="Times New Roman" w:cs="Times New Roman"/>
          <w:i w:val="0"/>
          <w:iCs w:val="0"/>
          <w:caps w:val="0"/>
          <w:color w:val="333333"/>
          <w:spacing w:val="0"/>
          <w:sz w:val="32"/>
          <w:szCs w:val="32"/>
        </w:rPr>
      </w:pPr>
      <w:r>
        <w:rPr>
          <w:rFonts w:ascii="方正小标宋简体" w:hAnsi="方正小标宋简体" w:eastAsia="方正小标宋简体" w:cs="方正小标宋简体"/>
          <w:i w:val="0"/>
          <w:iCs w:val="0"/>
          <w:caps w:val="0"/>
          <w:color w:val="333333"/>
          <w:spacing w:val="0"/>
          <w:sz w:val="44"/>
          <w:szCs w:val="44"/>
          <w:bdr w:val="none" w:color="auto" w:sz="0" w:space="0"/>
          <w:shd w:val="clear" w:fill="F8F8F8"/>
        </w:rPr>
        <w:t>舒城县商品房预售资金监管暂行办法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ascii="黑体" w:hAnsi="宋体" w:eastAsia="黑体" w:cs="黑体"/>
          <w:i w:val="0"/>
          <w:iCs w:val="0"/>
          <w:caps w:val="0"/>
          <w:color w:val="333333"/>
          <w:spacing w:val="0"/>
          <w:sz w:val="32"/>
          <w:szCs w:val="32"/>
          <w:bdr w:val="none" w:color="auto" w:sz="0" w:space="0"/>
          <w:shd w:val="clear" w:fill="F8F8F8"/>
        </w:rPr>
        <w:t>第一条</w:t>
      </w:r>
      <w:r>
        <w:rPr>
          <w:rFonts w:hint="default" w:ascii="Times New Roman" w:hAnsi="Times New Roman" w:cs="Times New Roman"/>
          <w:i w:val="0"/>
          <w:iCs w:val="0"/>
          <w:caps w:val="0"/>
          <w:color w:val="333333"/>
          <w:spacing w:val="0"/>
          <w:sz w:val="32"/>
          <w:szCs w:val="32"/>
          <w:bdr w:val="none" w:color="auto" w:sz="0" w:space="0"/>
          <w:shd w:val="clear" w:fill="F8F8F8"/>
        </w:rPr>
        <w:t>  </w:t>
      </w:r>
      <w:r>
        <w:rPr>
          <w:rFonts w:hint="eastAsia" w:ascii="仿宋" w:hAnsi="仿宋" w:eastAsia="仿宋" w:cs="仿宋"/>
          <w:i w:val="0"/>
          <w:iCs w:val="0"/>
          <w:caps w:val="0"/>
          <w:color w:val="333333"/>
          <w:spacing w:val="0"/>
          <w:sz w:val="32"/>
          <w:szCs w:val="32"/>
          <w:bdr w:val="none" w:color="auto" w:sz="0" w:space="0"/>
          <w:shd w:val="clear" w:fill="F8F8F8"/>
        </w:rPr>
        <w:t>为进一步加强我县商品房预售资金监督管理，促进房地产市场健康发展，维护购房人的合法权益，防范商品房预售风险，保证商品房预售资金专款专用和商品房建设的顺利进行，根据《中华人民共和国城市房地产管理法》、《城市商品房管理办法》（建设部令第</w:t>
      </w:r>
      <w:r>
        <w:rPr>
          <w:rFonts w:hint="default" w:ascii="Times New Roman" w:hAnsi="Times New Roman" w:cs="Times New Roman"/>
          <w:i w:val="0"/>
          <w:iCs w:val="0"/>
          <w:caps w:val="0"/>
          <w:color w:val="333333"/>
          <w:spacing w:val="0"/>
          <w:sz w:val="32"/>
          <w:szCs w:val="32"/>
          <w:bdr w:val="none" w:color="auto" w:sz="0" w:space="0"/>
          <w:shd w:val="clear" w:fill="F8F8F8"/>
        </w:rPr>
        <w:t>131</w:t>
      </w:r>
      <w:r>
        <w:rPr>
          <w:rFonts w:hint="eastAsia" w:ascii="仿宋" w:hAnsi="仿宋" w:eastAsia="仿宋" w:cs="仿宋"/>
          <w:i w:val="0"/>
          <w:iCs w:val="0"/>
          <w:caps w:val="0"/>
          <w:color w:val="333333"/>
          <w:spacing w:val="0"/>
          <w:sz w:val="32"/>
          <w:szCs w:val="32"/>
          <w:bdr w:val="none" w:color="auto" w:sz="0" w:space="0"/>
          <w:shd w:val="clear" w:fill="F8F8F8"/>
        </w:rPr>
        <w:t>号）、建设部《关于进一步加强房地产市场监管完善商品房预售制度有关问题的通知》（建房〔</w:t>
      </w:r>
      <w:r>
        <w:rPr>
          <w:rFonts w:hint="default" w:ascii="Times New Roman" w:hAnsi="Times New Roman" w:cs="Times New Roman"/>
          <w:i w:val="0"/>
          <w:iCs w:val="0"/>
          <w:caps w:val="0"/>
          <w:color w:val="333333"/>
          <w:spacing w:val="0"/>
          <w:sz w:val="32"/>
          <w:szCs w:val="32"/>
          <w:bdr w:val="none" w:color="auto" w:sz="0" w:space="0"/>
          <w:shd w:val="clear" w:fill="F8F8F8"/>
        </w:rPr>
        <w:t>2010</w:t>
      </w:r>
      <w:r>
        <w:rPr>
          <w:rFonts w:hint="eastAsia" w:ascii="仿宋" w:hAnsi="仿宋" w:eastAsia="仿宋" w:cs="仿宋"/>
          <w:i w:val="0"/>
          <w:iCs w:val="0"/>
          <w:caps w:val="0"/>
          <w:color w:val="333333"/>
          <w:spacing w:val="0"/>
          <w:sz w:val="32"/>
          <w:szCs w:val="32"/>
          <w:bdr w:val="none" w:color="auto" w:sz="0" w:space="0"/>
          <w:shd w:val="clear" w:fill="F8F8F8"/>
        </w:rPr>
        <w:t>〕</w:t>
      </w:r>
      <w:r>
        <w:rPr>
          <w:rFonts w:hint="default" w:ascii="Times New Roman" w:hAnsi="Times New Roman" w:cs="Times New Roman"/>
          <w:i w:val="0"/>
          <w:iCs w:val="0"/>
          <w:caps w:val="0"/>
          <w:color w:val="333333"/>
          <w:spacing w:val="0"/>
          <w:sz w:val="32"/>
          <w:szCs w:val="32"/>
          <w:bdr w:val="none" w:color="auto" w:sz="0" w:space="0"/>
          <w:shd w:val="clear" w:fill="F8F8F8"/>
        </w:rPr>
        <w:t>53</w:t>
      </w:r>
      <w:r>
        <w:rPr>
          <w:rFonts w:hint="eastAsia" w:ascii="仿宋" w:hAnsi="仿宋" w:eastAsia="仿宋" w:cs="仿宋"/>
          <w:i w:val="0"/>
          <w:iCs w:val="0"/>
          <w:caps w:val="0"/>
          <w:color w:val="333333"/>
          <w:spacing w:val="0"/>
          <w:sz w:val="32"/>
          <w:szCs w:val="32"/>
          <w:bdr w:val="none" w:color="auto" w:sz="0" w:space="0"/>
          <w:shd w:val="clear" w:fill="F8F8F8"/>
        </w:rPr>
        <w:t>号）、六安市住房城乡建设委员会《关于印发〈六安市商品房预售资金监管暂行办法〉的通知》（六建房函〔</w:t>
      </w:r>
      <w:r>
        <w:rPr>
          <w:rFonts w:hint="default" w:ascii="Times New Roman" w:hAnsi="Times New Roman" w:cs="Times New Roman"/>
          <w:i w:val="0"/>
          <w:iCs w:val="0"/>
          <w:caps w:val="0"/>
          <w:color w:val="333333"/>
          <w:spacing w:val="0"/>
          <w:sz w:val="32"/>
          <w:szCs w:val="32"/>
          <w:bdr w:val="none" w:color="auto" w:sz="0" w:space="0"/>
          <w:shd w:val="clear" w:fill="F8F8F8"/>
        </w:rPr>
        <w:t>2016</w:t>
      </w:r>
      <w:r>
        <w:rPr>
          <w:rFonts w:hint="eastAsia" w:ascii="仿宋" w:hAnsi="仿宋" w:eastAsia="仿宋" w:cs="仿宋"/>
          <w:i w:val="0"/>
          <w:iCs w:val="0"/>
          <w:caps w:val="0"/>
          <w:color w:val="333333"/>
          <w:spacing w:val="0"/>
          <w:sz w:val="32"/>
          <w:szCs w:val="32"/>
          <w:bdr w:val="none" w:color="auto" w:sz="0" w:space="0"/>
          <w:shd w:val="clear" w:fill="F8F8F8"/>
        </w:rPr>
        <w:t>〕</w:t>
      </w:r>
      <w:r>
        <w:rPr>
          <w:rFonts w:hint="default" w:ascii="Times New Roman" w:hAnsi="Times New Roman" w:cs="Times New Roman"/>
          <w:i w:val="0"/>
          <w:iCs w:val="0"/>
          <w:caps w:val="0"/>
          <w:color w:val="333333"/>
          <w:spacing w:val="0"/>
          <w:sz w:val="32"/>
          <w:szCs w:val="32"/>
          <w:bdr w:val="none" w:color="auto" w:sz="0" w:space="0"/>
          <w:shd w:val="clear" w:fill="F8F8F8"/>
        </w:rPr>
        <w:t>506</w:t>
      </w:r>
      <w:r>
        <w:rPr>
          <w:rFonts w:hint="eastAsia" w:ascii="仿宋" w:hAnsi="仿宋" w:eastAsia="仿宋" w:cs="仿宋"/>
          <w:i w:val="0"/>
          <w:iCs w:val="0"/>
          <w:caps w:val="0"/>
          <w:color w:val="333333"/>
          <w:spacing w:val="0"/>
          <w:sz w:val="32"/>
          <w:szCs w:val="32"/>
          <w:bdr w:val="none" w:color="auto" w:sz="0" w:space="0"/>
          <w:shd w:val="clear" w:fill="F8F8F8"/>
        </w:rPr>
        <w:t>号）等，结合实际，制定本暂行办法。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第二条</w:t>
      </w:r>
      <w:r>
        <w:rPr>
          <w:rFonts w:hint="default" w:ascii="Times New Roman" w:hAnsi="Times New Roman" w:cs="Times New Roman"/>
          <w:i w:val="0"/>
          <w:iCs w:val="0"/>
          <w:caps w:val="0"/>
          <w:color w:val="333333"/>
          <w:spacing w:val="0"/>
          <w:sz w:val="32"/>
          <w:szCs w:val="32"/>
          <w:bdr w:val="none" w:color="auto" w:sz="0" w:space="0"/>
          <w:shd w:val="clear" w:fill="F8F8F8"/>
        </w:rPr>
        <w:t>  </w:t>
      </w:r>
      <w:r>
        <w:rPr>
          <w:rFonts w:hint="eastAsia" w:ascii="仿宋" w:hAnsi="仿宋" w:eastAsia="仿宋" w:cs="仿宋"/>
          <w:i w:val="0"/>
          <w:iCs w:val="0"/>
          <w:caps w:val="0"/>
          <w:color w:val="333333"/>
          <w:spacing w:val="0"/>
          <w:sz w:val="32"/>
          <w:szCs w:val="32"/>
          <w:bdr w:val="none" w:color="auto" w:sz="0" w:space="0"/>
          <w:shd w:val="clear" w:fill="F8F8F8"/>
        </w:rPr>
        <w:t>县房地产主管部门核发的商品房预售许可建设项目，全部纳入预售资金监管范围，其预售资金的缴存、拨付、使用等，适用本暂行办法。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第三条</w:t>
      </w:r>
      <w:r>
        <w:rPr>
          <w:rFonts w:hint="default" w:ascii="Times New Roman" w:hAnsi="Times New Roman" w:cs="Times New Roman"/>
          <w:i w:val="0"/>
          <w:iCs w:val="0"/>
          <w:caps w:val="0"/>
          <w:color w:val="333333"/>
          <w:spacing w:val="0"/>
          <w:sz w:val="32"/>
          <w:szCs w:val="32"/>
          <w:bdr w:val="none" w:color="auto" w:sz="0" w:space="0"/>
          <w:shd w:val="clear" w:fill="F8F8F8"/>
        </w:rPr>
        <w:t>  </w:t>
      </w:r>
      <w:r>
        <w:rPr>
          <w:rFonts w:hint="eastAsia" w:ascii="仿宋" w:hAnsi="仿宋" w:eastAsia="仿宋" w:cs="仿宋"/>
          <w:i w:val="0"/>
          <w:iCs w:val="0"/>
          <w:caps w:val="0"/>
          <w:color w:val="333333"/>
          <w:spacing w:val="-6"/>
          <w:sz w:val="32"/>
          <w:szCs w:val="32"/>
          <w:bdr w:val="none" w:color="auto" w:sz="0" w:space="0"/>
          <w:shd w:val="clear" w:fill="F8F8F8"/>
        </w:rPr>
        <w:t>本暂行办法所称商品房预售资金，包括购房人支付的首付款、购房贷款（含住房公积金贷款）以及其他形式的购房款。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第四条</w:t>
      </w:r>
      <w:r>
        <w:rPr>
          <w:rFonts w:hint="default" w:ascii="Times New Roman" w:hAnsi="Times New Roman" w:cs="Times New Roman"/>
          <w:i w:val="0"/>
          <w:iCs w:val="0"/>
          <w:caps w:val="0"/>
          <w:color w:val="333333"/>
          <w:spacing w:val="0"/>
          <w:sz w:val="32"/>
          <w:szCs w:val="32"/>
          <w:bdr w:val="none" w:color="auto" w:sz="0" w:space="0"/>
          <w:shd w:val="clear" w:fill="F8F8F8"/>
        </w:rPr>
        <w:t>  </w:t>
      </w:r>
      <w:r>
        <w:rPr>
          <w:rFonts w:hint="eastAsia" w:ascii="仿宋" w:hAnsi="仿宋" w:eastAsia="仿宋" w:cs="仿宋"/>
          <w:i w:val="0"/>
          <w:iCs w:val="0"/>
          <w:caps w:val="0"/>
          <w:color w:val="333333"/>
          <w:spacing w:val="0"/>
          <w:sz w:val="32"/>
          <w:szCs w:val="32"/>
          <w:bdr w:val="none" w:color="auto" w:sz="0" w:space="0"/>
          <w:shd w:val="clear" w:fill="F8F8F8"/>
        </w:rPr>
        <w:t>县商品房预售资金监管机构（以下简称县监管机构）负责对县房地产主管部门核发的商品房预售许可建设项目的商品房预售资金进行全额、全程监管，房地产开发企业不得以任何形式直接收存预售资金。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第五条</w:t>
      </w:r>
      <w:r>
        <w:rPr>
          <w:rFonts w:hint="default" w:ascii="Times New Roman" w:hAnsi="Times New Roman" w:cs="Times New Roman"/>
          <w:i w:val="0"/>
          <w:iCs w:val="0"/>
          <w:caps w:val="0"/>
          <w:color w:val="333333"/>
          <w:spacing w:val="0"/>
          <w:sz w:val="32"/>
          <w:szCs w:val="32"/>
          <w:bdr w:val="none" w:color="auto" w:sz="0" w:space="0"/>
          <w:shd w:val="clear" w:fill="F8F8F8"/>
        </w:rPr>
        <w:t>  </w:t>
      </w:r>
      <w:r>
        <w:rPr>
          <w:rFonts w:hint="eastAsia" w:ascii="仿宋" w:hAnsi="仿宋" w:eastAsia="仿宋" w:cs="仿宋"/>
          <w:i w:val="0"/>
          <w:iCs w:val="0"/>
          <w:caps w:val="0"/>
          <w:color w:val="333333"/>
          <w:spacing w:val="0"/>
          <w:sz w:val="32"/>
          <w:szCs w:val="32"/>
          <w:bdr w:val="none" w:color="auto" w:sz="0" w:space="0"/>
          <w:shd w:val="clear" w:fill="F8F8F8"/>
        </w:rPr>
        <w:t>中国人民银行舒城县支行监督各商业银行做好商品房预售资金工作。在商品房预售资金监管系统开通后，有关商业银行应与资金监管系统实行联网、实现数据信息共享，方可开设商品房预售资金监管账户。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第六条</w:t>
      </w:r>
      <w:r>
        <w:rPr>
          <w:rFonts w:hint="default" w:ascii="Times New Roman" w:hAnsi="Times New Roman" w:cs="Times New Roman"/>
          <w:i w:val="0"/>
          <w:iCs w:val="0"/>
          <w:caps w:val="0"/>
          <w:color w:val="333333"/>
          <w:spacing w:val="0"/>
          <w:sz w:val="32"/>
          <w:szCs w:val="32"/>
          <w:bdr w:val="none" w:color="auto" w:sz="0" w:space="0"/>
          <w:shd w:val="clear" w:fill="F8F8F8"/>
        </w:rPr>
        <w:t>  </w:t>
      </w:r>
      <w:r>
        <w:rPr>
          <w:rFonts w:hint="eastAsia" w:ascii="仿宋" w:hAnsi="仿宋" w:eastAsia="仿宋" w:cs="仿宋"/>
          <w:i w:val="0"/>
          <w:iCs w:val="0"/>
          <w:caps w:val="0"/>
          <w:color w:val="333333"/>
          <w:spacing w:val="0"/>
          <w:sz w:val="32"/>
          <w:szCs w:val="32"/>
          <w:bdr w:val="none" w:color="auto" w:sz="0" w:space="0"/>
          <w:shd w:val="clear" w:fill="F8F8F8"/>
        </w:rPr>
        <w:t>房地产开发企业（以下简称开发企业）持企业法定代表人委托书、委托代理人身份证等资料，到县监管机构申领监管密钥，经审核通过后，开通监管企业平台。开发企业申请企业监管平台，应提交以下材料</w:t>
      </w:r>
      <w:r>
        <w:rPr>
          <w:rFonts w:hint="default" w:ascii="Times New Roman" w:hAnsi="Times New Roman" w:cs="Times New Roman"/>
          <w:i w:val="0"/>
          <w:iCs w:val="0"/>
          <w:caps w:val="0"/>
          <w:color w:val="333333"/>
          <w:spacing w:val="0"/>
          <w:sz w:val="32"/>
          <w:szCs w:val="32"/>
          <w:bdr w:val="none" w:color="auto" w:sz="0" w:space="0"/>
          <w:shd w:val="clear" w:fill="F8F8F8"/>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（一）企业营业执照、机构代码证书、开发企业资质证书；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（二）企业法定代表人身份证明；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（三）企业监管平台管理员身份证以及法定代表人委托书；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（四）房产测绘预测报告等县监管机构要求的其他材料。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第七条</w:t>
      </w:r>
      <w:r>
        <w:rPr>
          <w:rFonts w:hint="default" w:ascii="Times New Roman" w:hAnsi="Times New Roman" w:cs="Times New Roman"/>
          <w:i w:val="0"/>
          <w:iCs w:val="0"/>
          <w:caps w:val="0"/>
          <w:color w:val="333333"/>
          <w:spacing w:val="0"/>
          <w:sz w:val="32"/>
          <w:szCs w:val="32"/>
          <w:bdr w:val="none" w:color="auto" w:sz="0" w:space="0"/>
          <w:shd w:val="clear" w:fill="F8F8F8"/>
        </w:rPr>
        <w:t>  </w:t>
      </w:r>
      <w:r>
        <w:rPr>
          <w:rFonts w:hint="eastAsia" w:ascii="仿宋" w:hAnsi="仿宋" w:eastAsia="仿宋" w:cs="仿宋"/>
          <w:i w:val="0"/>
          <w:iCs w:val="0"/>
          <w:caps w:val="0"/>
          <w:color w:val="333333"/>
          <w:spacing w:val="0"/>
          <w:sz w:val="32"/>
          <w:szCs w:val="32"/>
          <w:bdr w:val="none" w:color="auto" w:sz="0" w:space="0"/>
          <w:shd w:val="clear" w:fill="F8F8F8"/>
        </w:rPr>
        <w:t>开发企业在办理商品房预售许可前，应在监管平台选择商业银行，与县监管机构签署三方《商品房预售资金监管账户协议书》，方可开设预售资金监管账户。开发企业应当将监管协议的主要内容在销售场所进行公示，并告知购房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第八条</w:t>
      </w:r>
      <w:r>
        <w:rPr>
          <w:rFonts w:hint="default" w:ascii="Times New Roman" w:hAnsi="Times New Roman" w:cs="Times New Roman"/>
          <w:i w:val="0"/>
          <w:iCs w:val="0"/>
          <w:caps w:val="0"/>
          <w:color w:val="333333"/>
          <w:spacing w:val="0"/>
          <w:sz w:val="32"/>
          <w:szCs w:val="32"/>
          <w:bdr w:val="none" w:color="auto" w:sz="0" w:space="0"/>
          <w:shd w:val="clear" w:fill="F8F8F8"/>
        </w:rPr>
        <w:t>  </w:t>
      </w:r>
      <w:r>
        <w:rPr>
          <w:rFonts w:hint="eastAsia" w:ascii="仿宋" w:hAnsi="仿宋" w:eastAsia="仿宋" w:cs="仿宋"/>
          <w:i w:val="0"/>
          <w:iCs w:val="0"/>
          <w:caps w:val="0"/>
          <w:color w:val="333333"/>
          <w:spacing w:val="0"/>
          <w:sz w:val="32"/>
          <w:szCs w:val="32"/>
          <w:bdr w:val="none" w:color="auto" w:sz="0" w:space="0"/>
          <w:shd w:val="clear" w:fill="F8F8F8"/>
        </w:rPr>
        <w:t>开发企业根据项目预售情况，开设资金监管账户，由县监管机构按栋分类实施监管，每栋可开设一个或多个资金监管账户，有多个预售项目的开发企业，应当分别设立预售资金监管账户。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第九条</w:t>
      </w:r>
      <w:r>
        <w:rPr>
          <w:rFonts w:hint="default" w:ascii="Times New Roman" w:hAnsi="Times New Roman" w:cs="Times New Roman"/>
          <w:i w:val="0"/>
          <w:iCs w:val="0"/>
          <w:caps w:val="0"/>
          <w:color w:val="333333"/>
          <w:spacing w:val="0"/>
          <w:sz w:val="32"/>
          <w:szCs w:val="32"/>
          <w:bdr w:val="none" w:color="auto" w:sz="0" w:space="0"/>
          <w:shd w:val="clear" w:fill="F8F8F8"/>
        </w:rPr>
        <w:t>  </w:t>
      </w:r>
      <w:r>
        <w:rPr>
          <w:rFonts w:hint="eastAsia" w:ascii="仿宋" w:hAnsi="仿宋" w:eastAsia="仿宋" w:cs="仿宋"/>
          <w:i w:val="0"/>
          <w:iCs w:val="0"/>
          <w:caps w:val="0"/>
          <w:color w:val="333333"/>
          <w:spacing w:val="0"/>
          <w:sz w:val="32"/>
          <w:szCs w:val="32"/>
          <w:bdr w:val="none" w:color="auto" w:sz="0" w:space="0"/>
          <w:shd w:val="clear" w:fill="F8F8F8"/>
        </w:rPr>
        <w:t>开发企业商品房预售资金应直接存入监管账户。预购人以按揭贷款方式购买商品房的，其按揭贷款由贷款银行直接转（划）入监管账户。预购人以分期付款或其他方式购买商品房的，按合同约定将购房款存入监管账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第十条 </w:t>
      </w:r>
      <w:r>
        <w:rPr>
          <w:rFonts w:hint="default" w:ascii="Times New Roman" w:hAnsi="Times New Roman" w:cs="Times New Roman"/>
          <w:i w:val="0"/>
          <w:iCs w:val="0"/>
          <w:caps w:val="0"/>
          <w:color w:val="333333"/>
          <w:spacing w:val="0"/>
          <w:sz w:val="32"/>
          <w:szCs w:val="32"/>
          <w:bdr w:val="none" w:color="auto" w:sz="0" w:space="0"/>
          <w:shd w:val="clear" w:fill="F8F8F8"/>
        </w:rPr>
        <w:t> </w:t>
      </w:r>
      <w:r>
        <w:rPr>
          <w:rFonts w:hint="eastAsia" w:ascii="仿宋" w:hAnsi="仿宋" w:eastAsia="仿宋" w:cs="仿宋"/>
          <w:i w:val="0"/>
          <w:iCs w:val="0"/>
          <w:caps w:val="0"/>
          <w:color w:val="333333"/>
          <w:spacing w:val="0"/>
          <w:sz w:val="32"/>
          <w:szCs w:val="32"/>
          <w:bdr w:val="none" w:color="auto" w:sz="0" w:space="0"/>
          <w:shd w:val="clear" w:fill="F8F8F8"/>
        </w:rPr>
        <w:t>监管资金分为重点监管资金和一般监管资金。重点监管资金应按栋核准。由监管楼栋的工程建设费用总额加</w:t>
      </w:r>
      <w:r>
        <w:rPr>
          <w:rFonts w:hint="default" w:ascii="Times New Roman" w:hAnsi="Times New Roman" w:cs="Times New Roman"/>
          <w:i w:val="0"/>
          <w:iCs w:val="0"/>
          <w:caps w:val="0"/>
          <w:color w:val="333333"/>
          <w:spacing w:val="0"/>
          <w:sz w:val="32"/>
          <w:szCs w:val="32"/>
          <w:bdr w:val="none" w:color="auto" w:sz="0" w:space="0"/>
          <w:shd w:val="clear" w:fill="F8F8F8"/>
        </w:rPr>
        <w:t>20%</w:t>
      </w:r>
      <w:r>
        <w:rPr>
          <w:rFonts w:hint="eastAsia" w:ascii="仿宋" w:hAnsi="仿宋" w:eastAsia="仿宋" w:cs="仿宋"/>
          <w:i w:val="0"/>
          <w:iCs w:val="0"/>
          <w:caps w:val="0"/>
          <w:color w:val="333333"/>
          <w:spacing w:val="0"/>
          <w:sz w:val="32"/>
          <w:szCs w:val="32"/>
          <w:bdr w:val="none" w:color="auto" w:sz="0" w:space="0"/>
          <w:shd w:val="clear" w:fill="F8F8F8"/>
        </w:rPr>
        <w:t>公共配套设施费用。工程建设费用总额由县监管机构依据市建设工程造价管理机构确认的商品房建设工程单位综合造价乘以监管楼栋的预测建筑面积核定。商品房建设工程单位综合造价应结合区域、建筑市场变化等情况，定期调整公布。超出重点监管以外的资金是一般监管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第十一条</w:t>
      </w:r>
      <w:r>
        <w:rPr>
          <w:rFonts w:hint="default" w:ascii="Times New Roman" w:hAnsi="Times New Roman" w:cs="Times New Roman"/>
          <w:i w:val="0"/>
          <w:iCs w:val="0"/>
          <w:caps w:val="0"/>
          <w:color w:val="333333"/>
          <w:spacing w:val="0"/>
          <w:sz w:val="32"/>
          <w:szCs w:val="32"/>
          <w:bdr w:val="none" w:color="auto" w:sz="0" w:space="0"/>
          <w:shd w:val="clear" w:fill="F8F8F8"/>
        </w:rPr>
        <w:t>  </w:t>
      </w:r>
      <w:r>
        <w:rPr>
          <w:rFonts w:hint="eastAsia" w:ascii="仿宋" w:hAnsi="仿宋" w:eastAsia="仿宋" w:cs="仿宋"/>
          <w:i w:val="0"/>
          <w:iCs w:val="0"/>
          <w:caps w:val="0"/>
          <w:color w:val="333333"/>
          <w:spacing w:val="0"/>
          <w:sz w:val="32"/>
          <w:szCs w:val="32"/>
          <w:bdr w:val="none" w:color="auto" w:sz="0" w:space="0"/>
          <w:shd w:val="clear" w:fill="F8F8F8"/>
        </w:rPr>
        <w:t>监管账户内的重点监管资金确保用于与监管项目相关的工程建设、材料购置、工人工资等支出。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第十二条</w:t>
      </w:r>
      <w:r>
        <w:rPr>
          <w:rFonts w:hint="default" w:ascii="Times New Roman" w:hAnsi="Times New Roman" w:cs="Times New Roman"/>
          <w:i w:val="0"/>
          <w:iCs w:val="0"/>
          <w:caps w:val="0"/>
          <w:color w:val="333333"/>
          <w:spacing w:val="0"/>
          <w:sz w:val="32"/>
          <w:szCs w:val="32"/>
          <w:bdr w:val="none" w:color="auto" w:sz="0" w:space="0"/>
          <w:shd w:val="clear" w:fill="F8F8F8"/>
        </w:rPr>
        <w:t>  </w:t>
      </w:r>
      <w:r>
        <w:rPr>
          <w:rFonts w:hint="eastAsia" w:ascii="仿宋" w:hAnsi="仿宋" w:eastAsia="仿宋" w:cs="仿宋"/>
          <w:i w:val="0"/>
          <w:iCs w:val="0"/>
          <w:caps w:val="0"/>
          <w:color w:val="333333"/>
          <w:spacing w:val="0"/>
          <w:sz w:val="32"/>
          <w:szCs w:val="32"/>
          <w:bdr w:val="none" w:color="auto" w:sz="0" w:space="0"/>
          <w:shd w:val="clear" w:fill="F8F8F8"/>
        </w:rPr>
        <w:t>开发企业应当按照工程进度及销售情况申请拨付重点监管资金，具体节点为：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（一）取得商品房预售许可证，销售额达到重点资金核定总额，方可申请使用重点监管资金。首次申请不超过重点监管资金核定总额的</w:t>
      </w:r>
      <w:r>
        <w:rPr>
          <w:rFonts w:hint="default" w:ascii="Times New Roman" w:hAnsi="Times New Roman" w:cs="Times New Roman"/>
          <w:i w:val="0"/>
          <w:iCs w:val="0"/>
          <w:caps w:val="0"/>
          <w:color w:val="333333"/>
          <w:spacing w:val="0"/>
          <w:sz w:val="32"/>
          <w:szCs w:val="32"/>
          <w:bdr w:val="none" w:color="auto" w:sz="0" w:space="0"/>
          <w:shd w:val="clear" w:fill="F8F8F8"/>
        </w:rPr>
        <w:t>30%</w:t>
      </w:r>
      <w:r>
        <w:rPr>
          <w:rFonts w:hint="eastAsia" w:ascii="仿宋" w:hAnsi="仿宋" w:eastAsia="仿宋" w:cs="仿宋"/>
          <w:i w:val="0"/>
          <w:iCs w:val="0"/>
          <w:caps w:val="0"/>
          <w:color w:val="333333"/>
          <w:spacing w:val="0"/>
          <w:sz w:val="32"/>
          <w:szCs w:val="32"/>
          <w:bdr w:val="none" w:color="auto" w:sz="0" w:space="0"/>
          <w:shd w:val="clear" w:fill="F8F8F8"/>
        </w:rPr>
        <w:t>，后期按工程形象进度申请拨款；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（二）建筑工程主体封顶，提交相关证明材料，经审核同意后，累计使用不超过重点监管资金核定总额的</w:t>
      </w:r>
      <w:r>
        <w:rPr>
          <w:rFonts w:hint="default" w:ascii="Times New Roman" w:hAnsi="Times New Roman" w:cs="Times New Roman"/>
          <w:i w:val="0"/>
          <w:iCs w:val="0"/>
          <w:caps w:val="0"/>
          <w:color w:val="333333"/>
          <w:spacing w:val="0"/>
          <w:sz w:val="32"/>
          <w:szCs w:val="32"/>
          <w:bdr w:val="none" w:color="auto" w:sz="0" w:space="0"/>
          <w:shd w:val="clear" w:fill="F8F8F8"/>
        </w:rPr>
        <w:t>70%</w:t>
      </w:r>
      <w:r>
        <w:rPr>
          <w:rFonts w:hint="eastAsia" w:ascii="仿宋" w:hAnsi="仿宋" w:eastAsia="仿宋" w:cs="仿宋"/>
          <w:i w:val="0"/>
          <w:iCs w:val="0"/>
          <w:caps w:val="0"/>
          <w:color w:val="333333"/>
          <w:spacing w:val="0"/>
          <w:sz w:val="32"/>
          <w:szCs w:val="32"/>
          <w:bdr w:val="none" w:color="auto" w:sz="0" w:space="0"/>
          <w:shd w:val="clear" w:fill="F8F8F8"/>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（三）建筑工程单体竣工验收合格，提交《房屋建筑和市政基础设施工程竣工验收备案表》等相关证明材料，经审核同意后，累计使用不超过重点监管资金核定总额的</w:t>
      </w:r>
      <w:r>
        <w:rPr>
          <w:rFonts w:hint="default" w:ascii="Times New Roman" w:hAnsi="Times New Roman" w:cs="Times New Roman"/>
          <w:i w:val="0"/>
          <w:iCs w:val="0"/>
          <w:caps w:val="0"/>
          <w:color w:val="333333"/>
          <w:spacing w:val="0"/>
          <w:sz w:val="32"/>
          <w:szCs w:val="32"/>
          <w:bdr w:val="none" w:color="auto" w:sz="0" w:space="0"/>
          <w:shd w:val="clear" w:fill="F8F8F8"/>
        </w:rPr>
        <w:t>95%</w:t>
      </w:r>
      <w:r>
        <w:rPr>
          <w:rFonts w:hint="eastAsia" w:ascii="仿宋" w:hAnsi="仿宋" w:eastAsia="仿宋" w:cs="仿宋"/>
          <w:i w:val="0"/>
          <w:iCs w:val="0"/>
          <w:caps w:val="0"/>
          <w:color w:val="333333"/>
          <w:spacing w:val="0"/>
          <w:sz w:val="32"/>
          <w:szCs w:val="32"/>
          <w:bdr w:val="none" w:color="auto" w:sz="0" w:space="0"/>
          <w:shd w:val="clear" w:fill="F8F8F8"/>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（五）新建住宅小区经综合查验备案，非住宅项目应办理初始登记，提交相关证明材料，经审核同意后，可解除资金监管。在解除资金监管前，监管账户内的资金余额不得低于重点监管资金的</w:t>
      </w:r>
      <w:r>
        <w:rPr>
          <w:rFonts w:hint="default" w:ascii="Times New Roman" w:hAnsi="Times New Roman" w:cs="Times New Roman"/>
          <w:i w:val="0"/>
          <w:iCs w:val="0"/>
          <w:caps w:val="0"/>
          <w:color w:val="333333"/>
          <w:spacing w:val="0"/>
          <w:sz w:val="32"/>
          <w:szCs w:val="32"/>
          <w:bdr w:val="none" w:color="auto" w:sz="0" w:space="0"/>
          <w:shd w:val="clear" w:fill="F8F8F8"/>
        </w:rPr>
        <w:t>5%</w:t>
      </w:r>
      <w:r>
        <w:rPr>
          <w:rFonts w:hint="eastAsia" w:ascii="仿宋" w:hAnsi="仿宋" w:eastAsia="仿宋" w:cs="仿宋"/>
          <w:i w:val="0"/>
          <w:iCs w:val="0"/>
          <w:caps w:val="0"/>
          <w:color w:val="333333"/>
          <w:spacing w:val="0"/>
          <w:sz w:val="32"/>
          <w:szCs w:val="32"/>
          <w:bdr w:val="none" w:color="auto" w:sz="0" w:space="0"/>
          <w:shd w:val="clear" w:fill="F8F8F8"/>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第十三条</w:t>
      </w:r>
      <w:r>
        <w:rPr>
          <w:rFonts w:hint="default" w:ascii="Times New Roman" w:hAnsi="Times New Roman" w:cs="Times New Roman"/>
          <w:i w:val="0"/>
          <w:iCs w:val="0"/>
          <w:caps w:val="0"/>
          <w:color w:val="333333"/>
          <w:spacing w:val="0"/>
          <w:sz w:val="32"/>
          <w:szCs w:val="32"/>
          <w:bdr w:val="none" w:color="auto" w:sz="0" w:space="0"/>
          <w:shd w:val="clear" w:fill="F8F8F8"/>
        </w:rPr>
        <w:t> </w:t>
      </w:r>
      <w:r>
        <w:rPr>
          <w:rFonts w:hint="default" w:ascii="Times New Roman" w:hAnsi="Times New Roman" w:cs="Times New Roman"/>
          <w:i w:val="0"/>
          <w:iCs w:val="0"/>
          <w:caps w:val="0"/>
          <w:color w:val="333333"/>
          <w:spacing w:val="-6"/>
          <w:sz w:val="32"/>
          <w:szCs w:val="32"/>
          <w:bdr w:val="none" w:color="auto" w:sz="0" w:space="0"/>
          <w:shd w:val="clear" w:fill="F8F8F8"/>
        </w:rPr>
        <w:t> </w:t>
      </w:r>
      <w:r>
        <w:rPr>
          <w:rFonts w:hint="eastAsia" w:ascii="仿宋" w:hAnsi="仿宋" w:eastAsia="仿宋" w:cs="仿宋"/>
          <w:i w:val="0"/>
          <w:iCs w:val="0"/>
          <w:caps w:val="0"/>
          <w:color w:val="333333"/>
          <w:spacing w:val="-6"/>
          <w:sz w:val="32"/>
          <w:szCs w:val="32"/>
          <w:bdr w:val="none" w:color="auto" w:sz="0" w:space="0"/>
          <w:shd w:val="clear" w:fill="F8F8F8"/>
        </w:rPr>
        <w:t>开发企业根据预售资金缴存、工程进度等情况，登录监管平台，网上填报预售资金拨付申请，提交县监管机构审核；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（一）申请一般监管资金拨付的，可直接在监管平台申请，经审核同意后，直接拨付。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（二）申请重点监管资金拨付的，县监管机构应审核开发企业提交的相关资料，经现场勘查，达到形象进度、符合拨付条件的，在</w:t>
      </w:r>
      <w:r>
        <w:rPr>
          <w:rFonts w:hint="default" w:ascii="Times New Roman" w:hAnsi="Times New Roman" w:cs="Times New Roman"/>
          <w:i w:val="0"/>
          <w:iCs w:val="0"/>
          <w:caps w:val="0"/>
          <w:color w:val="333333"/>
          <w:spacing w:val="0"/>
          <w:sz w:val="32"/>
          <w:szCs w:val="32"/>
          <w:bdr w:val="none" w:color="auto" w:sz="0" w:space="0"/>
          <w:shd w:val="clear" w:fill="F8F8F8"/>
        </w:rPr>
        <w:t>3</w:t>
      </w:r>
      <w:r>
        <w:rPr>
          <w:rFonts w:hint="eastAsia" w:ascii="仿宋" w:hAnsi="仿宋" w:eastAsia="仿宋" w:cs="仿宋"/>
          <w:i w:val="0"/>
          <w:iCs w:val="0"/>
          <w:caps w:val="0"/>
          <w:color w:val="333333"/>
          <w:spacing w:val="0"/>
          <w:sz w:val="32"/>
          <w:szCs w:val="32"/>
          <w:bdr w:val="none" w:color="auto" w:sz="0" w:space="0"/>
          <w:shd w:val="clear" w:fill="F8F8F8"/>
        </w:rPr>
        <w:t>个工作日内予以拨付。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第十四条</w:t>
      </w:r>
      <w:r>
        <w:rPr>
          <w:rFonts w:hint="default" w:ascii="Times New Roman" w:hAnsi="Times New Roman" w:cs="Times New Roman"/>
          <w:i w:val="0"/>
          <w:iCs w:val="0"/>
          <w:caps w:val="0"/>
          <w:color w:val="333333"/>
          <w:spacing w:val="0"/>
          <w:sz w:val="32"/>
          <w:szCs w:val="32"/>
          <w:bdr w:val="none" w:color="auto" w:sz="0" w:space="0"/>
          <w:shd w:val="clear" w:fill="F8F8F8"/>
        </w:rPr>
        <w:t>  </w:t>
      </w:r>
      <w:r>
        <w:rPr>
          <w:rFonts w:hint="eastAsia" w:ascii="仿宋" w:hAnsi="仿宋" w:eastAsia="仿宋" w:cs="仿宋"/>
          <w:i w:val="0"/>
          <w:iCs w:val="0"/>
          <w:caps w:val="0"/>
          <w:color w:val="333333"/>
          <w:spacing w:val="0"/>
          <w:sz w:val="32"/>
          <w:szCs w:val="32"/>
          <w:bdr w:val="none" w:color="auto" w:sz="0" w:space="0"/>
          <w:shd w:val="clear" w:fill="F8F8F8"/>
        </w:rPr>
        <w:t>因开发企业与购房人解除商品房买卖合同，需要退款给购房人的，退款在一般监管资金中优先支取，不足部分可在重点监管资金中支取。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第十五条</w:t>
      </w:r>
      <w:r>
        <w:rPr>
          <w:rFonts w:hint="default" w:ascii="Times New Roman" w:hAnsi="Times New Roman" w:cs="Times New Roman"/>
          <w:i w:val="0"/>
          <w:iCs w:val="0"/>
          <w:caps w:val="0"/>
          <w:color w:val="333333"/>
          <w:spacing w:val="0"/>
          <w:sz w:val="32"/>
          <w:szCs w:val="32"/>
          <w:bdr w:val="none" w:color="auto" w:sz="0" w:space="0"/>
          <w:shd w:val="clear" w:fill="F8F8F8"/>
        </w:rPr>
        <w:t>  </w:t>
      </w:r>
      <w:r>
        <w:rPr>
          <w:rFonts w:hint="eastAsia" w:ascii="仿宋" w:hAnsi="仿宋" w:eastAsia="仿宋" w:cs="仿宋"/>
          <w:i w:val="0"/>
          <w:iCs w:val="0"/>
          <w:caps w:val="0"/>
          <w:color w:val="333333"/>
          <w:spacing w:val="0"/>
          <w:sz w:val="32"/>
          <w:szCs w:val="32"/>
          <w:bdr w:val="none" w:color="auto" w:sz="0" w:space="0"/>
          <w:shd w:val="clear" w:fill="F8F8F8"/>
        </w:rPr>
        <w:t>对单体工程通过竣工验收，但销售额达不到重点资金核定额度，特殊时期支付农民工工资等情况，按程序审批同意后拨付。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第十六条</w:t>
      </w:r>
      <w:r>
        <w:rPr>
          <w:rFonts w:hint="default" w:ascii="Times New Roman" w:hAnsi="Times New Roman" w:cs="Times New Roman"/>
          <w:i w:val="0"/>
          <w:iCs w:val="0"/>
          <w:caps w:val="0"/>
          <w:color w:val="333333"/>
          <w:spacing w:val="0"/>
          <w:sz w:val="32"/>
          <w:szCs w:val="32"/>
          <w:bdr w:val="none" w:color="auto" w:sz="0" w:space="0"/>
          <w:shd w:val="clear" w:fill="F8F8F8"/>
        </w:rPr>
        <w:t>  </w:t>
      </w:r>
      <w:r>
        <w:rPr>
          <w:rFonts w:hint="eastAsia" w:ascii="仿宋" w:hAnsi="仿宋" w:eastAsia="仿宋" w:cs="仿宋"/>
          <w:i w:val="0"/>
          <w:iCs w:val="0"/>
          <w:caps w:val="0"/>
          <w:color w:val="333333"/>
          <w:spacing w:val="0"/>
          <w:sz w:val="32"/>
          <w:szCs w:val="32"/>
          <w:bdr w:val="none" w:color="auto" w:sz="0" w:space="0"/>
          <w:shd w:val="clear" w:fill="F8F8F8"/>
        </w:rPr>
        <w:t>开发企业有下列行为之一的，由监管机构责令限期整改：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（一）未按规定将商品房预售资金存入监管账户的；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（二）以收取其他款项为名直接收存商品房预售资金变相逃避监管的；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（三）提供虚假资料申请拨付预售监管资金的；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（四）未按规定进行商品房预售合同网上备案和登记，并私自收取购房款未存入监管账户的；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（五）未将商品房预售资金用于工程建设的。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整改期间，由县监管机构通知有关商业银行停止拨付商品房预售资金，并停止该项目商品房预售合同网上备案；同一项目分期开发的，停止该项目后期的商品房预售许可办理。情节严重的，按照有关规定依法予以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第十七条</w:t>
      </w:r>
      <w:r>
        <w:rPr>
          <w:rFonts w:hint="default" w:ascii="Times New Roman" w:hAnsi="Times New Roman" w:cs="Times New Roman"/>
          <w:i w:val="0"/>
          <w:iCs w:val="0"/>
          <w:caps w:val="0"/>
          <w:color w:val="333333"/>
          <w:spacing w:val="0"/>
          <w:sz w:val="32"/>
          <w:szCs w:val="32"/>
          <w:bdr w:val="none" w:color="auto" w:sz="0" w:space="0"/>
          <w:shd w:val="clear" w:fill="F8F8F8"/>
        </w:rPr>
        <w:t>  </w:t>
      </w:r>
      <w:r>
        <w:rPr>
          <w:rFonts w:hint="eastAsia" w:ascii="仿宋" w:hAnsi="仿宋" w:eastAsia="仿宋" w:cs="仿宋"/>
          <w:i w:val="0"/>
          <w:iCs w:val="0"/>
          <w:caps w:val="0"/>
          <w:color w:val="333333"/>
          <w:spacing w:val="0"/>
          <w:sz w:val="32"/>
          <w:szCs w:val="32"/>
          <w:bdr w:val="none" w:color="auto" w:sz="0" w:space="0"/>
          <w:shd w:val="clear" w:fill="F8F8F8"/>
        </w:rPr>
        <w:t>监管机构和各监管银行工作人员在商品房预售资金监管工作中存在玩忽职守、滥用职权等行为的，依法给予处罚；构成犯罪的移交司法机关。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第十八条</w:t>
      </w:r>
      <w:r>
        <w:rPr>
          <w:rFonts w:hint="default" w:ascii="Times New Roman" w:hAnsi="Times New Roman" w:cs="Times New Roman"/>
          <w:i w:val="0"/>
          <w:iCs w:val="0"/>
          <w:caps w:val="0"/>
          <w:color w:val="333333"/>
          <w:spacing w:val="0"/>
          <w:sz w:val="32"/>
          <w:szCs w:val="32"/>
          <w:bdr w:val="none" w:color="auto" w:sz="0" w:space="0"/>
          <w:shd w:val="clear" w:fill="F8F8F8"/>
        </w:rPr>
        <w:t>  </w:t>
      </w:r>
      <w:r>
        <w:rPr>
          <w:rFonts w:hint="eastAsia" w:ascii="仿宋" w:hAnsi="仿宋" w:eastAsia="仿宋" w:cs="仿宋"/>
          <w:i w:val="0"/>
          <w:iCs w:val="0"/>
          <w:caps w:val="0"/>
          <w:color w:val="333333"/>
          <w:spacing w:val="0"/>
          <w:sz w:val="32"/>
          <w:szCs w:val="32"/>
          <w:bdr w:val="none" w:color="auto" w:sz="0" w:space="0"/>
          <w:shd w:val="clear" w:fill="F8F8F8"/>
        </w:rPr>
        <w:t>本暂行办法由县房地产主管部门负责解释。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第十九条</w:t>
      </w:r>
      <w:r>
        <w:rPr>
          <w:rFonts w:hint="default" w:ascii="Times New Roman" w:hAnsi="Times New Roman" w:cs="Times New Roman"/>
          <w:i w:val="0"/>
          <w:iCs w:val="0"/>
          <w:caps w:val="0"/>
          <w:color w:val="333333"/>
          <w:spacing w:val="0"/>
          <w:sz w:val="32"/>
          <w:szCs w:val="32"/>
          <w:bdr w:val="none" w:color="auto" w:sz="0" w:space="0"/>
          <w:shd w:val="clear" w:fill="F8F8F8"/>
        </w:rPr>
        <w:t>  </w:t>
      </w:r>
      <w:r>
        <w:rPr>
          <w:rFonts w:hint="eastAsia" w:ascii="仿宋" w:hAnsi="仿宋" w:eastAsia="仿宋" w:cs="仿宋"/>
          <w:i w:val="0"/>
          <w:iCs w:val="0"/>
          <w:caps w:val="0"/>
          <w:color w:val="333333"/>
          <w:spacing w:val="0"/>
          <w:sz w:val="32"/>
          <w:szCs w:val="32"/>
          <w:bdr w:val="none" w:color="auto" w:sz="0" w:space="0"/>
          <w:shd w:val="clear" w:fill="F8F8F8"/>
        </w:rPr>
        <w:t>本暂行办法自发布之日起执行，原监管办法同时废止。</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dit="readOnly" w:enforcement="1" w:cryptProviderType="rsaFull" w:cryptAlgorithmClass="hash" w:cryptAlgorithmType="typeAny" w:cryptAlgorithmSid="4" w:cryptSpinCount="0" w:hash="3spNqgoL8j3ve15s2gx/el2PYSc=" w:salt="JGOKHJ6ujbxnoJTJPPir2w=="/>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C4B41"/>
    <w:rsid w:val="06A74D3F"/>
    <w:rsid w:val="149731CE"/>
    <w:rsid w:val="3C5C4B41"/>
    <w:rsid w:val="61D41DFC"/>
    <w:rsid w:val="6B517EB1"/>
    <w:rsid w:val="72F111F5"/>
    <w:rsid w:val="74451155"/>
    <w:rsid w:val="7DB70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723" w:firstLineChars="200"/>
      <w:jc w:val="both"/>
    </w:pPr>
    <w:rPr>
      <w:rFonts w:ascii="Calibri" w:hAnsi="Calibri" w:eastAsia="宋体" w:cs="Calibri"/>
      <w:kern w:val="2"/>
      <w:sz w:val="21"/>
      <w:szCs w:val="21"/>
      <w:lang w:val="en-US" w:eastAsia="zh-CN" w:bidi="ar-SA"/>
    </w:rPr>
  </w:style>
  <w:style w:type="paragraph" w:styleId="2">
    <w:name w:val="heading 1"/>
    <w:next w:val="1"/>
    <w:link w:val="9"/>
    <w:qFormat/>
    <w:uiPriority w:val="0"/>
    <w:pPr>
      <w:widowControl w:val="0"/>
      <w:autoSpaceDE w:val="0"/>
      <w:autoSpaceDN w:val="0"/>
      <w:adjustRightInd w:val="0"/>
      <w:spacing w:before="350" w:after="320"/>
      <w:jc w:val="center"/>
      <w:outlineLvl w:val="0"/>
    </w:pPr>
    <w:rPr>
      <w:rFonts w:ascii="Courier New" w:hAnsi="Courier New" w:eastAsia="黑体" w:cs="Times New Roman"/>
      <w:b/>
      <w:color w:val="000000"/>
      <w:sz w:val="30"/>
      <w:lang w:val="en-US" w:eastAsia="zh-CN" w:bidi="ar-SA"/>
    </w:rPr>
  </w:style>
  <w:style w:type="paragraph" w:styleId="3">
    <w:name w:val="heading 2"/>
    <w:next w:val="1"/>
    <w:semiHidden/>
    <w:unhideWhenUsed/>
    <w:qFormat/>
    <w:uiPriority w:val="0"/>
    <w:pPr>
      <w:widowControl w:val="0"/>
      <w:autoSpaceDE w:val="0"/>
      <w:autoSpaceDN w:val="0"/>
      <w:adjustRightInd w:val="0"/>
      <w:spacing w:before="260" w:after="260" w:line="416" w:lineRule="auto"/>
      <w:outlineLvl w:val="1"/>
    </w:pPr>
    <w:rPr>
      <w:rFonts w:ascii="Courier New" w:hAnsi="Courier New" w:eastAsia="宋体" w:cs="Times New Roman"/>
      <w:b/>
      <w:color w:val="000000"/>
      <w:sz w:val="28"/>
      <w:lang w:val="en-US" w:eastAsia="zh-CN" w:bidi="ar-SA"/>
    </w:rPr>
  </w:style>
  <w:style w:type="paragraph" w:styleId="4">
    <w:name w:val="heading 3"/>
    <w:next w:val="1"/>
    <w:semiHidden/>
    <w:unhideWhenUsed/>
    <w:qFormat/>
    <w:uiPriority w:val="0"/>
    <w:pPr>
      <w:widowControl w:val="0"/>
      <w:autoSpaceDE w:val="0"/>
      <w:autoSpaceDN w:val="0"/>
      <w:adjustRightInd w:val="0"/>
      <w:spacing w:before="260" w:after="260" w:line="416" w:lineRule="auto"/>
      <w:outlineLvl w:val="2"/>
    </w:pPr>
    <w:rPr>
      <w:rFonts w:ascii="Courier New" w:hAnsi="Courier New" w:eastAsia="宋体" w:cs="Times New Roman"/>
      <w:color w:val="000000"/>
      <w:sz w:val="24"/>
      <w:lang w:val="en-US" w:eastAsia="zh-CN" w:bidi="ar-SA"/>
    </w:rPr>
  </w:style>
  <w:style w:type="paragraph" w:styleId="5">
    <w:name w:val="heading 4"/>
    <w:basedOn w:val="1"/>
    <w:next w:val="1"/>
    <w:semiHidden/>
    <w:unhideWhenUsed/>
    <w:qFormat/>
    <w:uiPriority w:val="0"/>
    <w:pPr>
      <w:keepNext/>
      <w:keepLines/>
      <w:spacing w:beforeLines="0"/>
      <w:ind w:firstLine="0" w:firstLineChars="0"/>
      <w:outlineLvl w:val="3"/>
    </w:pPr>
    <w:rPr>
      <w:rFonts w:ascii="Arial" w:hAnsi="Arial" w:eastAsia="宋体" w:cstheme="minorBidi"/>
      <w:sz w:val="2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9">
    <w:name w:val="标题 1 Char"/>
    <w:link w:val="2"/>
    <w:qFormat/>
    <w:uiPriority w:val="99"/>
    <w:rPr>
      <w:rFonts w:ascii="Courier New" w:hAnsi="Courier New" w:eastAsia="黑体" w:cs="Times New Roman"/>
      <w:b/>
      <w:color w:val="000000"/>
      <w:sz w:val="3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2021-08-30T05:06:00Z</dcterms:created>
  <dc:creator>小梨涡er</dc:creator>
  <cp:lastModifiedBy>小梨涡er</cp:lastModifiedBy>
  <dcterms:modified xsi:type="dcterms:W3CDTF">2021-08-30T05:08:46Z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7E6E0AAA33C84FA9893BC4E5BB264209</vt:lpwstr>
  </property>
</Properties>
</file>