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lang w:val="en-US" w:eastAsia="zh-CN"/>
        </w:rPr>
        <w:t xml:space="preserve"> </w:t>
      </w:r>
      <w:r>
        <w:rPr>
          <w:rFonts w:hint="eastAsia" w:ascii="黑体" w:hAnsi="黑体" w:eastAsia="黑体"/>
          <w:snapToGrid w:val="0"/>
          <w:color w:val="auto"/>
          <w:sz w:val="30"/>
          <w:szCs w:val="30"/>
        </w:rPr>
        <w:t>一、建设项目基本情况</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12"/>
        <w:gridCol w:w="190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6758" w:type="dxa"/>
            <w:gridSpan w:val="3"/>
            <w:noWrap w:val="0"/>
            <w:vAlign w:val="center"/>
          </w:tcPr>
          <w:p>
            <w:pPr>
              <w:adjustRightInd w:val="0"/>
              <w:snapToGrid w:val="0"/>
              <w:jc w:val="center"/>
              <w:rPr>
                <w:color w:val="auto"/>
                <w:sz w:val="24"/>
              </w:rPr>
            </w:pPr>
            <w:r>
              <w:rPr>
                <w:rFonts w:hint="eastAsia"/>
                <w:color w:val="auto"/>
                <w:sz w:val="24"/>
                <w:lang w:eastAsia="zh-CN"/>
              </w:rPr>
              <w:t>安徽省益农化工有限公司年产</w:t>
            </w:r>
            <w:r>
              <w:rPr>
                <w:rFonts w:hint="eastAsia"/>
                <w:color w:val="auto"/>
                <w:sz w:val="24"/>
                <w:lang w:val="en-US" w:eastAsia="zh-CN"/>
              </w:rPr>
              <w:t>2000吨塑料制品</w:t>
            </w:r>
            <w:r>
              <w:rPr>
                <w:rFonts w:hint="eastAsia"/>
                <w:color w:val="auto"/>
                <w:sz w:val="24"/>
                <w:lang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6758" w:type="dxa"/>
            <w:gridSpan w:val="3"/>
            <w:noWrap w:val="0"/>
            <w:vAlign w:val="center"/>
          </w:tcPr>
          <w:p>
            <w:pPr>
              <w:adjustRightInd w:val="0"/>
              <w:snapToGrid w:val="0"/>
              <w:jc w:val="center"/>
              <w:rPr>
                <w:rFonts w:hint="default" w:eastAsia="宋体"/>
                <w:color w:val="auto"/>
                <w:sz w:val="24"/>
                <w:lang w:val="en-US" w:eastAsia="zh-CN"/>
              </w:rPr>
            </w:pPr>
            <w:r>
              <w:rPr>
                <w:color w:val="auto"/>
                <w:sz w:val="24"/>
              </w:rPr>
              <w:t>210</w:t>
            </w:r>
            <w:r>
              <w:rPr>
                <w:rFonts w:hint="eastAsia"/>
                <w:color w:val="auto"/>
                <w:sz w:val="24"/>
                <w:lang w:val="en-US" w:eastAsia="zh-CN"/>
              </w:rPr>
              <w:t>2</w:t>
            </w:r>
            <w:r>
              <w:rPr>
                <w:color w:val="auto"/>
                <w:sz w:val="24"/>
              </w:rPr>
              <w:t>-34159</w:t>
            </w:r>
            <w:r>
              <w:rPr>
                <w:rFonts w:hint="eastAsia"/>
                <w:color w:val="auto"/>
                <w:sz w:val="24"/>
                <w:lang w:val="en-US" w:eastAsia="zh-CN"/>
              </w:rPr>
              <w:t>8</w:t>
            </w:r>
            <w:r>
              <w:rPr>
                <w:color w:val="auto"/>
                <w:sz w:val="24"/>
              </w:rPr>
              <w:t>-04-0</w:t>
            </w:r>
            <w:r>
              <w:rPr>
                <w:rFonts w:hint="eastAsia"/>
                <w:color w:val="auto"/>
                <w:sz w:val="24"/>
                <w:lang w:val="en-US" w:eastAsia="zh-CN"/>
              </w:rPr>
              <w:t>1</w:t>
            </w:r>
            <w:r>
              <w:rPr>
                <w:color w:val="auto"/>
                <w:sz w:val="24"/>
              </w:rPr>
              <w:t>-</w:t>
            </w:r>
            <w:r>
              <w:rPr>
                <w:rFonts w:hint="eastAsia"/>
                <w:color w:val="auto"/>
                <w:sz w:val="24"/>
                <w:lang w:val="en-US" w:eastAsia="zh-CN"/>
              </w:rPr>
              <w:t>961078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90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方润</w:t>
            </w:r>
          </w:p>
        </w:tc>
        <w:tc>
          <w:tcPr>
            <w:tcW w:w="2212" w:type="dxa"/>
            <w:noWrap w:val="0"/>
            <w:vAlign w:val="center"/>
          </w:tcPr>
          <w:p>
            <w:pPr>
              <w:adjustRightInd w:val="0"/>
              <w:snapToGrid w:val="0"/>
              <w:jc w:val="center"/>
              <w:rPr>
                <w:color w:val="auto"/>
                <w:sz w:val="24"/>
              </w:rPr>
            </w:pPr>
            <w:r>
              <w:rPr>
                <w:color w:val="auto"/>
                <w:sz w:val="24"/>
              </w:rPr>
              <w:t>联系方式</w:t>
            </w:r>
          </w:p>
        </w:tc>
        <w:tc>
          <w:tcPr>
            <w:tcW w:w="2639"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18175009672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6758" w:type="dxa"/>
            <w:gridSpan w:val="3"/>
            <w:noWrap w:val="0"/>
            <w:vAlign w:val="center"/>
          </w:tcPr>
          <w:p>
            <w:pPr>
              <w:adjustRightInd w:val="0"/>
              <w:snapToGrid w:val="0"/>
              <w:jc w:val="center"/>
              <w:rPr>
                <w:color w:val="auto"/>
                <w:sz w:val="24"/>
              </w:rPr>
            </w:pPr>
            <w:r>
              <w:rPr>
                <w:color w:val="auto"/>
                <w:sz w:val="24"/>
                <w:u w:val="single"/>
              </w:rPr>
              <w:t xml:space="preserve"> 安徽 </w:t>
            </w:r>
            <w:r>
              <w:rPr>
                <w:color w:val="auto"/>
                <w:sz w:val="24"/>
              </w:rPr>
              <w:t>省</w:t>
            </w:r>
            <w:r>
              <w:rPr>
                <w:rFonts w:hint="eastAsia"/>
                <w:color w:val="auto"/>
                <w:sz w:val="24"/>
                <w:lang w:val="en-US" w:eastAsia="zh-CN"/>
              </w:rPr>
              <w:t xml:space="preserve"> </w:t>
            </w:r>
            <w:r>
              <w:rPr>
                <w:color w:val="auto"/>
                <w:sz w:val="24"/>
                <w:u w:val="single"/>
              </w:rPr>
              <w:t xml:space="preserve">六安 </w:t>
            </w:r>
            <w:r>
              <w:rPr>
                <w:color w:val="auto"/>
                <w:sz w:val="24"/>
              </w:rPr>
              <w:t>市</w:t>
            </w:r>
            <w:r>
              <w:rPr>
                <w:rFonts w:hint="eastAsia"/>
                <w:color w:val="auto"/>
                <w:sz w:val="24"/>
                <w:lang w:val="en-US" w:eastAsia="zh-CN"/>
              </w:rPr>
              <w:t xml:space="preserve"> </w:t>
            </w:r>
            <w:r>
              <w:rPr>
                <w:color w:val="auto"/>
                <w:sz w:val="24"/>
                <w:u w:val="single"/>
              </w:rPr>
              <w:t xml:space="preserve">舒城 </w:t>
            </w:r>
            <w:r>
              <w:rPr>
                <w:color w:val="auto"/>
                <w:sz w:val="24"/>
              </w:rPr>
              <w:t xml:space="preserve">县 </w:t>
            </w:r>
            <w:r>
              <w:rPr>
                <w:rFonts w:hint="eastAsia"/>
                <w:color w:val="auto"/>
                <w:sz w:val="24"/>
                <w:u w:val="single"/>
              </w:rPr>
              <w:t xml:space="preserve">经济开发区 </w:t>
            </w:r>
            <w:r>
              <w:rPr>
                <w:rFonts w:hint="eastAsia"/>
                <w:color w:val="auto"/>
                <w:sz w:val="24"/>
                <w:u w:val="single"/>
                <w:lang w:eastAsia="zh-CN"/>
              </w:rPr>
              <w:t>经三路与公麟路交叉口</w:t>
            </w:r>
            <w:r>
              <w:rPr>
                <w:color w:val="auto"/>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6758" w:type="dxa"/>
            <w:gridSpan w:val="3"/>
            <w:noWrap w:val="0"/>
            <w:vAlign w:val="center"/>
          </w:tcPr>
          <w:p>
            <w:pPr>
              <w:jc w:val="center"/>
              <w:rPr>
                <w:color w:val="auto"/>
                <w:sz w:val="24"/>
              </w:rPr>
            </w:pPr>
            <w:r>
              <w:rPr>
                <w:color w:val="auto"/>
                <w:sz w:val="24"/>
              </w:rPr>
              <w:t>（</w:t>
            </w:r>
            <w:r>
              <w:rPr>
                <w:color w:val="auto"/>
                <w:sz w:val="24"/>
                <w:u w:val="single"/>
              </w:rPr>
              <w:t xml:space="preserve"> 31 </w:t>
            </w:r>
            <w:r>
              <w:rPr>
                <w:color w:val="auto"/>
                <w:sz w:val="24"/>
              </w:rPr>
              <w:t>度</w:t>
            </w:r>
            <w:r>
              <w:rPr>
                <w:color w:val="auto"/>
                <w:sz w:val="24"/>
                <w:u w:val="single"/>
              </w:rPr>
              <w:t xml:space="preserve"> </w:t>
            </w:r>
            <w:r>
              <w:rPr>
                <w:rFonts w:hint="eastAsia"/>
                <w:color w:val="auto"/>
                <w:sz w:val="24"/>
                <w:u w:val="single"/>
                <w:lang w:val="en-US" w:eastAsia="zh-CN"/>
              </w:rPr>
              <w:t>29</w:t>
            </w:r>
            <w:r>
              <w:rPr>
                <w:color w:val="auto"/>
                <w:sz w:val="24"/>
              </w:rPr>
              <w:t>分</w:t>
            </w:r>
            <w:r>
              <w:rPr>
                <w:color w:val="auto"/>
                <w:sz w:val="24"/>
                <w:u w:val="single"/>
              </w:rPr>
              <w:t xml:space="preserve"> </w:t>
            </w:r>
            <w:r>
              <w:rPr>
                <w:rFonts w:hint="eastAsia"/>
                <w:color w:val="auto"/>
                <w:sz w:val="24"/>
                <w:u w:val="single"/>
                <w:lang w:val="en-US" w:eastAsia="zh-CN"/>
              </w:rPr>
              <w:t>30.069</w:t>
            </w:r>
            <w:r>
              <w:rPr>
                <w:color w:val="auto"/>
                <w:sz w:val="24"/>
                <w:u w:val="single"/>
              </w:rPr>
              <w:t xml:space="preserve"> </w:t>
            </w:r>
            <w:r>
              <w:rPr>
                <w:color w:val="auto"/>
                <w:sz w:val="24"/>
              </w:rPr>
              <w:t>秒，</w:t>
            </w:r>
            <w:r>
              <w:rPr>
                <w:color w:val="auto"/>
                <w:sz w:val="24"/>
                <w:u w:val="single"/>
              </w:rPr>
              <w:t xml:space="preserve"> 11</w:t>
            </w:r>
            <w:r>
              <w:rPr>
                <w:rFonts w:hint="eastAsia"/>
                <w:color w:val="auto"/>
                <w:sz w:val="24"/>
                <w:u w:val="single"/>
                <w:lang w:val="en-US" w:eastAsia="zh-CN"/>
              </w:rPr>
              <w:t>6</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57</w:t>
            </w:r>
            <w:r>
              <w:rPr>
                <w:rFonts w:hint="eastAsia"/>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4.896</w:t>
            </w:r>
            <w:r>
              <w:rPr>
                <w:color w:val="auto"/>
                <w:sz w:val="24"/>
                <w:u w:val="single"/>
              </w:rPr>
              <w:t xml:space="preserve"> </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1907" w:type="dxa"/>
            <w:noWrap w:val="0"/>
            <w:vAlign w:val="center"/>
          </w:tcPr>
          <w:p>
            <w:pPr>
              <w:jc w:val="center"/>
              <w:rPr>
                <w:rFonts w:hint="eastAsia" w:eastAsia="宋体"/>
                <w:color w:val="auto"/>
                <w:sz w:val="24"/>
                <w:szCs w:val="24"/>
                <w:lang w:val="en-US" w:eastAsia="zh-CN"/>
              </w:rPr>
            </w:pPr>
            <w:r>
              <w:rPr>
                <w:color w:val="auto"/>
                <w:sz w:val="24"/>
                <w:szCs w:val="24"/>
              </w:rPr>
              <w:t>C292</w:t>
            </w:r>
            <w:r>
              <w:rPr>
                <w:rFonts w:hint="eastAsia"/>
                <w:color w:val="auto"/>
                <w:sz w:val="24"/>
                <w:szCs w:val="24"/>
                <w:lang w:val="en-US" w:eastAsia="zh-CN"/>
              </w:rPr>
              <w:t>7</w:t>
            </w:r>
          </w:p>
          <w:p>
            <w:pPr>
              <w:adjustRightInd w:val="0"/>
              <w:snapToGrid w:val="0"/>
              <w:jc w:val="center"/>
              <w:rPr>
                <w:color w:val="auto"/>
                <w:sz w:val="24"/>
              </w:rPr>
            </w:pPr>
            <w:r>
              <w:rPr>
                <w:rFonts w:hint="eastAsia" w:hAnsi="宋体"/>
                <w:color w:val="auto"/>
                <w:sz w:val="24"/>
                <w:szCs w:val="24"/>
                <w:lang w:eastAsia="zh-CN"/>
              </w:rPr>
              <w:t>日用塑料制品</w:t>
            </w:r>
            <w:r>
              <w:rPr>
                <w:rFonts w:hAnsi="宋体"/>
                <w:color w:val="auto"/>
                <w:sz w:val="24"/>
                <w:szCs w:val="24"/>
              </w:rPr>
              <w:t>制造</w:t>
            </w:r>
          </w:p>
        </w:tc>
        <w:tc>
          <w:tcPr>
            <w:tcW w:w="2212" w:type="dxa"/>
            <w:noWrap w:val="0"/>
            <w:vAlign w:val="center"/>
          </w:tcPr>
          <w:p>
            <w:pPr>
              <w:adjustRightInd w:val="0"/>
              <w:snapToGrid w:val="0"/>
              <w:jc w:val="center"/>
              <w:rPr>
                <w:color w:val="auto"/>
                <w:sz w:val="24"/>
              </w:rPr>
            </w:pPr>
            <w:bookmarkStart w:id="0" w:name="_Hlk49843745"/>
            <w:r>
              <w:rPr>
                <w:color w:val="auto"/>
                <w:sz w:val="24"/>
              </w:rPr>
              <w:t>建设项目</w:t>
            </w:r>
          </w:p>
          <w:p>
            <w:pPr>
              <w:adjustRightInd w:val="0"/>
              <w:snapToGrid w:val="0"/>
              <w:jc w:val="center"/>
              <w:rPr>
                <w:color w:val="auto"/>
                <w:sz w:val="24"/>
              </w:rPr>
            </w:pPr>
            <w:r>
              <w:rPr>
                <w:color w:val="auto"/>
                <w:sz w:val="24"/>
              </w:rPr>
              <w:t>行业类别</w:t>
            </w:r>
            <w:bookmarkEnd w:id="0"/>
          </w:p>
        </w:tc>
        <w:tc>
          <w:tcPr>
            <w:tcW w:w="2639" w:type="dxa"/>
            <w:noWrap w:val="0"/>
            <w:vAlign w:val="center"/>
          </w:tcPr>
          <w:p>
            <w:pPr>
              <w:adjustRightInd w:val="0"/>
              <w:snapToGrid w:val="0"/>
              <w:jc w:val="center"/>
              <w:rPr>
                <w:color w:val="auto"/>
                <w:sz w:val="24"/>
              </w:rPr>
            </w:pPr>
            <w:r>
              <w:rPr>
                <w:rFonts w:hint="eastAsia"/>
                <w:color w:val="auto"/>
                <w:sz w:val="24"/>
                <w:lang w:eastAsia="zh-CN"/>
              </w:rPr>
              <w:t>二</w:t>
            </w:r>
            <w:r>
              <w:rPr>
                <w:color w:val="auto"/>
                <w:sz w:val="24"/>
              </w:rPr>
              <w:t>十</w:t>
            </w:r>
            <w:r>
              <w:rPr>
                <w:rFonts w:hint="eastAsia"/>
                <w:color w:val="auto"/>
                <w:sz w:val="24"/>
                <w:lang w:eastAsia="zh-CN"/>
              </w:rPr>
              <w:t>六</w:t>
            </w:r>
            <w:r>
              <w:rPr>
                <w:color w:val="auto"/>
                <w:sz w:val="24"/>
              </w:rPr>
              <w:t>、</w:t>
            </w:r>
            <w:r>
              <w:rPr>
                <w:rFonts w:hint="eastAsia"/>
                <w:color w:val="auto"/>
                <w:sz w:val="24"/>
                <w:lang w:eastAsia="zh-CN"/>
              </w:rPr>
              <w:t>橡胶和塑料</w:t>
            </w:r>
            <w:r>
              <w:rPr>
                <w:color w:val="auto"/>
                <w:sz w:val="24"/>
              </w:rPr>
              <w:t>制品业--</w:t>
            </w:r>
            <w:r>
              <w:rPr>
                <w:rFonts w:hint="eastAsia"/>
                <w:color w:val="auto"/>
                <w:sz w:val="24"/>
                <w:lang w:val="en-US" w:eastAsia="zh-CN"/>
              </w:rPr>
              <w:t>053塑料制品业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907" w:type="dxa"/>
            <w:noWrap w:val="0"/>
            <w:vAlign w:val="center"/>
          </w:tcPr>
          <w:p>
            <w:pPr>
              <w:jc w:val="left"/>
              <w:rPr>
                <w:color w:val="auto"/>
                <w:sz w:val="24"/>
              </w:rPr>
            </w:pPr>
            <w:r>
              <w:rPr>
                <w:color w:val="auto"/>
                <w:sz w:val="24"/>
              </w:rPr>
              <w:sym w:font="Wingdings 2" w:char="0052"/>
            </w:r>
            <w:r>
              <w:rPr>
                <w:color w:val="auto"/>
                <w:sz w:val="24"/>
              </w:rPr>
              <w:t>新建（迁建）</w:t>
            </w:r>
          </w:p>
          <w:p>
            <w:pPr>
              <w:jc w:val="left"/>
              <w:rPr>
                <w:color w:val="auto"/>
                <w:sz w:val="24"/>
              </w:rPr>
            </w:pPr>
            <w:r>
              <w:rPr>
                <w:color w:val="auto"/>
                <w:sz w:val="24"/>
              </w:rPr>
              <w:t>□改建</w:t>
            </w:r>
          </w:p>
          <w:p>
            <w:pPr>
              <w:jc w:val="left"/>
              <w:rPr>
                <w:color w:val="auto"/>
                <w:sz w:val="24"/>
              </w:rPr>
            </w:pPr>
            <w:r>
              <w:rPr>
                <w:color w:val="auto"/>
                <w:sz w:val="24"/>
              </w:rPr>
              <w:t>□扩建</w:t>
            </w:r>
          </w:p>
          <w:p>
            <w:pPr>
              <w:jc w:val="left"/>
              <w:rPr>
                <w:color w:val="auto"/>
                <w:sz w:val="24"/>
              </w:rPr>
            </w:pPr>
            <w:r>
              <w:rPr>
                <w:color w:val="auto"/>
                <w:sz w:val="24"/>
              </w:rPr>
              <w:t>□技术改造</w:t>
            </w:r>
          </w:p>
        </w:tc>
        <w:tc>
          <w:tcPr>
            <w:tcW w:w="2212" w:type="dxa"/>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639" w:type="dxa"/>
            <w:noWrap w:val="0"/>
            <w:vAlign w:val="center"/>
          </w:tcPr>
          <w:p>
            <w:pPr>
              <w:jc w:val="left"/>
              <w:rPr>
                <w:color w:val="auto"/>
                <w:sz w:val="24"/>
              </w:rPr>
            </w:pPr>
            <w:r>
              <w:rPr>
                <w:color w:val="auto"/>
                <w:sz w:val="24"/>
              </w:rPr>
              <w:sym w:font="Wingdings 2" w:char="0052"/>
            </w: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90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舒城经开区经贸科技发展局</w:t>
            </w:r>
          </w:p>
        </w:tc>
        <w:tc>
          <w:tcPr>
            <w:tcW w:w="2212" w:type="dxa"/>
            <w:noWrap w:val="0"/>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639" w:type="dxa"/>
            <w:noWrap w:val="0"/>
            <w:vAlign w:val="center"/>
          </w:tcPr>
          <w:p>
            <w:pPr>
              <w:adjustRightInd w:val="0"/>
              <w:snapToGrid w:val="0"/>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907" w:type="dxa"/>
            <w:noWrap w:val="0"/>
            <w:vAlign w:val="center"/>
          </w:tcPr>
          <w:p>
            <w:pPr>
              <w:adjustRightInd w:val="0"/>
              <w:snapToGrid w:val="0"/>
              <w:jc w:val="center"/>
              <w:rPr>
                <w:color w:val="auto"/>
                <w:sz w:val="24"/>
              </w:rPr>
            </w:pPr>
            <w:r>
              <w:rPr>
                <w:color w:val="auto"/>
                <w:sz w:val="24"/>
              </w:rPr>
              <w:t>1</w:t>
            </w:r>
            <w:r>
              <w:rPr>
                <w:rFonts w:hint="eastAsia"/>
                <w:color w:val="auto"/>
                <w:sz w:val="24"/>
                <w:lang w:val="en-US" w:eastAsia="zh-CN"/>
              </w:rPr>
              <w:t>00</w:t>
            </w:r>
            <w:r>
              <w:rPr>
                <w:color w:val="auto"/>
                <w:sz w:val="24"/>
              </w:rPr>
              <w:t>00</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639" w:type="dxa"/>
            <w:noWrap w:val="0"/>
            <w:vAlign w:val="center"/>
          </w:tcPr>
          <w:p>
            <w:pPr>
              <w:adjustRightInd w:val="0"/>
              <w:snapToGrid w:val="0"/>
              <w:jc w:val="center"/>
              <w:rPr>
                <w:rFonts w:hint="default"/>
                <w:color w:val="auto"/>
                <w:sz w:val="24"/>
                <w:lang w:val="en-US" w:eastAsia="zh-CN"/>
              </w:rPr>
            </w:pPr>
            <w:r>
              <w:rPr>
                <w:rFonts w:hint="eastAsia"/>
                <w:color w:val="auto"/>
                <w:sz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noWrap w:val="0"/>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907" w:type="dxa"/>
            <w:noWrap w:val="0"/>
            <w:vAlign w:val="center"/>
          </w:tcPr>
          <w:p>
            <w:pPr>
              <w:adjustRightInd w:val="0"/>
              <w:snapToGrid w:val="0"/>
              <w:jc w:val="center"/>
              <w:rPr>
                <w:rFonts w:hint="default"/>
                <w:color w:val="auto"/>
                <w:sz w:val="24"/>
                <w:lang w:val="en-US" w:eastAsia="zh-CN"/>
              </w:rPr>
            </w:pPr>
            <w:r>
              <w:rPr>
                <w:rFonts w:hint="eastAsia"/>
                <w:color w:val="auto"/>
                <w:sz w:val="24"/>
                <w:lang w:val="en-US" w:eastAsia="zh-CN"/>
              </w:rPr>
              <w:t>0.3</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639" w:type="dxa"/>
            <w:noWrap w:val="0"/>
            <w:vAlign w:val="center"/>
          </w:tcPr>
          <w:p>
            <w:pPr>
              <w:adjustRightInd w:val="0"/>
              <w:snapToGrid w:val="0"/>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vMerge w:val="restart"/>
            <w:noWrap w:val="0"/>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907" w:type="dxa"/>
            <w:vMerge w:val="restart"/>
            <w:noWrap w:val="0"/>
            <w:vAlign w:val="center"/>
          </w:tcPr>
          <w:p>
            <w:pPr>
              <w:adjustRightInd w:val="0"/>
              <w:snapToGrid w:val="0"/>
              <w:rPr>
                <w:color w:val="auto"/>
                <w:sz w:val="24"/>
              </w:rPr>
            </w:pPr>
            <w:r>
              <w:rPr>
                <w:color w:val="auto"/>
                <w:sz w:val="24"/>
              </w:rPr>
              <w:sym w:font="Wingdings 2" w:char="0052"/>
            </w:r>
            <w:r>
              <w:rPr>
                <w:color w:val="auto"/>
                <w:sz w:val="24"/>
              </w:rPr>
              <w:t>否</w:t>
            </w:r>
          </w:p>
          <w:p>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2212" w:type="dxa"/>
            <w:noWrap w:val="0"/>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639"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20191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2" w:type="dxa"/>
            <w:vMerge w:val="continue"/>
            <w:noWrap w:val="0"/>
            <w:tcMar>
              <w:top w:w="16" w:type="dxa"/>
              <w:left w:w="16" w:type="dxa"/>
              <w:right w:w="16" w:type="dxa"/>
            </w:tcMar>
            <w:vAlign w:val="center"/>
          </w:tcPr>
          <w:p>
            <w:pPr>
              <w:adjustRightInd w:val="0"/>
              <w:snapToGrid w:val="0"/>
              <w:jc w:val="center"/>
              <w:rPr>
                <w:color w:val="auto"/>
                <w:sz w:val="24"/>
              </w:rPr>
            </w:pPr>
          </w:p>
        </w:tc>
        <w:tc>
          <w:tcPr>
            <w:tcW w:w="1907" w:type="dxa"/>
            <w:vMerge w:val="continue"/>
            <w:noWrap w:val="0"/>
            <w:vAlign w:val="center"/>
          </w:tcPr>
          <w:p>
            <w:pPr>
              <w:adjustRightInd w:val="0"/>
              <w:snapToGrid w:val="0"/>
              <w:rPr>
                <w:color w:val="auto"/>
                <w:sz w:val="24"/>
              </w:rPr>
            </w:pPr>
          </w:p>
        </w:tc>
        <w:tc>
          <w:tcPr>
            <w:tcW w:w="2212" w:type="dxa"/>
            <w:noWrap w:val="0"/>
            <w:tcMar>
              <w:top w:w="16" w:type="dxa"/>
              <w:left w:w="16" w:type="dxa"/>
              <w:right w:w="16" w:type="dxa"/>
            </w:tcMar>
            <w:vAlign w:val="center"/>
          </w:tcPr>
          <w:p>
            <w:pPr>
              <w:adjustRightInd w:val="0"/>
              <w:snapToGrid w:val="0"/>
              <w:jc w:val="center"/>
              <w:rPr>
                <w:rFonts w:hint="eastAsia" w:eastAsia="宋体"/>
                <w:color w:val="auto"/>
                <w:spacing w:val="-6"/>
                <w:sz w:val="24"/>
                <w:lang w:eastAsia="zh-CN"/>
              </w:rPr>
            </w:pPr>
            <w:r>
              <w:rPr>
                <w:rFonts w:hint="eastAsia"/>
                <w:color w:val="auto"/>
                <w:spacing w:val="-6"/>
                <w:sz w:val="24"/>
                <w:lang w:eastAsia="zh-CN"/>
              </w:rPr>
              <w:t>建筑面积（</w:t>
            </w:r>
            <w:r>
              <w:rPr>
                <w:color w:val="auto"/>
                <w:spacing w:val="-6"/>
                <w:sz w:val="24"/>
              </w:rPr>
              <w:t>m</w:t>
            </w:r>
            <w:r>
              <w:rPr>
                <w:color w:val="auto"/>
                <w:spacing w:val="-6"/>
                <w:sz w:val="24"/>
                <w:vertAlign w:val="superscript"/>
              </w:rPr>
              <w:t>2</w:t>
            </w:r>
            <w:r>
              <w:rPr>
                <w:rFonts w:hint="eastAsia"/>
                <w:color w:val="auto"/>
                <w:spacing w:val="-6"/>
                <w:sz w:val="24"/>
                <w:lang w:eastAsia="zh-CN"/>
              </w:rPr>
              <w:t>）</w:t>
            </w:r>
          </w:p>
        </w:tc>
        <w:tc>
          <w:tcPr>
            <w:tcW w:w="2639" w:type="dxa"/>
            <w:noWrap w:val="0"/>
            <w:vAlign w:val="center"/>
          </w:tcPr>
          <w:p>
            <w:pPr>
              <w:adjustRightInd w:val="0"/>
              <w:snapToGrid w:val="0"/>
              <w:jc w:val="center"/>
              <w:rPr>
                <w:rFonts w:hint="default"/>
                <w:color w:val="auto"/>
                <w:sz w:val="24"/>
                <w:lang w:val="en-US" w:eastAsia="zh-CN"/>
              </w:rPr>
            </w:pPr>
            <w:r>
              <w:rPr>
                <w:rFonts w:hint="eastAsia" w:eastAsia="宋体"/>
                <w:color w:val="auto"/>
                <w:sz w:val="24"/>
                <w:lang w:val="en-US" w:eastAsia="zh-CN"/>
              </w:rPr>
              <w:t>22547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112" w:type="dxa"/>
            <w:noWrap w:val="0"/>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6758" w:type="dxa"/>
            <w:gridSpan w:val="3"/>
            <w:noWrap w:val="0"/>
            <w:vAlign w:val="center"/>
          </w:tcPr>
          <w:p>
            <w:pPr>
              <w:autoSpaceDE w:val="0"/>
              <w:autoSpaceDN w:val="0"/>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根据《建设项目环境影响报告表编制技术指南（污染影响类）（试行）》，未设置专项评价的，设置情况“无”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2112" w:type="dxa"/>
            <w:noWrap w:val="0"/>
            <w:vAlign w:val="center"/>
          </w:tcPr>
          <w:p>
            <w:pPr>
              <w:autoSpaceDE w:val="0"/>
              <w:autoSpaceDN w:val="0"/>
              <w:adjustRightInd w:val="0"/>
              <w:snapToGrid w:val="0"/>
              <w:jc w:val="center"/>
              <w:rPr>
                <w:color w:val="auto"/>
                <w:kern w:val="0"/>
                <w:sz w:val="24"/>
              </w:rPr>
            </w:pPr>
            <w:r>
              <w:rPr>
                <w:color w:val="auto"/>
                <w:sz w:val="24"/>
              </w:rPr>
              <w:t>规划情况</w:t>
            </w:r>
          </w:p>
        </w:tc>
        <w:tc>
          <w:tcPr>
            <w:tcW w:w="675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规划名称：《安徽省舒城经济开发区总体发展规划（201</w:t>
            </w:r>
            <w:bookmarkStart w:id="2" w:name="_GoBack"/>
            <w:bookmarkEnd w:id="2"/>
            <w:r>
              <w:rPr>
                <w:rFonts w:hint="eastAsia" w:ascii="Times New Roman" w:hAnsi="Times New Roman" w:eastAsia="宋体" w:cs="Times New Roman"/>
                <w:color w:val="auto"/>
                <w:kern w:val="0"/>
                <w:sz w:val="21"/>
                <w:szCs w:val="21"/>
                <w:lang w:val="en-US" w:eastAsia="zh-CN"/>
              </w:rPr>
              <w:t>0—2020）》；审批机关：安徽省人民政府；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color w:val="auto"/>
                <w:kern w:val="0"/>
                <w:sz w:val="24"/>
              </w:rPr>
            </w:pPr>
            <w:r>
              <w:rPr>
                <w:rFonts w:hint="eastAsia" w:ascii="Times New Roman" w:hAnsi="Times New Roman" w:eastAsia="宋体" w:cs="Times New Roman"/>
                <w:color w:val="auto"/>
                <w:kern w:val="0"/>
                <w:sz w:val="21"/>
                <w:szCs w:val="21"/>
                <w:lang w:val="en-US" w:eastAsia="zh-CN"/>
              </w:rPr>
              <w:t>审批文件名称：《安徽省人民政府关于同意舒城经济开发区扩区的批复》；审批文号：皖政秘[2012]509号。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2112" w:type="dxa"/>
            <w:noWrap w:val="0"/>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6758" w:type="dxa"/>
            <w:gridSpan w:val="3"/>
            <w:noWrap w:val="0"/>
            <w:vAlign w:val="center"/>
          </w:tcPr>
          <w:p>
            <w:pPr>
              <w:autoSpaceDE w:val="0"/>
              <w:autoSpaceDN w:val="0"/>
              <w:adjustRightInd w:val="0"/>
              <w:snapToGrid w:val="0"/>
              <w:spacing w:line="36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规划环评文件名：《安徽舒城经济开发区规划环境影响跟踪评价报告书》；</w:t>
            </w:r>
          </w:p>
          <w:p>
            <w:pPr>
              <w:autoSpaceDE w:val="0"/>
              <w:autoSpaceDN w:val="0"/>
              <w:adjustRightInd w:val="0"/>
              <w:snapToGrid w:val="0"/>
              <w:spacing w:line="36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审查机关：安徽省环境保护厅；</w:t>
            </w:r>
          </w:p>
          <w:p>
            <w:pPr>
              <w:autoSpaceDE w:val="0"/>
              <w:autoSpaceDN w:val="0"/>
              <w:adjustRightInd w:val="0"/>
              <w:snapToGrid w:val="0"/>
              <w:spacing w:line="36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审查文件名称：《安徽省环保厅关于安徽舒城经济开发区规划环境影响跟踪评价审查意见的函》；</w:t>
            </w:r>
          </w:p>
          <w:p>
            <w:pPr>
              <w:autoSpaceDE w:val="0"/>
              <w:autoSpaceDN w:val="0"/>
              <w:adjustRightInd w:val="0"/>
              <w:snapToGrid w:val="0"/>
              <w:spacing w:line="360" w:lineRule="auto"/>
              <w:rPr>
                <w:rFonts w:hint="eastAsia" w:eastAsia="宋体"/>
                <w:color w:val="auto"/>
                <w:kern w:val="0"/>
                <w:sz w:val="24"/>
                <w:lang w:eastAsia="zh-CN"/>
              </w:rPr>
            </w:pPr>
            <w:r>
              <w:rPr>
                <w:rFonts w:hint="eastAsia" w:ascii="Times New Roman" w:hAnsi="Times New Roman" w:eastAsia="宋体" w:cs="Times New Roman"/>
                <w:color w:val="auto"/>
                <w:kern w:val="0"/>
                <w:sz w:val="21"/>
                <w:szCs w:val="21"/>
                <w:lang w:val="en-US" w:eastAsia="zh-CN"/>
              </w:rPr>
              <w:t>审查文号：皖环函[2018]1129号。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8" w:hRule="atLeast"/>
          <w:jc w:val="center"/>
        </w:trPr>
        <w:tc>
          <w:tcPr>
            <w:tcW w:w="2112" w:type="dxa"/>
            <w:noWrap w:val="0"/>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 w:val="24"/>
              </w:rPr>
            </w:pPr>
            <w:r>
              <w:rPr>
                <w:color w:val="auto"/>
                <w:kern w:val="0"/>
                <w:sz w:val="24"/>
              </w:rPr>
              <w:t>影响评价符合性分析</w:t>
            </w:r>
          </w:p>
        </w:tc>
        <w:tc>
          <w:tcPr>
            <w:tcW w:w="675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kern w:val="0"/>
                <w:sz w:val="24"/>
                <w:lang w:eastAsia="zh-CN"/>
              </w:rPr>
            </w:pPr>
            <w:r>
              <w:rPr>
                <w:kern w:val="0"/>
                <w:sz w:val="24"/>
              </w:rPr>
              <w:t>根据《</w:t>
            </w:r>
            <w:r>
              <w:rPr>
                <w:rFonts w:hint="eastAsia"/>
                <w:kern w:val="0"/>
                <w:sz w:val="24"/>
                <w:lang w:eastAsia="zh-CN"/>
              </w:rPr>
              <w:t>安徽舒城经济开发区总体发展规划</w:t>
            </w:r>
            <w:r>
              <w:rPr>
                <w:kern w:val="0"/>
                <w:sz w:val="24"/>
              </w:rPr>
              <w:t>》（201</w:t>
            </w:r>
            <w:r>
              <w:rPr>
                <w:rFonts w:hint="eastAsia"/>
                <w:kern w:val="0"/>
                <w:sz w:val="24"/>
                <w:lang w:val="en-US" w:eastAsia="zh-CN"/>
              </w:rPr>
              <w:t>0</w:t>
            </w:r>
            <w:r>
              <w:rPr>
                <w:kern w:val="0"/>
                <w:sz w:val="24"/>
              </w:rPr>
              <w:t>~20</w:t>
            </w:r>
            <w:r>
              <w:rPr>
                <w:rFonts w:hint="eastAsia"/>
                <w:kern w:val="0"/>
                <w:sz w:val="24"/>
                <w:lang w:val="en-US" w:eastAsia="zh-CN"/>
              </w:rPr>
              <w:t>2</w:t>
            </w:r>
            <w:r>
              <w:rPr>
                <w:kern w:val="0"/>
                <w:sz w:val="24"/>
              </w:rPr>
              <w:t>0</w:t>
            </w:r>
            <w:r>
              <w:rPr>
                <w:rFonts w:hint="eastAsia"/>
                <w:kern w:val="0"/>
                <w:sz w:val="24"/>
                <w:lang w:eastAsia="zh-CN"/>
              </w:rPr>
              <w:t>年</w:t>
            </w:r>
            <w:r>
              <w:rPr>
                <w:kern w:val="0"/>
                <w:sz w:val="24"/>
              </w:rPr>
              <w:t>），该区域规划为一类工业用地，因此符合用地规划要求</w:t>
            </w:r>
            <w:r>
              <w:rPr>
                <w:rFonts w:hint="eastAsia"/>
                <w:kern w:val="0"/>
                <w:sz w:val="24"/>
                <w:lang w:eastAsia="zh-CN"/>
              </w:rPr>
              <w:t>。</w:t>
            </w:r>
          </w:p>
          <w:p>
            <w:pPr>
              <w:spacing w:line="360" w:lineRule="auto"/>
              <w:ind w:left="0" w:leftChars="0" w:firstLine="420" w:firstLineChars="175"/>
              <w:rPr>
                <w:color w:val="auto"/>
              </w:rPr>
            </w:pPr>
            <w:r>
              <w:rPr>
                <w:rFonts w:hint="default" w:ascii="Times New Roman" w:hAnsi="Times New Roman" w:eastAsia="宋体" w:cs="Times New Roman"/>
                <w:sz w:val="24"/>
              </w:rPr>
              <w:t>根据《</w:t>
            </w:r>
            <w:r>
              <w:rPr>
                <w:rFonts w:hint="default" w:ascii="Times New Roman" w:hAnsi="Times New Roman" w:cs="Times New Roman"/>
                <w:kern w:val="0"/>
                <w:sz w:val="24"/>
                <w:lang w:eastAsia="zh-CN"/>
              </w:rPr>
              <w:t>安徽</w:t>
            </w:r>
            <w:r>
              <w:rPr>
                <w:rFonts w:hint="default" w:ascii="Times New Roman" w:hAnsi="Times New Roman" w:eastAsia="宋体" w:cs="Times New Roman"/>
                <w:sz w:val="24"/>
              </w:rPr>
              <w:t>舒城经济开发区总体发展规划》（2010~2020年）中明确开发区的产业发展方向为：依托资源丰富、产业基础较好等优势，以及位于皖江城市带和合肥经济圈两大重大战略区域的优势，主动承接合肥、芜湖及长三角等城市的辐射带动，加强与这些地区的产业分工合组，大力发展食品加工、新型材料、印刷包装、轻工纺织、商贸物流等配套产业。其中主导产业为汽摩配件、儿童用品和新型建材三大产业。故本项目符合开发区主导产业规划</w:t>
            </w:r>
            <w:r>
              <w:rPr>
                <w:rFonts w:hint="eastAsia" w:ascii="Times New Roman" w:hAnsi="Times New Roman" w:eastAsia="宋体" w:cs="Times New Roman"/>
                <w:color w:val="auto"/>
                <w:kern w:val="0"/>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12" w:type="dxa"/>
            <w:noWrap w:val="0"/>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6758" w:type="dxa"/>
            <w:gridSpan w:val="3"/>
            <w:noWrap w:val="0"/>
            <w:vAlign w:val="center"/>
          </w:tcPr>
          <w:p>
            <w:pPr>
              <w:autoSpaceDE w:val="0"/>
              <w:autoSpaceDN w:val="0"/>
              <w:adjustRightInd w:val="0"/>
              <w:snapToGrid w:val="0"/>
              <w:spacing w:line="360" w:lineRule="auto"/>
              <w:jc w:val="left"/>
              <w:rPr>
                <w:b/>
                <w:bCs/>
                <w:color w:val="auto"/>
                <w:kern w:val="0"/>
                <w:sz w:val="24"/>
              </w:rPr>
            </w:pPr>
            <w:r>
              <w:rPr>
                <w:rFonts w:hint="eastAsia"/>
                <w:b/>
                <w:bCs/>
                <w:color w:val="auto"/>
                <w:kern w:val="0"/>
                <w:sz w:val="24"/>
              </w:rPr>
              <w:t>1</w:t>
            </w:r>
            <w:r>
              <w:rPr>
                <w:b/>
                <w:bCs/>
                <w:color w:val="auto"/>
                <w:kern w:val="0"/>
                <w:sz w:val="24"/>
              </w:rPr>
              <w:t>、“三线一单”相符性分析</w:t>
            </w:r>
          </w:p>
          <w:p>
            <w:pPr>
              <w:autoSpaceDE w:val="0"/>
              <w:autoSpaceDN w:val="0"/>
              <w:adjustRightInd w:val="0"/>
              <w:snapToGrid w:val="0"/>
              <w:spacing w:line="360" w:lineRule="auto"/>
              <w:ind w:firstLine="480" w:firstLineChars="200"/>
              <w:jc w:val="left"/>
              <w:rPr>
                <w:color w:val="auto"/>
                <w:kern w:val="0"/>
                <w:sz w:val="24"/>
              </w:rPr>
            </w:pPr>
            <w:r>
              <w:rPr>
                <w:color w:val="auto"/>
                <w:kern w:val="0"/>
                <w:sz w:val="24"/>
              </w:rPr>
              <w:t>本项目生态保护红线、环境质量底线、资源利用上线和环境准入负面清单情况见下表。</w:t>
            </w:r>
          </w:p>
          <w:p>
            <w:pPr>
              <w:pStyle w:val="25"/>
              <w:spacing w:line="360" w:lineRule="auto"/>
              <w:ind w:firstLine="482" w:firstLineChars="200"/>
              <w:jc w:val="center"/>
              <w:rPr>
                <w:color w:val="auto"/>
              </w:rPr>
            </w:pPr>
            <w:r>
              <w:rPr>
                <w:b/>
                <w:bCs/>
                <w:color w:val="auto"/>
              </w:rPr>
              <w:t>表1-1 项目三线一单分析表</w:t>
            </w:r>
          </w:p>
          <w:tbl>
            <w:tblPr>
              <w:tblStyle w:val="19"/>
              <w:tblW w:w="6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5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09" w:type="dxa"/>
                  <w:noWrap w:val="0"/>
                  <w:vAlign w:val="center"/>
                </w:tcPr>
                <w:p>
                  <w:pPr>
                    <w:jc w:val="center"/>
                    <w:textAlignment w:val="baseline"/>
                    <w:rPr>
                      <w:b/>
                      <w:bCs/>
                      <w:color w:val="auto"/>
                      <w:szCs w:val="21"/>
                    </w:rPr>
                  </w:pPr>
                  <w:r>
                    <w:rPr>
                      <w:b/>
                      <w:bCs/>
                      <w:color w:val="auto"/>
                      <w:szCs w:val="21"/>
                    </w:rPr>
                    <w:t>内容</w:t>
                  </w:r>
                </w:p>
              </w:tc>
              <w:tc>
                <w:tcPr>
                  <w:tcW w:w="5127" w:type="dxa"/>
                  <w:noWrap w:val="0"/>
                  <w:vAlign w:val="center"/>
                </w:tcPr>
                <w:p>
                  <w:pPr>
                    <w:jc w:val="center"/>
                    <w:textAlignment w:val="baseline"/>
                    <w:rPr>
                      <w:b/>
                      <w:bCs/>
                      <w:color w:val="auto"/>
                      <w:szCs w:val="21"/>
                    </w:rPr>
                  </w:pPr>
                  <w:r>
                    <w:rPr>
                      <w:b/>
                      <w:bCs/>
                      <w:color w:val="auto"/>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09" w:type="dxa"/>
                  <w:noWrap w:val="0"/>
                  <w:vAlign w:val="center"/>
                </w:tcPr>
                <w:p>
                  <w:pPr>
                    <w:jc w:val="center"/>
                    <w:textAlignment w:val="baseline"/>
                    <w:rPr>
                      <w:b/>
                      <w:bCs/>
                      <w:color w:val="auto"/>
                      <w:szCs w:val="21"/>
                    </w:rPr>
                  </w:pPr>
                  <w:r>
                    <w:rPr>
                      <w:b/>
                      <w:bCs/>
                      <w:color w:val="auto"/>
                      <w:szCs w:val="21"/>
                    </w:rPr>
                    <w:t>生态保护红线</w:t>
                  </w:r>
                </w:p>
              </w:tc>
              <w:tc>
                <w:tcPr>
                  <w:tcW w:w="5127" w:type="dxa"/>
                  <w:noWrap w:val="0"/>
                  <w:vAlign w:val="center"/>
                </w:tcPr>
                <w:p>
                  <w:pPr>
                    <w:textAlignment w:val="baseline"/>
                    <w:rPr>
                      <w:rFonts w:hint="eastAsia"/>
                      <w:bCs/>
                      <w:color w:val="auto"/>
                      <w:szCs w:val="21"/>
                    </w:rPr>
                  </w:pPr>
                  <w:r>
                    <w:rPr>
                      <w:rFonts w:hint="eastAsia"/>
                      <w:bCs/>
                      <w:szCs w:val="21"/>
                      <w:lang w:eastAsia="zh-CN"/>
                    </w:rPr>
                    <w:t>本</w:t>
                  </w:r>
                  <w:r>
                    <w:rPr>
                      <w:bCs/>
                      <w:szCs w:val="21"/>
                    </w:rPr>
                    <w:t>项目位于舒城</w:t>
                  </w:r>
                  <w:r>
                    <w:rPr>
                      <w:rFonts w:hint="eastAsia"/>
                      <w:bCs/>
                      <w:szCs w:val="21"/>
                      <w:lang w:eastAsia="zh-CN"/>
                    </w:rPr>
                    <w:t>经济开发区</w:t>
                  </w:r>
                  <w:r>
                    <w:rPr>
                      <w:bCs/>
                      <w:szCs w:val="21"/>
                    </w:rPr>
                    <w:t>，</w:t>
                  </w:r>
                  <w:r>
                    <w:rPr>
                      <w:rFonts w:hint="eastAsia"/>
                      <w:lang w:val="en-US" w:eastAsia="zh-CN"/>
                    </w:rPr>
                    <w:t>根据《长江经济带战略环境评价安徽省六安市“三线一单”》中的生态空间划定成果，本项目选址不涉及生态保护红线和一般生态空间</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noWrap w:val="0"/>
                  <w:vAlign w:val="center"/>
                </w:tcPr>
                <w:p>
                  <w:pPr>
                    <w:jc w:val="center"/>
                    <w:textAlignment w:val="baseline"/>
                    <w:rPr>
                      <w:b/>
                      <w:bCs/>
                      <w:color w:val="auto"/>
                      <w:szCs w:val="21"/>
                    </w:rPr>
                  </w:pPr>
                  <w:r>
                    <w:rPr>
                      <w:b/>
                      <w:bCs/>
                      <w:color w:val="auto"/>
                      <w:szCs w:val="21"/>
                    </w:rPr>
                    <w:t>资源利用上线</w:t>
                  </w:r>
                </w:p>
              </w:tc>
              <w:tc>
                <w:tcPr>
                  <w:tcW w:w="5127" w:type="dxa"/>
                  <w:noWrap w:val="0"/>
                  <w:vAlign w:val="center"/>
                </w:tcPr>
                <w:p>
                  <w:pPr>
                    <w:textAlignment w:val="baseline"/>
                    <w:rPr>
                      <w:bCs/>
                      <w:color w:val="auto"/>
                      <w:szCs w:val="21"/>
                    </w:rPr>
                  </w:pPr>
                  <w:r>
                    <w:rPr>
                      <w:rFonts w:hint="eastAsia"/>
                      <w:bCs/>
                      <w:szCs w:val="21"/>
                      <w:lang w:eastAsia="zh-CN"/>
                    </w:rPr>
                    <w:t>本</w:t>
                  </w:r>
                  <w:r>
                    <w:rPr>
                      <w:bCs/>
                      <w:szCs w:val="21"/>
                    </w:rPr>
                    <w:t>项目位于舒城</w:t>
                  </w:r>
                  <w:r>
                    <w:rPr>
                      <w:rFonts w:hint="eastAsia"/>
                      <w:bCs/>
                      <w:szCs w:val="21"/>
                      <w:lang w:eastAsia="zh-CN"/>
                    </w:rPr>
                    <w:t>经济开发区</w:t>
                  </w:r>
                  <w:r>
                    <w:rPr>
                      <w:bCs/>
                      <w:color w:val="auto"/>
                      <w:szCs w:val="21"/>
                    </w:rPr>
                    <w:t>，项目用水来源为市政自来水，使用量较小，当地自来水厂能够满足本项目的新鲜水使用要求。项目生产设备使用能源为电能，采用市政供电，区域电网能够满足本项目供电需要。项目不属于高污染、高能耗、高水耗的建设项目，符合资源利用上线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noWrap w:val="0"/>
                  <w:vAlign w:val="center"/>
                </w:tcPr>
                <w:p>
                  <w:pPr>
                    <w:jc w:val="center"/>
                    <w:textAlignment w:val="baseline"/>
                    <w:rPr>
                      <w:b/>
                      <w:bCs/>
                      <w:color w:val="auto"/>
                      <w:szCs w:val="21"/>
                    </w:rPr>
                  </w:pPr>
                  <w:r>
                    <w:rPr>
                      <w:b/>
                      <w:bCs/>
                      <w:color w:val="auto"/>
                      <w:szCs w:val="21"/>
                    </w:rPr>
                    <w:t>环境质量底线</w:t>
                  </w:r>
                </w:p>
              </w:tc>
              <w:tc>
                <w:tcPr>
                  <w:tcW w:w="5127" w:type="dxa"/>
                  <w:noWrap w:val="0"/>
                  <w:vAlign w:val="center"/>
                </w:tcPr>
                <w:p>
                  <w:pPr>
                    <w:rPr>
                      <w:bCs/>
                      <w:color w:val="auto"/>
                      <w:szCs w:val="21"/>
                    </w:rPr>
                  </w:pPr>
                  <w:r>
                    <w:rPr>
                      <w:bCs/>
                      <w:szCs w:val="21"/>
                    </w:rPr>
                    <w:t>项目所在区域声环境、地表水环境均能满足相关环境功能区要求，</w:t>
                  </w:r>
                  <w:r>
                    <w:rPr>
                      <w:bCs/>
                      <w:szCs w:val="21"/>
                      <w:lang w:val="zh-CN"/>
                    </w:rPr>
                    <w:t>环境空气PM</w:t>
                  </w:r>
                  <w:r>
                    <w:rPr>
                      <w:bCs/>
                      <w:szCs w:val="21"/>
                      <w:vertAlign w:val="subscript"/>
                      <w:lang w:val="zh-CN"/>
                    </w:rPr>
                    <w:t>2.5</w:t>
                  </w:r>
                  <w:r>
                    <w:rPr>
                      <w:bCs/>
                      <w:szCs w:val="21"/>
                      <w:lang w:val="zh-CN"/>
                    </w:rPr>
                    <w:t>和PM</w:t>
                  </w:r>
                  <w:r>
                    <w:rPr>
                      <w:bCs/>
                      <w:szCs w:val="21"/>
                      <w:vertAlign w:val="subscript"/>
                      <w:lang w:val="zh-CN"/>
                    </w:rPr>
                    <w:t>10</w:t>
                  </w:r>
                  <w:r>
                    <w:rPr>
                      <w:rFonts w:hint="eastAsia"/>
                      <w:bCs/>
                      <w:szCs w:val="21"/>
                      <w:lang w:val="zh-CN"/>
                    </w:rPr>
                    <w:t>和</w:t>
                  </w:r>
                  <w:r>
                    <w:rPr>
                      <w:bCs/>
                      <w:szCs w:val="21"/>
                      <w:lang w:val="zh-CN"/>
                    </w:rPr>
                    <w:t>其他4项基本污染物均能满足功能区规划</w:t>
                  </w:r>
                  <w:r>
                    <w:rPr>
                      <w:rFonts w:ascii="Times New Roman" w:hAnsi="Times New Roman" w:cs="Times New Roman"/>
                      <w:bCs/>
                      <w:szCs w:val="21"/>
                      <w:lang w:val="zh-CN"/>
                    </w:rPr>
                    <w:t>要求。</w:t>
                  </w:r>
                  <w:r>
                    <w:rPr>
                      <w:rFonts w:hint="eastAsia"/>
                      <w:bCs/>
                      <w:color w:val="auto"/>
                      <w:lang w:val="en-US" w:eastAsia="zh-CN"/>
                    </w:rPr>
                    <w:t>吹塑、注塑过程中排放少量的挥发性有机废气通过活性炭吸附处理后，通过15m排气筒排放</w:t>
                  </w:r>
                  <w:r>
                    <w:rPr>
                      <w:rFonts w:hint="default"/>
                      <w:bCs/>
                      <w:szCs w:val="21"/>
                      <w:lang w:val="zh-CN"/>
                    </w:rPr>
                    <w:t>。</w:t>
                  </w:r>
                  <w:r>
                    <w:rPr>
                      <w:rFonts w:hint="eastAsia"/>
                      <w:bCs/>
                      <w:szCs w:val="21"/>
                      <w:lang w:val="zh-CN"/>
                    </w:rPr>
                    <w:t>排</w:t>
                  </w:r>
                  <w:r>
                    <w:rPr>
                      <w:bCs/>
                      <w:szCs w:val="21"/>
                      <w:lang w:val="zh-CN"/>
                    </w:rPr>
                    <w:t>放的废气对区域空气环境影响</w:t>
                  </w:r>
                  <w:r>
                    <w:rPr>
                      <w:bCs/>
                      <w:szCs w:val="21"/>
                    </w:rPr>
                    <w:t>在可接受范围之内。项目投产运行后不会改变当地的大气、地表水和声环境功能区划。因此项目符合环境质量底线要求</w:t>
                  </w:r>
                  <w:r>
                    <w:rPr>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noWrap w:val="0"/>
                  <w:vAlign w:val="center"/>
                </w:tcPr>
                <w:p>
                  <w:pPr>
                    <w:jc w:val="center"/>
                    <w:textAlignment w:val="baseline"/>
                    <w:rPr>
                      <w:b/>
                      <w:bCs/>
                      <w:color w:val="auto"/>
                      <w:szCs w:val="21"/>
                    </w:rPr>
                  </w:pPr>
                  <w:r>
                    <w:rPr>
                      <w:b/>
                      <w:bCs/>
                      <w:color w:val="auto"/>
                      <w:szCs w:val="21"/>
                    </w:rPr>
                    <w:t>环境准入负面清单</w:t>
                  </w:r>
                </w:p>
              </w:tc>
              <w:tc>
                <w:tcPr>
                  <w:tcW w:w="5127" w:type="dxa"/>
                  <w:noWrap w:val="0"/>
                  <w:vAlign w:val="center"/>
                </w:tcPr>
                <w:p>
                  <w:pPr>
                    <w:textAlignment w:val="baseline"/>
                    <w:rPr>
                      <w:rFonts w:hint="eastAsia"/>
                      <w:bCs/>
                      <w:szCs w:val="21"/>
                    </w:rPr>
                  </w:pPr>
                  <w:r>
                    <w:rPr>
                      <w:rFonts w:hint="eastAsia"/>
                    </w:rPr>
                    <w:t>1、符</w:t>
                  </w:r>
                  <w:r>
                    <w:rPr>
                      <w:rFonts w:hint="eastAsia" w:ascii="Times New Roman" w:hAnsi="Times New Roman" w:eastAsia="宋体" w:cs="Times New Roman"/>
                      <w:color w:val="auto"/>
                      <w:kern w:val="0"/>
                      <w:szCs w:val="21"/>
                      <w:lang w:val="en-US" w:eastAsia="zh-CN"/>
                    </w:rPr>
                    <w:t>合</w:t>
                  </w:r>
                  <w:r>
                    <w:rPr>
                      <w:rFonts w:hint="default" w:ascii="Times New Roman" w:hAnsi="Times New Roman" w:eastAsia="宋体" w:cs="Times New Roman"/>
                      <w:color w:val="auto"/>
                      <w:kern w:val="0"/>
                      <w:szCs w:val="21"/>
                      <w:lang w:val="en-US" w:eastAsia="zh-CN"/>
                    </w:rPr>
                    <w:t>《安徽舒城经济开发区总体发展规划》（2010~2020年）</w:t>
                  </w:r>
                  <w:r>
                    <w:rPr>
                      <w:rFonts w:hint="eastAsia"/>
                      <w:kern w:val="0"/>
                      <w:szCs w:val="21"/>
                    </w:rPr>
                    <w:t>主导产业</w:t>
                  </w:r>
                  <w:r>
                    <w:rPr>
                      <w:kern w:val="0"/>
                      <w:szCs w:val="21"/>
                    </w:rPr>
                    <w:t>定位</w:t>
                  </w:r>
                  <w:r>
                    <w:rPr>
                      <w:rFonts w:hint="eastAsia"/>
                      <w:kern w:val="0"/>
                      <w:szCs w:val="21"/>
                    </w:rPr>
                    <w:t>。</w:t>
                  </w:r>
                </w:p>
                <w:p>
                  <w:pPr>
                    <w:textAlignment w:val="baseline"/>
                    <w:rPr>
                      <w:rFonts w:hint="eastAsia"/>
                      <w:color w:val="auto"/>
                      <w:kern w:val="0"/>
                      <w:szCs w:val="21"/>
                      <w:lang w:val="en-US" w:eastAsia="zh-CN"/>
                    </w:rPr>
                  </w:pPr>
                  <w:r>
                    <w:rPr>
                      <w:rFonts w:hint="eastAsia"/>
                      <w:kern w:val="0"/>
                      <w:szCs w:val="21"/>
                    </w:rPr>
                    <w:t>2、</w:t>
                  </w:r>
                  <w:r>
                    <w:rPr>
                      <w:rFonts w:hint="eastAsia"/>
                      <w:color w:val="auto"/>
                      <w:kern w:val="0"/>
                      <w:szCs w:val="21"/>
                      <w:lang w:val="en-US" w:eastAsia="zh-CN"/>
                    </w:rPr>
                    <w:t>根据</w:t>
                  </w:r>
                  <w:r>
                    <w:rPr>
                      <w:rFonts w:hint="eastAsia"/>
                      <w:color w:val="auto"/>
                      <w:kern w:val="0"/>
                      <w:szCs w:val="21"/>
                      <w:lang w:eastAsia="zh-CN"/>
                    </w:rPr>
                    <w:t>《</w:t>
                  </w:r>
                  <w:r>
                    <w:rPr>
                      <w:rFonts w:hint="eastAsia"/>
                      <w:color w:val="auto"/>
                      <w:kern w:val="0"/>
                      <w:szCs w:val="21"/>
                    </w:rPr>
                    <w:t>六安市“ 三线一单 ”</w:t>
                  </w:r>
                  <w:r>
                    <w:rPr>
                      <w:rFonts w:hint="eastAsia"/>
                      <w:color w:val="auto"/>
                      <w:kern w:val="0"/>
                      <w:szCs w:val="21"/>
                      <w:lang w:val="en-US" w:eastAsia="zh-CN"/>
                    </w:rPr>
                    <w:t>生态环境准入清单</w:t>
                  </w:r>
                  <w:r>
                    <w:rPr>
                      <w:rFonts w:hint="eastAsia"/>
                      <w:color w:val="auto"/>
                      <w:kern w:val="0"/>
                      <w:szCs w:val="21"/>
                      <w:lang w:eastAsia="zh-CN"/>
                    </w:rPr>
                    <w:t>》</w:t>
                  </w:r>
                  <w:r>
                    <w:rPr>
                      <w:rFonts w:hint="eastAsia"/>
                      <w:color w:val="auto"/>
                      <w:kern w:val="0"/>
                      <w:szCs w:val="21"/>
                      <w:lang w:val="en-US" w:eastAsia="zh-CN"/>
                    </w:rPr>
                    <w:t>中“开发区生态环境准入清单”中“安徽舒城经济开发区”中所列的限制和禁止类条款：</w:t>
                  </w:r>
                </w:p>
                <w:p>
                  <w:pP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限制发展项目：限制发展能源、资源消耗量或排污量大但效益相对较好的企业发展；开发区内规定现代物流业禁止贮存和输送有毒、有害化学频频和危险品；机械制造业禁止表面处理项目；开发区集中供热锅炉建设后，尚需要自行建设燃煤锅炉的企业。 </w:t>
                  </w:r>
                </w:p>
                <w:p>
                  <w:pP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禁止发展项目：（1）国家命令禁止建设或投资的。不符合《产业结构调整指导目录》要求的建设项目不得进入开发区。 </w:t>
                  </w:r>
                </w:p>
                <w:p>
                  <w:pP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（2）规模效益差、能源资源消耗大、环境影响严重的企业，严格控制高污染、高能耗、高水耗项目的进入。 </w:t>
                  </w:r>
                </w:p>
                <w:p>
                  <w:pP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（3）严禁不符合《巢湖流域水污染防治条例》要求的建设项目进入开发区。</w:t>
                  </w:r>
                </w:p>
                <w:p>
                  <w:pPr>
                    <w:ind w:firstLine="210" w:firstLineChars="100"/>
                    <w:textAlignment w:val="baseline"/>
                    <w:rPr>
                      <w:bCs/>
                      <w:color w:val="auto"/>
                      <w:szCs w:val="21"/>
                    </w:rPr>
                  </w:pPr>
                  <w:r>
                    <w:rPr>
                      <w:rFonts w:hint="eastAsia"/>
                      <w:kern w:val="0"/>
                      <w:szCs w:val="21"/>
                      <w:lang w:eastAsia="zh-CN"/>
                    </w:rPr>
                    <w:t>因此</w:t>
                  </w:r>
                  <w:r>
                    <w:rPr>
                      <w:rFonts w:hint="eastAsia"/>
                      <w:kern w:val="0"/>
                      <w:szCs w:val="21"/>
                    </w:rPr>
                    <w:t>本项目</w:t>
                  </w:r>
                  <w:r>
                    <w:rPr>
                      <w:kern w:val="0"/>
                      <w:szCs w:val="21"/>
                    </w:rPr>
                    <w:t>不在</w:t>
                  </w:r>
                  <w:r>
                    <w:rPr>
                      <w:rFonts w:hint="eastAsia"/>
                      <w:kern w:val="0"/>
                      <w:szCs w:val="21"/>
                    </w:rPr>
                    <w:t>环境</w:t>
                  </w:r>
                  <w:r>
                    <w:rPr>
                      <w:kern w:val="0"/>
                      <w:szCs w:val="21"/>
                    </w:rPr>
                    <w:t>准入负面清单范围内。同时，本项目已</w:t>
                  </w:r>
                  <w:r>
                    <w:rPr>
                      <w:rFonts w:hint="eastAsia" w:ascii="Times New Roman" w:hAnsi="Times New Roman" w:eastAsia="宋体" w:cs="Times New Roman"/>
                      <w:kern w:val="0"/>
                      <w:szCs w:val="21"/>
                      <w:lang w:eastAsia="zh-CN"/>
                    </w:rPr>
                    <w:t>在舒城经开区经贸科技发展局备案，符合舒城经开区发展规划</w:t>
                  </w:r>
                  <w:r>
                    <w:rPr>
                      <w:color w:val="auto"/>
                      <w:kern w:val="0"/>
                      <w:szCs w:val="21"/>
                    </w:rPr>
                    <w:t>。</w:t>
                  </w:r>
                </w:p>
              </w:tc>
            </w:tr>
          </w:tbl>
          <w:p>
            <w:pPr>
              <w:numPr>
                <w:ilvl w:val="0"/>
                <w:numId w:val="2"/>
              </w:numPr>
              <w:autoSpaceDE w:val="0"/>
              <w:autoSpaceDN w:val="0"/>
              <w:adjustRightInd w:val="0"/>
              <w:snapToGrid w:val="0"/>
              <w:spacing w:before="120" w:beforeLines="50" w:line="360" w:lineRule="auto"/>
              <w:jc w:val="left"/>
              <w:rPr>
                <w:rFonts w:hint="eastAsia"/>
                <w:b/>
                <w:bCs/>
                <w:color w:val="auto"/>
                <w:kern w:val="0"/>
                <w:sz w:val="24"/>
              </w:rPr>
            </w:pPr>
            <w:r>
              <w:rPr>
                <w:rFonts w:hint="eastAsia"/>
                <w:b/>
                <w:bCs/>
                <w:color w:val="auto"/>
                <w:kern w:val="0"/>
                <w:sz w:val="24"/>
              </w:rPr>
              <w:t>与其他环保政策相符性分析</w:t>
            </w:r>
          </w:p>
          <w:p>
            <w:pPr>
              <w:pStyle w:val="9"/>
              <w:jc w:val="center"/>
              <w:rPr>
                <w:color w:val="auto"/>
                <w:lang w:val="en-US" w:eastAsia="zh-CN"/>
              </w:rPr>
            </w:pPr>
            <w:r>
              <w:rPr>
                <w:rFonts w:hint="eastAsia"/>
                <w:b/>
                <w:color w:val="auto"/>
                <w:sz w:val="24"/>
                <w:szCs w:val="24"/>
                <w:lang w:val="en-US" w:eastAsia="zh-CN"/>
              </w:rPr>
              <w:t>表1-2  本项目与其他环保政策相符性分析一览表</w:t>
            </w:r>
          </w:p>
          <w:tbl>
            <w:tblPr>
              <w:tblStyle w:val="19"/>
              <w:tblW w:w="6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2403"/>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359" w:type="dxa"/>
                  <w:noWrap w:val="0"/>
                  <w:vAlign w:val="center"/>
                </w:tcPr>
                <w:p>
                  <w:pPr>
                    <w:jc w:val="center"/>
                    <w:textAlignment w:val="baseline"/>
                    <w:rPr>
                      <w:b/>
                      <w:bCs/>
                      <w:color w:val="auto"/>
                      <w:szCs w:val="21"/>
                    </w:rPr>
                  </w:pPr>
                  <w:r>
                    <w:rPr>
                      <w:b/>
                      <w:bCs/>
                      <w:color w:val="auto"/>
                      <w:szCs w:val="21"/>
                    </w:rPr>
                    <w:t>类别</w:t>
                  </w:r>
                </w:p>
              </w:tc>
              <w:tc>
                <w:tcPr>
                  <w:tcW w:w="2403" w:type="dxa"/>
                  <w:noWrap w:val="0"/>
                  <w:vAlign w:val="center"/>
                </w:tcPr>
                <w:p>
                  <w:pPr>
                    <w:jc w:val="center"/>
                    <w:textAlignment w:val="baseline"/>
                    <w:rPr>
                      <w:b/>
                      <w:bCs/>
                      <w:color w:val="auto"/>
                      <w:szCs w:val="21"/>
                    </w:rPr>
                  </w:pPr>
                  <w:r>
                    <w:rPr>
                      <w:b/>
                      <w:bCs/>
                      <w:color w:val="auto"/>
                      <w:szCs w:val="21"/>
                    </w:rPr>
                    <w:t>与本项目有关的相关要求</w:t>
                  </w:r>
                </w:p>
              </w:tc>
              <w:tc>
                <w:tcPr>
                  <w:tcW w:w="2474" w:type="dxa"/>
                  <w:noWrap w:val="0"/>
                  <w:vAlign w:val="center"/>
                </w:tcPr>
                <w:p>
                  <w:pPr>
                    <w:jc w:val="center"/>
                    <w:textAlignment w:val="baseline"/>
                    <w:rPr>
                      <w:b/>
                      <w:bCs/>
                      <w:color w:val="auto"/>
                      <w:szCs w:val="21"/>
                    </w:rPr>
                  </w:pPr>
                  <w:r>
                    <w:rPr>
                      <w:b/>
                      <w:bCs/>
                      <w:color w:val="auto"/>
                      <w:szCs w:val="21"/>
                    </w:rPr>
                    <w:t>本项目落实情况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359" w:type="dxa"/>
                  <w:noWrap w:val="0"/>
                  <w:vAlign w:val="center"/>
                </w:tcPr>
                <w:p>
                  <w:pPr>
                    <w:jc w:val="center"/>
                    <w:textAlignment w:val="baseline"/>
                    <w:rPr>
                      <w:color w:val="auto"/>
                      <w:kern w:val="0"/>
                      <w:szCs w:val="21"/>
                    </w:rPr>
                  </w:pPr>
                  <w:r>
                    <w:rPr>
                      <w:b/>
                      <w:bCs/>
                      <w:color w:val="auto"/>
                      <w:kern w:val="0"/>
                      <w:szCs w:val="21"/>
                    </w:rPr>
                    <w:t>项目产业政策符合性</w:t>
                  </w:r>
                </w:p>
              </w:tc>
              <w:tc>
                <w:tcPr>
                  <w:tcW w:w="4877" w:type="dxa"/>
                  <w:gridSpan w:val="2"/>
                  <w:noWrap w:val="0"/>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baseline"/>
                    <w:rPr>
                      <w:color w:val="auto"/>
                      <w:kern w:val="0"/>
                      <w:szCs w:val="21"/>
                    </w:rPr>
                  </w:pPr>
                  <w:r>
                    <w:rPr>
                      <w:rFonts w:hint="eastAsia"/>
                      <w:color w:val="auto"/>
                      <w:kern w:val="0"/>
                      <w:szCs w:val="21"/>
                    </w:rPr>
                    <w:t>根据《产业结构调整指导目录（2019年本）》国家发展和改革委员会令第9号，本项目不属于其限制类及淘汰类项目，为允许类。根据《安徽省工业产业结构调整指导目录（2007年本）》，本项目不属于其中鼓励类、限制类及淘汰类项目，为允许类。因此，本项目的建设符合国家和地方产业政策要求。</w:t>
                  </w:r>
                  <w:r>
                    <w:rPr>
                      <w:rFonts w:hint="eastAsia"/>
                      <w:color w:val="auto"/>
                      <w:kern w:val="0"/>
                      <w:szCs w:val="21"/>
                      <w:lang w:eastAsia="zh-CN"/>
                    </w:rPr>
                    <w:t>同时，本</w:t>
                  </w:r>
                  <w:r>
                    <w:rPr>
                      <w:rFonts w:hint="eastAsia"/>
                      <w:lang w:val="en-US" w:eastAsia="zh-CN"/>
                    </w:rPr>
                    <w:t>项目已经在舒城经开区经贸科技发展局备案。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2" w:hRule="atLeast"/>
                <w:jc w:val="center"/>
              </w:trPr>
              <w:tc>
                <w:tcPr>
                  <w:tcW w:w="1359" w:type="dxa"/>
                  <w:noWrap w:val="0"/>
                  <w:vAlign w:val="center"/>
                </w:tcPr>
                <w:p>
                  <w:pPr>
                    <w:jc w:val="center"/>
                    <w:textAlignment w:val="baseline"/>
                    <w:rPr>
                      <w:rFonts w:hint="eastAsia"/>
                      <w:b/>
                      <w:bCs/>
                      <w:color w:val="auto"/>
                      <w:sz w:val="21"/>
                      <w:szCs w:val="21"/>
                      <w:lang w:val="en-US" w:eastAsia="zh-CN"/>
                    </w:rPr>
                  </w:pPr>
                  <w:r>
                    <w:rPr>
                      <w:rFonts w:hint="eastAsia"/>
                      <w:b/>
                      <w:bCs/>
                      <w:kern w:val="0"/>
                      <w:szCs w:val="21"/>
                    </w:rPr>
                    <w:t>《安徽省打赢蓝天保卫战三年行动计划实施方法》</w:t>
                  </w:r>
                </w:p>
              </w:tc>
              <w:tc>
                <w:tcPr>
                  <w:tcW w:w="2403"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baseline"/>
                    <w:rPr>
                      <w:rFonts w:hint="eastAsia" w:ascii="Times" w:hAnsi="Times"/>
                      <w:bCs/>
                      <w:color w:val="auto"/>
                      <w:sz w:val="21"/>
                      <w:szCs w:val="21"/>
                    </w:rPr>
                  </w:pPr>
                  <w:r>
                    <w:rPr>
                      <w:rFonts w:hint="eastAsia"/>
                      <w:kern w:val="0"/>
                      <w:szCs w:val="21"/>
                    </w:rPr>
                    <w:t>“三年行动计划”提出：优化产业布局、严控“两高”行业产能、强化“散乱污”企业综合整治、深化工业污染治理等要求。持续推进工业污染源全面达标排放</w:t>
                  </w:r>
                  <w:r>
                    <w:rPr>
                      <w:rFonts w:hint="eastAsia"/>
                      <w:kern w:val="0"/>
                      <w:szCs w:val="21"/>
                      <w:lang w:eastAsia="zh-CN"/>
                    </w:rPr>
                    <w:t>。</w:t>
                  </w:r>
                </w:p>
              </w:tc>
              <w:tc>
                <w:tcPr>
                  <w:tcW w:w="2474"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baseline"/>
                    <w:rPr>
                      <w:rFonts w:hint="eastAsia" w:ascii="Times" w:hAnsi="Times"/>
                      <w:bCs/>
                      <w:color w:val="auto"/>
                      <w:kern w:val="0"/>
                      <w:sz w:val="21"/>
                      <w:szCs w:val="21"/>
                      <w:lang w:val="en-US" w:eastAsia="zh-CN" w:bidi="ar-SA"/>
                    </w:rPr>
                  </w:pPr>
                  <w:r>
                    <w:rPr>
                      <w:rFonts w:hint="eastAsia"/>
                      <w:kern w:val="0"/>
                      <w:szCs w:val="21"/>
                    </w:rPr>
                    <w:t>项目</w:t>
                  </w:r>
                  <w:r>
                    <w:rPr>
                      <w:rFonts w:hint="eastAsia"/>
                      <w:kern w:val="0"/>
                      <w:szCs w:val="21"/>
                      <w:lang w:val="en-US" w:eastAsia="zh-CN"/>
                    </w:rPr>
                    <w:t>为注塑和吹塑类产品，</w:t>
                  </w:r>
                  <w:r>
                    <w:rPr>
                      <w:rFonts w:hint="eastAsia"/>
                      <w:kern w:val="0"/>
                      <w:szCs w:val="21"/>
                    </w:rPr>
                    <w:t>不属于高耗水、高耗能行业</w:t>
                  </w:r>
                  <w:r>
                    <w:rPr>
                      <w:rFonts w:hint="eastAsia"/>
                      <w:kern w:val="0"/>
                      <w:szCs w:val="21"/>
                      <w:lang w:eastAsia="zh-CN"/>
                    </w:rPr>
                    <w:t>。</w:t>
                  </w:r>
                  <w:r>
                    <w:rPr>
                      <w:rFonts w:hint="eastAsia"/>
                      <w:kern w:val="0"/>
                      <w:szCs w:val="21"/>
                      <w:lang w:val="en-US" w:eastAsia="zh-CN"/>
                    </w:rPr>
                    <w:t>项目位于经济开发区，且办理了土地购买、规划审批等手续，不属于散乱污企业。</w:t>
                  </w:r>
                  <w:r>
                    <w:rPr>
                      <w:rFonts w:hint="eastAsia"/>
                      <w:bCs/>
                      <w:color w:val="auto"/>
                      <w:lang w:val="en-US" w:eastAsia="zh-CN"/>
                    </w:rPr>
                    <w:t>吹塑、注塑过程中排放少量的挥发性有机废气通过活性炭吸附处理后，满足达标排放要求，满足行动计划要求。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359" w:type="dxa"/>
                  <w:vMerge w:val="restart"/>
                  <w:noWrap w:val="0"/>
                  <w:vAlign w:val="center"/>
                </w:tcPr>
                <w:p>
                  <w:pPr>
                    <w:jc w:val="center"/>
                    <w:textAlignment w:val="baseline"/>
                    <w:rPr>
                      <w:rFonts w:hint="eastAsia"/>
                      <w:b/>
                      <w:bCs/>
                      <w:kern w:val="0"/>
                      <w:szCs w:val="21"/>
                    </w:rPr>
                  </w:pPr>
                  <w:r>
                    <w:rPr>
                      <w:rFonts w:hint="eastAsia"/>
                      <w:b/>
                      <w:bCs/>
                      <w:kern w:val="0"/>
                      <w:szCs w:val="21"/>
                    </w:rPr>
                    <w:t>《大气污染防治行动计划》（国发〔2013〕37号）</w:t>
                  </w:r>
                </w:p>
              </w:tc>
              <w:tc>
                <w:tcPr>
                  <w:tcW w:w="2403"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baseline"/>
                    <w:rPr>
                      <w:rFonts w:hint="eastAsia"/>
                      <w:kern w:val="0"/>
                      <w:szCs w:val="21"/>
                    </w:rPr>
                  </w:pPr>
                  <w:r>
                    <w:rPr>
                      <w:rFonts w:hint="eastAsia"/>
                      <w:kern w:val="0"/>
                      <w:szCs w:val="21"/>
                    </w:rPr>
                    <w:t>“气十条”提出：严控“两高”行业新增产能，加快淘汰落后产能，压缩过剩产能，坚决停建产能严重过剩行业违规在建项目</w:t>
                  </w:r>
                  <w:r>
                    <w:rPr>
                      <w:rFonts w:hint="eastAsia"/>
                      <w:kern w:val="0"/>
                      <w:szCs w:val="21"/>
                      <w:lang w:eastAsia="zh-CN"/>
                    </w:rPr>
                    <w:t>。</w:t>
                  </w:r>
                </w:p>
              </w:tc>
              <w:tc>
                <w:tcPr>
                  <w:tcW w:w="2474"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baseline"/>
                    <w:rPr>
                      <w:rFonts w:hint="eastAsia"/>
                      <w:kern w:val="0"/>
                      <w:szCs w:val="21"/>
                    </w:rPr>
                  </w:pPr>
                  <w:r>
                    <w:rPr>
                      <w:rFonts w:hint="eastAsia"/>
                      <w:bCs/>
                      <w:color w:val="auto"/>
                    </w:rPr>
                    <w:t>本项目不属于“两高”项目，不属于淘汰落后产能和过剩产能项目</w:t>
                  </w:r>
                  <w:r>
                    <w:rPr>
                      <w:rFonts w:hint="eastAsia"/>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359" w:type="dxa"/>
                  <w:vMerge w:val="continue"/>
                  <w:noWrap w:val="0"/>
                  <w:vAlign w:val="center"/>
                </w:tcPr>
                <w:p>
                  <w:pPr>
                    <w:jc w:val="center"/>
                    <w:textAlignment w:val="baseline"/>
                    <w:rPr>
                      <w:rFonts w:hint="eastAsia"/>
                      <w:b/>
                      <w:bCs/>
                      <w:kern w:val="0"/>
                      <w:szCs w:val="21"/>
                    </w:rPr>
                  </w:pPr>
                </w:p>
              </w:tc>
              <w:tc>
                <w:tcPr>
                  <w:tcW w:w="2403"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baseline"/>
                    <w:rPr>
                      <w:rFonts w:hint="eastAsia"/>
                      <w:kern w:val="0"/>
                      <w:szCs w:val="21"/>
                    </w:rPr>
                  </w:pPr>
                  <w:r>
                    <w:rPr>
                      <w:rFonts w:hint="eastAsia"/>
                      <w:bCs/>
                      <w:color w:val="auto"/>
                    </w:rPr>
                    <w:t>“气十条”提出：严格实施污染物排放总量控制将二氧化硫、氮氧化物、烟粉尘和挥发性有机物排放是否符合总量控制要求作为建设项目环境影响评价审批的前置条件。</w:t>
                  </w:r>
                </w:p>
              </w:tc>
              <w:tc>
                <w:tcPr>
                  <w:tcW w:w="2474" w:type="dxa"/>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baseline"/>
                    <w:rPr>
                      <w:rFonts w:hint="eastAsia"/>
                      <w:kern w:val="0"/>
                      <w:szCs w:val="21"/>
                    </w:rPr>
                  </w:pPr>
                  <w:r>
                    <w:rPr>
                      <w:rFonts w:hint="eastAsia"/>
                      <w:bCs/>
                      <w:color w:val="auto"/>
                      <w:lang w:val="en-US" w:eastAsia="zh-CN"/>
                    </w:rPr>
                    <w:t>本项目生产中不产生</w:t>
                  </w:r>
                  <w:r>
                    <w:rPr>
                      <w:rFonts w:hint="eastAsia"/>
                      <w:bCs/>
                      <w:color w:val="auto"/>
                    </w:rPr>
                    <w:t>二氧化硫、氮氧化物、烟粉尘</w:t>
                  </w:r>
                  <w:r>
                    <w:rPr>
                      <w:rFonts w:hint="eastAsia"/>
                      <w:bCs/>
                      <w:color w:val="auto"/>
                      <w:lang w:val="en-US" w:eastAsia="zh-CN"/>
                    </w:rPr>
                    <w:t>污染物，仅在吹塑、注塑过程中排放少量的挥发性有机废气，有机废气排放总量已经在县、市二级环保部门核定。满足文件要求。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1359" w:type="dxa"/>
                  <w:noWrap w:val="0"/>
                  <w:vAlign w:val="center"/>
                </w:tcPr>
                <w:p>
                  <w:pPr>
                    <w:pStyle w:val="9"/>
                    <w:jc w:val="center"/>
                    <w:rPr>
                      <w:color w:val="auto"/>
                      <w:sz w:val="21"/>
                      <w:szCs w:val="21"/>
                      <w:lang w:val="en-US" w:eastAsia="zh-CN"/>
                    </w:rPr>
                  </w:pPr>
                  <w:r>
                    <w:rPr>
                      <w:rFonts w:hint="eastAsia"/>
                      <w:b/>
                      <w:bCs/>
                      <w:color w:val="auto"/>
                      <w:sz w:val="21"/>
                      <w:szCs w:val="21"/>
                      <w:lang w:val="en-US" w:eastAsia="zh-CN"/>
                    </w:rPr>
                    <w:t>2020年挥发性有机物治理攻坚方案</w:t>
                  </w:r>
                </w:p>
              </w:tc>
              <w:tc>
                <w:tcPr>
                  <w:tcW w:w="2403" w:type="dxa"/>
                  <w:noWrap w:val="0"/>
                  <w:vAlign w:val="center"/>
                </w:tcPr>
                <w:p>
                  <w:pPr>
                    <w:pStyle w:val="25"/>
                    <w:snapToGrid w:val="0"/>
                    <w:ind w:firstLine="420" w:firstLineChars="200"/>
                    <w:jc w:val="left"/>
                    <w:rPr>
                      <w:rFonts w:hint="eastAsia" w:eastAsia="宋体"/>
                      <w:color w:val="auto"/>
                      <w:kern w:val="0"/>
                      <w:szCs w:val="21"/>
                      <w:lang w:eastAsia="zh-CN"/>
                    </w:rPr>
                  </w:pPr>
                  <w:r>
                    <w:rPr>
                      <w:rFonts w:hint="eastAsia" w:ascii="Times" w:hAnsi="Times"/>
                      <w:bCs/>
                      <w:color w:val="auto"/>
                      <w:sz w:val="21"/>
                      <w:szCs w:val="21"/>
                    </w:rPr>
                    <w:t>加强</w:t>
                  </w:r>
                  <w:r>
                    <w:rPr>
                      <w:rFonts w:hint="eastAsia"/>
                      <w:color w:val="auto"/>
                      <w:kern w:val="0"/>
                      <w:sz w:val="21"/>
                      <w:szCs w:val="21"/>
                    </w:rPr>
                    <w:t>含VOCs物料全方位、全链条、全环节密闭管理，生产和使用环节应采用密闭设备，或在密闭空间中操作并有效收集废气，或进行局部气体收集</w:t>
                  </w:r>
                  <w:r>
                    <w:rPr>
                      <w:rFonts w:hint="eastAsia"/>
                      <w:color w:val="auto"/>
                      <w:kern w:val="0"/>
                      <w:sz w:val="21"/>
                      <w:szCs w:val="21"/>
                      <w:lang w:eastAsia="zh-CN"/>
                    </w:rPr>
                    <w:t>。</w:t>
                  </w:r>
                </w:p>
              </w:tc>
              <w:tc>
                <w:tcPr>
                  <w:tcW w:w="2474" w:type="dxa"/>
                  <w:noWrap w:val="0"/>
                  <w:vAlign w:val="center"/>
                </w:tcPr>
                <w:p>
                  <w:pPr>
                    <w:pStyle w:val="25"/>
                    <w:snapToGrid w:val="0"/>
                    <w:ind w:firstLine="420" w:firstLineChars="200"/>
                    <w:jc w:val="left"/>
                    <w:rPr>
                      <w:rFonts w:hint="default" w:ascii="Times New Roman" w:hAnsi="Times New Roman" w:eastAsia="宋体" w:cs="Times New Roman"/>
                      <w:color w:val="auto"/>
                      <w:kern w:val="0"/>
                      <w:sz w:val="21"/>
                      <w:szCs w:val="21"/>
                      <w:lang w:val="en-US" w:eastAsia="zh-CN" w:bidi="ar-SA"/>
                    </w:rPr>
                  </w:pPr>
                  <w:r>
                    <w:rPr>
                      <w:rFonts w:hint="eastAsia" w:ascii="Times" w:hAnsi="Times"/>
                      <w:bCs/>
                      <w:color w:val="auto"/>
                      <w:sz w:val="21"/>
                      <w:szCs w:val="21"/>
                      <w:lang w:val="en-US" w:eastAsia="zh-CN"/>
                    </w:rPr>
                    <w:t>项目</w:t>
                  </w:r>
                  <w:r>
                    <w:rPr>
                      <w:rFonts w:hint="eastAsia" w:ascii="Times New Roman" w:hAnsi="Times New Roman" w:eastAsia="宋体" w:cs="Times New Roman"/>
                      <w:color w:val="auto"/>
                      <w:kern w:val="0"/>
                      <w:sz w:val="21"/>
                      <w:szCs w:val="21"/>
                      <w:lang w:val="en-US" w:eastAsia="zh-CN" w:bidi="ar-SA"/>
                    </w:rPr>
                    <w:t>吹塑、注塑过程会产生少量的挥发性有机废气，吹塑、注塑的加热段为全封闭，出料段采取集气罩局部收集，满足方案要求</w:t>
                  </w:r>
                  <w:r>
                    <w:rPr>
                      <w:rFonts w:hint="eastAsia" w:cs="Times New Roman"/>
                      <w:color w:val="auto"/>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textAlignment w:val="baseline"/>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9" w:type="dxa"/>
                  <w:vMerge w:val="restart"/>
                  <w:noWrap w:val="0"/>
                  <w:vAlign w:val="center"/>
                </w:tcPr>
                <w:p>
                  <w:pPr>
                    <w:pStyle w:val="25"/>
                    <w:jc w:val="center"/>
                    <w:rPr>
                      <w:rFonts w:hint="eastAsia" w:ascii="Times" w:hAnsi="Times"/>
                      <w:b/>
                      <w:bCs/>
                      <w:color w:val="auto"/>
                      <w:sz w:val="21"/>
                      <w:szCs w:val="21"/>
                    </w:rPr>
                  </w:pPr>
                  <w:r>
                    <w:rPr>
                      <w:rFonts w:hint="eastAsia" w:ascii="Times" w:hAnsi="Times"/>
                      <w:b/>
                      <w:bCs/>
                      <w:color w:val="auto"/>
                      <w:sz w:val="21"/>
                      <w:szCs w:val="21"/>
                    </w:rPr>
                    <w:t>长三角地区</w:t>
                  </w:r>
                </w:p>
                <w:p>
                  <w:pPr>
                    <w:pStyle w:val="25"/>
                    <w:jc w:val="center"/>
                    <w:rPr>
                      <w:rFonts w:hint="eastAsia" w:ascii="Times" w:hAnsi="Times"/>
                      <w:b/>
                      <w:bCs/>
                      <w:color w:val="auto"/>
                      <w:sz w:val="21"/>
                      <w:szCs w:val="21"/>
                      <w:lang w:val="en-US" w:eastAsia="zh-CN"/>
                    </w:rPr>
                  </w:pPr>
                  <w:r>
                    <w:rPr>
                      <w:rFonts w:hint="eastAsia" w:ascii="Times" w:hAnsi="Times"/>
                      <w:b/>
                      <w:bCs/>
                      <w:color w:val="auto"/>
                      <w:sz w:val="21"/>
                      <w:szCs w:val="21"/>
                      <w:lang w:val="en-US" w:eastAsia="zh-CN"/>
                    </w:rPr>
                    <w:t>2018-2019</w:t>
                  </w:r>
                </w:p>
                <w:p>
                  <w:pPr>
                    <w:pStyle w:val="25"/>
                    <w:jc w:val="center"/>
                    <w:rPr>
                      <w:rFonts w:ascii="Times" w:hAnsi="Times"/>
                      <w:b/>
                      <w:bCs/>
                      <w:color w:val="auto"/>
                      <w:sz w:val="21"/>
                      <w:szCs w:val="21"/>
                    </w:rPr>
                  </w:pPr>
                  <w:r>
                    <w:rPr>
                      <w:rFonts w:ascii="Times" w:hAnsi="Times"/>
                      <w:b/>
                      <w:bCs/>
                      <w:color w:val="auto"/>
                      <w:sz w:val="21"/>
                      <w:szCs w:val="21"/>
                    </w:rPr>
                    <w:t>2019-2020</w:t>
                  </w:r>
                </w:p>
                <w:p>
                  <w:pPr>
                    <w:pStyle w:val="25"/>
                    <w:jc w:val="center"/>
                    <w:rPr>
                      <w:rFonts w:hint="default" w:ascii="Times" w:hAnsi="Times" w:eastAsia="宋体"/>
                      <w:b/>
                      <w:bCs/>
                      <w:color w:val="auto"/>
                      <w:sz w:val="21"/>
                      <w:szCs w:val="21"/>
                      <w:lang w:val="en-US" w:eastAsia="zh-CN"/>
                    </w:rPr>
                  </w:pPr>
                  <w:r>
                    <w:rPr>
                      <w:rFonts w:hint="eastAsia" w:ascii="Times" w:hAnsi="Times"/>
                      <w:b/>
                      <w:bCs/>
                      <w:color w:val="auto"/>
                      <w:sz w:val="21"/>
                      <w:szCs w:val="21"/>
                      <w:lang w:val="en-US" w:eastAsia="zh-CN"/>
                    </w:rPr>
                    <w:t>2020-2021</w:t>
                  </w:r>
                </w:p>
                <w:p>
                  <w:pPr>
                    <w:pStyle w:val="25"/>
                    <w:jc w:val="center"/>
                    <w:rPr>
                      <w:rFonts w:hint="eastAsia"/>
                      <w:b/>
                      <w:bCs/>
                      <w:color w:val="auto"/>
                      <w:sz w:val="21"/>
                      <w:szCs w:val="21"/>
                      <w:lang w:val="en-US" w:eastAsia="zh-CN"/>
                    </w:rPr>
                  </w:pPr>
                  <w:r>
                    <w:rPr>
                      <w:rFonts w:ascii="Times" w:hAnsi="Times"/>
                      <w:b/>
                      <w:bCs/>
                      <w:color w:val="auto"/>
                      <w:sz w:val="21"/>
                      <w:szCs w:val="21"/>
                    </w:rPr>
                    <w:t>年秋冬季大气污染综合治理攻坚行动方案</w:t>
                  </w:r>
                </w:p>
              </w:tc>
              <w:tc>
                <w:tcPr>
                  <w:tcW w:w="2403" w:type="dxa"/>
                  <w:noWrap w:val="0"/>
                  <w:vAlign w:val="center"/>
                </w:tcPr>
                <w:p>
                  <w:pPr>
                    <w:pStyle w:val="25"/>
                    <w:snapToGrid w:val="0"/>
                    <w:ind w:firstLine="420" w:firstLineChars="200"/>
                    <w:jc w:val="left"/>
                    <w:rPr>
                      <w:rFonts w:hint="eastAsia"/>
                      <w:color w:val="auto"/>
                      <w:kern w:val="0"/>
                      <w:szCs w:val="21"/>
                    </w:rPr>
                  </w:pPr>
                  <w:r>
                    <w:rPr>
                      <w:rFonts w:hint="eastAsia" w:ascii="Times" w:hAnsi="Times"/>
                      <w:bCs/>
                      <w:color w:val="auto"/>
                      <w:sz w:val="21"/>
                      <w:szCs w:val="21"/>
                    </w:rPr>
                    <w:t>强化无组织排放管控。全面加强含VOCs物料储存、转移和输送、设备与管线组件泄漏、敞开液面逸散以及工艺过程等五类排放源VOCs管控。按照“应收尽收、分质收集”的原则，显著提高废气收集率。</w:t>
                  </w:r>
                </w:p>
              </w:tc>
              <w:tc>
                <w:tcPr>
                  <w:tcW w:w="2474" w:type="dxa"/>
                  <w:noWrap w:val="0"/>
                  <w:vAlign w:val="center"/>
                </w:tcPr>
                <w:p>
                  <w:pPr>
                    <w:pStyle w:val="25"/>
                    <w:snapToGrid w:val="0"/>
                    <w:ind w:firstLine="420" w:firstLineChars="200"/>
                    <w:jc w:val="left"/>
                    <w:rPr>
                      <w:rFonts w:hint="default" w:ascii="Times" w:hAnsi="Times" w:eastAsia="宋体" w:cs="Times New Roman"/>
                      <w:bCs/>
                      <w:color w:val="auto"/>
                      <w:kern w:val="0"/>
                      <w:sz w:val="21"/>
                      <w:szCs w:val="21"/>
                      <w:lang w:val="en-US" w:eastAsia="zh-CN" w:bidi="ar-SA"/>
                    </w:rPr>
                  </w:pPr>
                  <w:r>
                    <w:rPr>
                      <w:rFonts w:hint="eastAsia" w:ascii="Times" w:hAnsi="Times" w:eastAsia="宋体" w:cs="Times New Roman"/>
                      <w:bCs/>
                      <w:color w:val="auto"/>
                      <w:kern w:val="0"/>
                      <w:sz w:val="21"/>
                      <w:szCs w:val="21"/>
                      <w:lang w:val="en-US" w:eastAsia="zh-CN" w:bidi="ar-SA"/>
                    </w:rPr>
                    <w:t>项目吹塑、注塑的加热段全封闭，仅在出料端排放少量的有机废气，按照应收尽收的原则，出料</w:t>
                  </w:r>
                  <w:r>
                    <w:rPr>
                      <w:rFonts w:hint="eastAsia" w:ascii="Times" w:hAnsi="Times" w:cs="Times New Roman"/>
                      <w:bCs/>
                      <w:color w:val="auto"/>
                      <w:kern w:val="0"/>
                      <w:sz w:val="21"/>
                      <w:szCs w:val="21"/>
                      <w:lang w:val="en-US" w:eastAsia="zh-CN" w:bidi="ar-SA"/>
                    </w:rPr>
                    <w:t>段</w:t>
                  </w:r>
                  <w:r>
                    <w:rPr>
                      <w:rFonts w:hint="eastAsia" w:ascii="Times" w:hAnsi="Times" w:eastAsia="宋体" w:cs="Times New Roman"/>
                      <w:bCs/>
                      <w:color w:val="auto"/>
                      <w:kern w:val="0"/>
                      <w:sz w:val="21"/>
                      <w:szCs w:val="21"/>
                      <w:lang w:val="en-US" w:eastAsia="zh-CN" w:bidi="ar-SA"/>
                    </w:rPr>
                    <w:t>设置集气罩收集，满足方案要求</w:t>
                  </w:r>
                  <w:r>
                    <w:rPr>
                      <w:rFonts w:hint="eastAsia" w:ascii="Times" w:hAnsi="Times" w:cs="Times New Roman"/>
                      <w:bCs/>
                      <w:color w:val="auto"/>
                      <w:kern w:val="0"/>
                      <w:sz w:val="21"/>
                      <w:szCs w:val="21"/>
                      <w:lang w:val="en-US" w:eastAsia="zh-CN" w:bidi="ar-SA"/>
                    </w:rPr>
                    <w:t>。</w:t>
                  </w:r>
                </w:p>
                <w:p>
                  <w:pPr>
                    <w:pStyle w:val="25"/>
                    <w:jc w:val="left"/>
                    <w:rPr>
                      <w:rFonts w:hint="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9" w:type="dxa"/>
                  <w:vMerge w:val="continue"/>
                  <w:noWrap w:val="0"/>
                  <w:vAlign w:val="center"/>
                </w:tcPr>
                <w:p>
                  <w:pPr>
                    <w:pStyle w:val="25"/>
                    <w:jc w:val="center"/>
                    <w:rPr>
                      <w:rFonts w:hint="eastAsia"/>
                      <w:b/>
                      <w:bCs/>
                      <w:color w:val="auto"/>
                      <w:sz w:val="21"/>
                      <w:szCs w:val="21"/>
                      <w:lang w:val="en-US" w:eastAsia="zh-CN"/>
                    </w:rPr>
                  </w:pPr>
                </w:p>
              </w:tc>
              <w:tc>
                <w:tcPr>
                  <w:tcW w:w="2403" w:type="dxa"/>
                  <w:noWrap w:val="0"/>
                  <w:vAlign w:val="center"/>
                </w:tcPr>
                <w:p>
                  <w:pPr>
                    <w:pStyle w:val="25"/>
                    <w:snapToGrid w:val="0"/>
                    <w:ind w:firstLine="420" w:firstLineChars="200"/>
                    <w:jc w:val="both"/>
                    <w:rPr>
                      <w:rFonts w:hint="eastAsia"/>
                      <w:color w:val="auto"/>
                      <w:kern w:val="0"/>
                      <w:szCs w:val="21"/>
                    </w:rPr>
                  </w:pPr>
                  <w:r>
                    <w:rPr>
                      <w:rFonts w:hint="eastAsia" w:ascii="Times" w:hAnsi="Times"/>
                      <w:bCs/>
                      <w:color w:val="auto"/>
                      <w:sz w:val="21"/>
                      <w:szCs w:val="21"/>
                    </w:rPr>
                    <w:t>推进建设适宜高效的治理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474" w:type="dxa"/>
                  <w:noWrap w:val="0"/>
                  <w:vAlign w:val="center"/>
                </w:tcPr>
                <w:p>
                  <w:pPr>
                    <w:pStyle w:val="25"/>
                    <w:snapToGrid w:val="0"/>
                    <w:ind w:firstLine="420" w:firstLineChars="200"/>
                    <w:jc w:val="both"/>
                    <w:rPr>
                      <w:rFonts w:hint="default" w:ascii="Times" w:hAnsi="Times"/>
                      <w:bCs/>
                      <w:color w:val="auto"/>
                      <w:sz w:val="21"/>
                      <w:szCs w:val="21"/>
                      <w:lang w:val="en-US" w:eastAsia="zh-CN"/>
                    </w:rPr>
                  </w:pPr>
                  <w:r>
                    <w:rPr>
                      <w:rFonts w:hint="eastAsia" w:ascii="Times" w:hAnsi="Times"/>
                      <w:bCs/>
                      <w:color w:val="auto"/>
                      <w:sz w:val="21"/>
                      <w:szCs w:val="21"/>
                      <w:lang w:val="en-US" w:eastAsia="zh-CN"/>
                    </w:rPr>
                    <w:t>项目吹塑、注塑过程中排放少量的挥发性有机废气，属于</w:t>
                  </w:r>
                  <w:r>
                    <w:rPr>
                      <w:rFonts w:hint="eastAsia" w:ascii="Times" w:hAnsi="Times"/>
                      <w:bCs/>
                      <w:color w:val="auto"/>
                      <w:sz w:val="21"/>
                      <w:szCs w:val="21"/>
                    </w:rPr>
                    <w:t>低浓度废气，</w:t>
                  </w:r>
                  <w:r>
                    <w:rPr>
                      <w:rFonts w:hint="eastAsia" w:ascii="Times" w:hAnsi="Times"/>
                      <w:bCs/>
                      <w:color w:val="auto"/>
                      <w:sz w:val="21"/>
                      <w:szCs w:val="21"/>
                      <w:lang w:val="en-US" w:eastAsia="zh-CN"/>
                    </w:rPr>
                    <w:t>不具有焚烧和回收的可行性，因此</w:t>
                  </w:r>
                  <w:r>
                    <w:rPr>
                      <w:rFonts w:hint="eastAsia" w:ascii="Times" w:hAnsi="Times"/>
                      <w:bCs/>
                      <w:color w:val="auto"/>
                      <w:sz w:val="21"/>
                      <w:szCs w:val="21"/>
                    </w:rPr>
                    <w:t>采用活性炭吸附处理，</w:t>
                  </w:r>
                  <w:r>
                    <w:rPr>
                      <w:rFonts w:hint="eastAsia" w:ascii="Times" w:hAnsi="Times"/>
                      <w:bCs/>
                      <w:color w:val="auto"/>
                      <w:sz w:val="21"/>
                      <w:szCs w:val="21"/>
                      <w:lang w:val="en-US" w:eastAsia="zh-CN"/>
                    </w:rPr>
                    <w:t>满足方案要求。</w:t>
                  </w:r>
                </w:p>
                <w:p>
                  <w:pPr>
                    <w:pStyle w:val="25"/>
                    <w:jc w:val="left"/>
                    <w:rPr>
                      <w:rFonts w:hint="eastAsia" w:eastAsia="宋体"/>
                      <w:color w:val="auto"/>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1359" w:type="dxa"/>
                  <w:noWrap w:val="0"/>
                  <w:vAlign w:val="center"/>
                </w:tcPr>
                <w:p>
                  <w:pPr>
                    <w:pStyle w:val="25"/>
                    <w:jc w:val="center"/>
                    <w:rPr>
                      <w:rFonts w:hint="eastAsia"/>
                      <w:b/>
                      <w:bCs/>
                      <w:color w:val="auto"/>
                      <w:sz w:val="21"/>
                      <w:szCs w:val="21"/>
                      <w:lang w:val="en-US" w:eastAsia="zh-CN"/>
                    </w:rPr>
                  </w:pPr>
                  <w:r>
                    <w:rPr>
                      <w:rFonts w:hint="eastAsia" w:ascii="Times" w:hAnsi="Times"/>
                      <w:b/>
                      <w:bCs/>
                      <w:color w:val="auto"/>
                      <w:sz w:val="21"/>
                      <w:szCs w:val="21"/>
                    </w:rPr>
                    <w:t>安徽省大气办《关于深入开展挥发性有机物污染治理工作的通知》（皖大气办〔2021〕4号）</w:t>
                  </w:r>
                </w:p>
              </w:tc>
              <w:tc>
                <w:tcPr>
                  <w:tcW w:w="2403" w:type="dxa"/>
                  <w:noWrap w:val="0"/>
                  <w:vAlign w:val="center"/>
                </w:tcPr>
                <w:p>
                  <w:pPr>
                    <w:pStyle w:val="25"/>
                    <w:snapToGrid w:val="0"/>
                    <w:ind w:firstLine="420" w:firstLineChars="200"/>
                    <w:jc w:val="both"/>
                    <w:rPr>
                      <w:rFonts w:hint="eastAsia" w:ascii="Times" w:hAnsi="Times" w:eastAsia="宋体"/>
                      <w:bCs/>
                      <w:color w:val="auto"/>
                      <w:sz w:val="21"/>
                      <w:szCs w:val="21"/>
                      <w:lang w:eastAsia="zh-CN"/>
                    </w:rPr>
                  </w:pPr>
                  <w:r>
                    <w:rPr>
                      <w:rFonts w:hint="eastAsia" w:ascii="Times" w:hAnsi="Times"/>
                      <w:bCs/>
                      <w:color w:val="auto"/>
                      <w:sz w:val="21"/>
                      <w:szCs w:val="21"/>
                    </w:rPr>
                    <w:t>重点推进源头削减。鼓励支持使用涂料、油墨、胶粘剂、涂层剂（树脂）、清洗剂等原辅材料的企业，进行低</w:t>
                  </w:r>
                  <w:r>
                    <w:rPr>
                      <w:rFonts w:hint="eastAsia" w:ascii="Times" w:hAnsi="Times"/>
                      <w:bCs/>
                      <w:color w:val="auto"/>
                      <w:sz w:val="21"/>
                      <w:szCs w:val="21"/>
                      <w:lang w:val="en-US" w:eastAsia="zh-CN"/>
                    </w:rPr>
                    <w:t>V</w:t>
                  </w:r>
                  <w:r>
                    <w:rPr>
                      <w:rFonts w:hint="eastAsia" w:ascii="Times" w:hAnsi="Times"/>
                      <w:bCs/>
                      <w:color w:val="auto"/>
                      <w:sz w:val="21"/>
                      <w:szCs w:val="21"/>
                    </w:rPr>
                    <w:t>OCs含量原辅材料的源头替代</w:t>
                  </w:r>
                  <w:r>
                    <w:rPr>
                      <w:rFonts w:hint="eastAsia" w:ascii="Times" w:hAnsi="Times"/>
                      <w:bCs/>
                      <w:color w:val="auto"/>
                      <w:sz w:val="21"/>
                      <w:szCs w:val="21"/>
                      <w:lang w:eastAsia="zh-CN"/>
                    </w:rPr>
                    <w:t>。</w:t>
                  </w:r>
                </w:p>
                <w:p>
                  <w:pPr>
                    <w:pStyle w:val="25"/>
                    <w:snapToGrid w:val="0"/>
                    <w:ind w:firstLine="420" w:firstLineChars="200"/>
                    <w:jc w:val="both"/>
                    <w:rPr>
                      <w:rFonts w:hint="eastAsia" w:ascii="Times" w:hAnsi="Times"/>
                      <w:bCs/>
                      <w:color w:val="auto"/>
                      <w:sz w:val="21"/>
                      <w:szCs w:val="21"/>
                    </w:rPr>
                  </w:pPr>
                </w:p>
              </w:tc>
              <w:tc>
                <w:tcPr>
                  <w:tcW w:w="2474" w:type="dxa"/>
                  <w:noWrap w:val="0"/>
                  <w:vAlign w:val="center"/>
                </w:tcPr>
                <w:p>
                  <w:pPr>
                    <w:pStyle w:val="25"/>
                    <w:snapToGrid w:val="0"/>
                    <w:ind w:firstLine="420" w:firstLineChars="200"/>
                    <w:jc w:val="both"/>
                    <w:rPr>
                      <w:rFonts w:hint="eastAsia" w:eastAsia="宋体"/>
                      <w:color w:val="auto"/>
                      <w:kern w:val="0"/>
                      <w:szCs w:val="21"/>
                      <w:lang w:val="en-US" w:eastAsia="zh-CN"/>
                    </w:rPr>
                  </w:pPr>
                  <w:r>
                    <w:rPr>
                      <w:rFonts w:hint="eastAsia" w:ascii="Times" w:hAnsi="Times"/>
                      <w:bCs/>
                      <w:color w:val="auto"/>
                      <w:sz w:val="21"/>
                      <w:szCs w:val="21"/>
                      <w:lang w:eastAsia="zh-CN"/>
                    </w:rPr>
                    <w:t>项目主要使用</w:t>
                  </w:r>
                  <w:r>
                    <w:rPr>
                      <w:rFonts w:hint="eastAsia" w:ascii="Times" w:hAnsi="Times"/>
                      <w:bCs/>
                      <w:color w:val="auto"/>
                      <w:sz w:val="21"/>
                      <w:szCs w:val="21"/>
                      <w:lang w:val="en-US" w:eastAsia="zh-CN"/>
                    </w:rPr>
                    <w:t>PET热塑性树脂、HDPE热塑性树脂，属于</w:t>
                  </w:r>
                  <w:r>
                    <w:rPr>
                      <w:rFonts w:hint="eastAsia" w:ascii="Times" w:hAnsi="Times"/>
                      <w:bCs/>
                      <w:color w:val="auto"/>
                      <w:sz w:val="21"/>
                      <w:szCs w:val="21"/>
                    </w:rPr>
                    <w:t>低</w:t>
                  </w:r>
                  <w:r>
                    <w:rPr>
                      <w:rFonts w:hint="eastAsia" w:ascii="Times" w:hAnsi="Times"/>
                      <w:bCs/>
                      <w:color w:val="auto"/>
                      <w:sz w:val="21"/>
                      <w:szCs w:val="21"/>
                      <w:lang w:val="en-US" w:eastAsia="zh-CN"/>
                    </w:rPr>
                    <w:t>V</w:t>
                  </w:r>
                  <w:r>
                    <w:rPr>
                      <w:rFonts w:hint="eastAsia" w:ascii="Times" w:hAnsi="Times"/>
                      <w:bCs/>
                      <w:color w:val="auto"/>
                      <w:sz w:val="21"/>
                      <w:szCs w:val="21"/>
                    </w:rPr>
                    <w:t>OCs含量</w:t>
                  </w:r>
                  <w:r>
                    <w:rPr>
                      <w:rFonts w:hint="eastAsia" w:ascii="Times" w:hAnsi="Times"/>
                      <w:bCs/>
                      <w:color w:val="auto"/>
                      <w:sz w:val="21"/>
                      <w:szCs w:val="21"/>
                      <w:lang w:eastAsia="zh-CN"/>
                    </w:rPr>
                    <w:t>的</w:t>
                  </w:r>
                  <w:r>
                    <w:rPr>
                      <w:rFonts w:hint="eastAsia" w:ascii="Times" w:hAnsi="Times"/>
                      <w:bCs/>
                      <w:color w:val="auto"/>
                      <w:sz w:val="21"/>
                      <w:szCs w:val="21"/>
                    </w:rPr>
                    <w:t>原辅材料</w:t>
                  </w:r>
                  <w:r>
                    <w:rPr>
                      <w:rFonts w:hint="eastAsia" w:ascii="Times" w:hAnsi="Times"/>
                      <w:bCs/>
                      <w:color w:val="auto"/>
                      <w:sz w:val="21"/>
                      <w:szCs w:val="21"/>
                      <w:lang w:eastAsia="zh-CN"/>
                    </w:rPr>
                    <w:t>。</w:t>
                  </w:r>
                </w:p>
              </w:tc>
            </w:tr>
          </w:tbl>
          <w:p>
            <w:pPr>
              <w:pStyle w:val="25"/>
              <w:rPr>
                <w:color w:val="auto"/>
              </w:rPr>
            </w:pPr>
          </w:p>
          <w:p>
            <w:pPr>
              <w:pStyle w:val="25"/>
              <w:rPr>
                <w:color w:val="auto"/>
              </w:rPr>
            </w:pPr>
          </w:p>
          <w:p>
            <w:pPr>
              <w:pStyle w:val="25"/>
              <w:rPr>
                <w:color w:val="auto"/>
              </w:rPr>
            </w:pPr>
          </w:p>
          <w:p>
            <w:pPr>
              <w:pStyle w:val="25"/>
              <w:rPr>
                <w:color w:val="auto"/>
              </w:rPr>
            </w:pPr>
          </w:p>
          <w:p>
            <w:pPr>
              <w:pStyle w:val="25"/>
              <w:rPr>
                <w:color w:val="auto"/>
              </w:rPr>
            </w:pPr>
          </w:p>
          <w:p>
            <w:pPr>
              <w:pStyle w:val="25"/>
              <w:rPr>
                <w:color w:val="auto"/>
              </w:rPr>
            </w:pPr>
          </w:p>
          <w:p>
            <w:pPr>
              <w:pStyle w:val="25"/>
              <w:rPr>
                <w:color w:val="auto"/>
              </w:rPr>
            </w:pPr>
          </w:p>
          <w:p>
            <w:pPr>
              <w:autoSpaceDE w:val="0"/>
              <w:autoSpaceDN w:val="0"/>
              <w:adjustRightInd w:val="0"/>
              <w:snapToGrid w:val="0"/>
              <w:rPr>
                <w:color w:val="auto"/>
                <w:kern w:val="0"/>
                <w:sz w:val="24"/>
              </w:rPr>
            </w:pPr>
          </w:p>
        </w:tc>
      </w:tr>
    </w:tbl>
    <w:p>
      <w:pPr>
        <w:spacing w:line="360" w:lineRule="auto"/>
        <w:outlineLvl w:val="0"/>
        <w:rPr>
          <w:rFonts w:eastAsia="黑体"/>
          <w:color w:val="auto"/>
          <w:sz w:val="30"/>
        </w:rPr>
        <w:sectPr>
          <w:footerReference r:id="rId3" w:type="default"/>
          <w:pgSz w:w="11906" w:h="16838"/>
          <w:pgMar w:top="128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17"/>
              <w:adjustRightInd w:val="0"/>
              <w:snapToGrid w:val="0"/>
              <w:spacing w:before="0" w:beforeAutospacing="0" w:after="0" w:afterAutospacing="0"/>
              <w:jc w:val="center"/>
              <w:rPr>
                <w:rFonts w:ascii="Times New Roman" w:hAnsi="Times New Roman"/>
                <w:color w:val="auto"/>
                <w:szCs w:val="24"/>
                <w:lang w:val="en-US" w:eastAsia="zh-CN"/>
              </w:rPr>
            </w:pPr>
            <w:r>
              <w:rPr>
                <w:rFonts w:ascii="Times New Roman" w:hAnsi="Times New Roman"/>
                <w:color w:val="auto"/>
                <w:szCs w:val="24"/>
                <w:lang w:val="en-US" w:eastAsia="zh-CN"/>
              </w:rPr>
              <w:t>建设内容</w:t>
            </w:r>
          </w:p>
        </w:tc>
        <w:tc>
          <w:tcPr>
            <w:tcW w:w="8161" w:type="dxa"/>
            <w:noWrap w:val="0"/>
            <w:vAlign w:val="top"/>
          </w:tcPr>
          <w:p>
            <w:pPr>
              <w:spacing w:line="360" w:lineRule="auto"/>
              <w:ind w:firstLine="482" w:firstLineChars="200"/>
              <w:rPr>
                <w:b/>
                <w:bCs/>
                <w:color w:val="auto"/>
                <w:sz w:val="24"/>
                <w:highlight w:val="yellow"/>
              </w:rPr>
            </w:pPr>
            <w:r>
              <w:rPr>
                <w:rFonts w:hint="eastAsia"/>
                <w:b/>
                <w:bCs/>
                <w:color w:val="auto"/>
                <w:sz w:val="24"/>
                <w:lang w:eastAsia="zh-CN"/>
              </w:rPr>
              <w:t>（一）</w:t>
            </w:r>
            <w:r>
              <w:rPr>
                <w:b/>
                <w:bCs/>
                <w:color w:val="auto"/>
                <w:sz w:val="24"/>
              </w:rPr>
              <w:t>工程建设内容</w:t>
            </w:r>
          </w:p>
          <w:p>
            <w:pPr>
              <w:spacing w:line="360" w:lineRule="auto"/>
              <w:ind w:firstLine="480" w:firstLineChars="200"/>
              <w:rPr>
                <w:color w:val="auto"/>
                <w:sz w:val="24"/>
                <w:lang w:val="zh-TW"/>
              </w:rPr>
            </w:pPr>
            <w:r>
              <w:rPr>
                <w:color w:val="auto"/>
                <w:sz w:val="24"/>
              </w:rPr>
              <w:t>安徽</w:t>
            </w:r>
            <w:r>
              <w:rPr>
                <w:rFonts w:hint="eastAsia"/>
                <w:color w:val="auto"/>
                <w:sz w:val="24"/>
                <w:lang w:eastAsia="zh-CN"/>
              </w:rPr>
              <w:t>省益农化工</w:t>
            </w:r>
            <w:r>
              <w:rPr>
                <w:color w:val="auto"/>
                <w:sz w:val="24"/>
              </w:rPr>
              <w:t>有限公</w:t>
            </w:r>
            <w:r>
              <w:rPr>
                <w:rFonts w:hint="eastAsia"/>
                <w:color w:val="auto"/>
                <w:sz w:val="24"/>
                <w:lang w:eastAsia="zh-CN"/>
              </w:rPr>
              <w:t>司</w:t>
            </w:r>
            <w:r>
              <w:rPr>
                <w:rFonts w:hint="eastAsia" w:ascii="Times New Roman" w:hAnsi="Times New Roman" w:cs="Times New Roman"/>
                <w:color w:val="auto"/>
                <w:sz w:val="24"/>
                <w:lang w:eastAsia="zh-CN"/>
              </w:rPr>
              <w:t>（以下简称“项目单位”）</w:t>
            </w:r>
            <w:r>
              <w:rPr>
                <w:rFonts w:hint="eastAsia" w:cs="Times New Roman"/>
                <w:color w:val="auto"/>
                <w:sz w:val="24"/>
                <w:lang w:eastAsia="zh-CN"/>
              </w:rPr>
              <w:t>竞得了</w:t>
            </w:r>
            <w:r>
              <w:rPr>
                <w:rFonts w:hint="eastAsia"/>
                <w:color w:val="auto"/>
                <w:sz w:val="24"/>
                <w:lang w:eastAsia="zh-CN"/>
              </w:rPr>
              <w:t>位于舒城县经济开发区经三路与公麟路交叉口的地块，新建“安徽省益农化工有限公司年产</w:t>
            </w:r>
            <w:r>
              <w:rPr>
                <w:rFonts w:hint="eastAsia"/>
                <w:color w:val="auto"/>
                <w:sz w:val="24"/>
                <w:lang w:val="en-US" w:eastAsia="zh-CN"/>
              </w:rPr>
              <w:t>2000吨塑料制品</w:t>
            </w:r>
            <w:r>
              <w:rPr>
                <w:color w:val="auto"/>
                <w:sz w:val="24"/>
              </w:rPr>
              <w:t>项目</w:t>
            </w:r>
            <w:r>
              <w:rPr>
                <w:rFonts w:hint="eastAsia"/>
                <w:color w:val="auto"/>
                <w:sz w:val="24"/>
                <w:lang w:eastAsia="zh-CN"/>
              </w:rPr>
              <w:t>”。项目总投资1</w:t>
            </w:r>
            <w:r>
              <w:rPr>
                <w:rFonts w:hint="eastAsia"/>
                <w:color w:val="auto"/>
                <w:sz w:val="24"/>
                <w:lang w:val="en-US" w:eastAsia="zh-CN"/>
              </w:rPr>
              <w:t>0</w:t>
            </w:r>
            <w:r>
              <w:rPr>
                <w:rFonts w:hint="eastAsia"/>
                <w:color w:val="auto"/>
                <w:sz w:val="24"/>
                <w:lang w:eastAsia="zh-CN"/>
              </w:rPr>
              <w:t>000万元，新建</w:t>
            </w:r>
            <w:r>
              <w:rPr>
                <w:rFonts w:hint="eastAsia"/>
                <w:color w:val="auto"/>
                <w:sz w:val="24"/>
                <w:lang w:val="en-US" w:eastAsia="zh-CN"/>
              </w:rPr>
              <w:t>1幢11684平方米的1#厂房，1幢11684平方米的2#厂房，同时</w:t>
            </w:r>
            <w:r>
              <w:rPr>
                <w:rFonts w:hint="eastAsia"/>
                <w:color w:val="auto"/>
                <w:sz w:val="24"/>
                <w:lang w:eastAsia="zh-CN"/>
              </w:rPr>
              <w:t>购置注塑机、吹塑机等生产设备。</w:t>
            </w:r>
            <w:r>
              <w:rPr>
                <w:color w:val="auto"/>
                <w:sz w:val="24"/>
              </w:rPr>
              <w:t>项目建成后可形成</w:t>
            </w:r>
            <w:r>
              <w:rPr>
                <w:rFonts w:hint="eastAsia"/>
                <w:color w:val="auto"/>
                <w:sz w:val="24"/>
                <w:lang w:val="en-US" w:eastAsia="zh-CN"/>
              </w:rPr>
              <w:t>年产1200吨PET塑料瓶、年产800吨HDPE塑料瓶</w:t>
            </w:r>
            <w:r>
              <w:rPr>
                <w:color w:val="auto"/>
                <w:sz w:val="24"/>
              </w:rPr>
              <w:t>的生产能力。项目主要建设</w:t>
            </w:r>
            <w:r>
              <w:rPr>
                <w:color w:val="auto"/>
                <w:sz w:val="24"/>
                <w:lang w:val="zh-TW"/>
              </w:rPr>
              <w:t>内容及规模详见下表。</w:t>
            </w:r>
          </w:p>
          <w:p>
            <w:pPr>
              <w:pStyle w:val="25"/>
              <w:jc w:val="center"/>
              <w:rPr>
                <w:b/>
                <w:bCs/>
                <w:color w:val="auto"/>
              </w:rPr>
            </w:pPr>
            <w:r>
              <w:rPr>
                <w:b/>
                <w:bCs/>
                <w:color w:val="auto"/>
              </w:rPr>
              <w:t>表2-1  项目主要工程建设内容及规模一览表</w:t>
            </w:r>
          </w:p>
          <w:tbl>
            <w:tblPr>
              <w:tblStyle w:val="19"/>
              <w:tblW w:w="79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
            <w:tblGrid>
              <w:gridCol w:w="1060"/>
              <w:gridCol w:w="1462"/>
              <w:gridCol w:w="1148"/>
              <w:gridCol w:w="4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noWrap w:val="0"/>
                  <w:tcMar>
                    <w:top w:w="0" w:type="dxa"/>
                    <w:left w:w="51" w:type="dxa"/>
                    <w:bottom w:w="0" w:type="dxa"/>
                    <w:right w:w="51" w:type="dxa"/>
                  </w:tcMar>
                  <w:vAlign w:val="center"/>
                </w:tcPr>
                <w:p>
                  <w:pPr>
                    <w:ind w:hanging="70"/>
                    <w:jc w:val="center"/>
                    <w:rPr>
                      <w:b/>
                      <w:bCs/>
                      <w:color w:val="auto"/>
                      <w:szCs w:val="21"/>
                    </w:rPr>
                  </w:pPr>
                  <w:r>
                    <w:rPr>
                      <w:b/>
                      <w:bCs/>
                      <w:color w:val="auto"/>
                      <w:szCs w:val="21"/>
                    </w:rPr>
                    <w:t>工程</w:t>
                  </w:r>
                </w:p>
                <w:p>
                  <w:pPr>
                    <w:ind w:hanging="70"/>
                    <w:jc w:val="center"/>
                    <w:rPr>
                      <w:b/>
                      <w:bCs/>
                      <w:color w:val="auto"/>
                      <w:szCs w:val="21"/>
                    </w:rPr>
                  </w:pPr>
                  <w:r>
                    <w:rPr>
                      <w:b/>
                      <w:bCs/>
                      <w:color w:val="auto"/>
                      <w:szCs w:val="21"/>
                    </w:rPr>
                    <w:t>名称</w:t>
                  </w:r>
                </w:p>
              </w:tc>
              <w:tc>
                <w:tcPr>
                  <w:tcW w:w="1462" w:type="dxa"/>
                  <w:noWrap w:val="0"/>
                  <w:tcMar>
                    <w:top w:w="0" w:type="dxa"/>
                    <w:left w:w="51" w:type="dxa"/>
                    <w:bottom w:w="0" w:type="dxa"/>
                    <w:right w:w="51" w:type="dxa"/>
                  </w:tcMar>
                  <w:vAlign w:val="center"/>
                </w:tcPr>
                <w:p>
                  <w:pPr>
                    <w:jc w:val="center"/>
                    <w:rPr>
                      <w:b/>
                      <w:bCs/>
                      <w:color w:val="auto"/>
                      <w:szCs w:val="21"/>
                    </w:rPr>
                  </w:pPr>
                  <w:r>
                    <w:rPr>
                      <w:b/>
                      <w:bCs/>
                      <w:color w:val="auto"/>
                      <w:szCs w:val="21"/>
                    </w:rPr>
                    <w:t>单项工程</w:t>
                  </w:r>
                </w:p>
              </w:tc>
              <w:tc>
                <w:tcPr>
                  <w:tcW w:w="5415" w:type="dxa"/>
                  <w:gridSpan w:val="2"/>
                  <w:noWrap w:val="0"/>
                  <w:tcMar>
                    <w:top w:w="0" w:type="dxa"/>
                    <w:left w:w="51" w:type="dxa"/>
                    <w:bottom w:w="0" w:type="dxa"/>
                    <w:right w:w="51" w:type="dxa"/>
                  </w:tcMar>
                  <w:vAlign w:val="center"/>
                </w:tcPr>
                <w:p>
                  <w:pPr>
                    <w:jc w:val="center"/>
                    <w:rPr>
                      <w:b/>
                      <w:bCs/>
                      <w:color w:val="auto"/>
                      <w:szCs w:val="21"/>
                    </w:rPr>
                  </w:pPr>
                  <w:r>
                    <w:rPr>
                      <w:b/>
                      <w:bCs/>
                      <w:color w:val="auto"/>
                      <w:szCs w:val="21"/>
                    </w:rPr>
                    <w:t>工程内容及规模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restart"/>
                  <w:noWrap w:val="0"/>
                  <w:tcMar>
                    <w:top w:w="0" w:type="dxa"/>
                    <w:left w:w="51" w:type="dxa"/>
                    <w:bottom w:w="0" w:type="dxa"/>
                    <w:right w:w="51" w:type="dxa"/>
                  </w:tcMar>
                  <w:vAlign w:val="center"/>
                </w:tcPr>
                <w:p>
                  <w:pPr>
                    <w:ind w:hanging="69"/>
                    <w:jc w:val="center"/>
                    <w:rPr>
                      <w:color w:val="auto"/>
                      <w:szCs w:val="21"/>
                    </w:rPr>
                  </w:pPr>
                  <w:r>
                    <w:rPr>
                      <w:color w:val="auto"/>
                      <w:szCs w:val="21"/>
                    </w:rPr>
                    <w:t>主体</w:t>
                  </w:r>
                </w:p>
                <w:p>
                  <w:pPr>
                    <w:ind w:hanging="69"/>
                    <w:jc w:val="center"/>
                    <w:rPr>
                      <w:color w:val="auto"/>
                      <w:szCs w:val="21"/>
                    </w:rPr>
                  </w:pPr>
                  <w:r>
                    <w:rPr>
                      <w:color w:val="auto"/>
                      <w:szCs w:val="21"/>
                    </w:rPr>
                    <w:t>工程</w:t>
                  </w:r>
                </w:p>
              </w:tc>
              <w:tc>
                <w:tcPr>
                  <w:tcW w:w="1462" w:type="dxa"/>
                  <w:noWrap w:val="0"/>
                  <w:tcMar>
                    <w:top w:w="0" w:type="dxa"/>
                    <w:left w:w="51" w:type="dxa"/>
                    <w:bottom w:w="0" w:type="dxa"/>
                    <w:right w:w="51" w:type="dxa"/>
                  </w:tcMar>
                  <w:vAlign w:val="center"/>
                </w:tcPr>
                <w:p>
                  <w:pPr>
                    <w:tabs>
                      <w:tab w:val="left" w:pos="3255"/>
                    </w:tabs>
                    <w:jc w:val="center"/>
                    <w:rPr>
                      <w:rFonts w:hint="default"/>
                      <w:color w:val="auto"/>
                      <w:szCs w:val="21"/>
                      <w:lang w:val="en-US" w:eastAsia="zh-CN"/>
                    </w:rPr>
                  </w:pPr>
                  <w:r>
                    <w:rPr>
                      <w:rFonts w:hint="eastAsia"/>
                      <w:color w:val="auto"/>
                      <w:szCs w:val="21"/>
                      <w:lang w:val="en-US" w:eastAsia="zh-CN"/>
                    </w:rPr>
                    <w:t>PET塑料瓶生产车间</w:t>
                  </w:r>
                </w:p>
              </w:tc>
              <w:tc>
                <w:tcPr>
                  <w:tcW w:w="5415" w:type="dxa"/>
                  <w:gridSpan w:val="2"/>
                  <w:noWrap w:val="0"/>
                  <w:tcMar>
                    <w:top w:w="0" w:type="dxa"/>
                    <w:left w:w="51" w:type="dxa"/>
                    <w:bottom w:w="0" w:type="dxa"/>
                    <w:right w:w="51" w:type="dxa"/>
                  </w:tcMar>
                  <w:vAlign w:val="center"/>
                </w:tcPr>
                <w:p>
                  <w:pPr>
                    <w:tabs>
                      <w:tab w:val="left" w:pos="3255"/>
                    </w:tabs>
                    <w:jc w:val="center"/>
                    <w:rPr>
                      <w:rFonts w:hint="eastAsia"/>
                      <w:color w:val="auto"/>
                      <w:szCs w:val="21"/>
                      <w:lang w:val="en-US" w:eastAsia="zh-CN"/>
                    </w:rPr>
                  </w:pPr>
                  <w:r>
                    <w:rPr>
                      <w:rFonts w:hint="eastAsia"/>
                      <w:color w:val="auto"/>
                      <w:szCs w:val="21"/>
                      <w:lang w:val="en-US" w:eastAsia="zh-CN"/>
                    </w:rPr>
                    <w:t>位于1#厂房1F，厂房建筑面积11684m</w:t>
                  </w:r>
                  <w:r>
                    <w:rPr>
                      <w:rFonts w:hint="eastAsia"/>
                      <w:color w:val="auto"/>
                      <w:szCs w:val="21"/>
                      <w:vertAlign w:val="superscript"/>
                      <w:lang w:val="en-US" w:eastAsia="zh-CN"/>
                    </w:rPr>
                    <w:t>2</w:t>
                  </w:r>
                  <w:r>
                    <w:rPr>
                      <w:rFonts w:hint="eastAsia"/>
                      <w:color w:val="auto"/>
                      <w:szCs w:val="21"/>
                      <w:lang w:val="en-US" w:eastAsia="zh-CN"/>
                    </w:rPr>
                    <w:t>，购置注塑机、吹塑机等设备，建成后可形成年产1200吨PET塑料瓶的生产能力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continue"/>
                  <w:noWrap w:val="0"/>
                  <w:tcMar>
                    <w:top w:w="0" w:type="dxa"/>
                    <w:left w:w="51" w:type="dxa"/>
                    <w:bottom w:w="0" w:type="dxa"/>
                    <w:right w:w="51" w:type="dxa"/>
                  </w:tcMar>
                  <w:vAlign w:val="center"/>
                </w:tcPr>
                <w:p>
                  <w:pPr>
                    <w:ind w:hanging="69"/>
                    <w:jc w:val="center"/>
                    <w:rPr>
                      <w:color w:val="auto"/>
                      <w:szCs w:val="21"/>
                    </w:rPr>
                  </w:pPr>
                </w:p>
              </w:tc>
              <w:tc>
                <w:tcPr>
                  <w:tcW w:w="1462" w:type="dxa"/>
                  <w:noWrap w:val="0"/>
                  <w:tcMar>
                    <w:top w:w="0" w:type="dxa"/>
                    <w:left w:w="51" w:type="dxa"/>
                    <w:bottom w:w="0" w:type="dxa"/>
                    <w:right w:w="51" w:type="dxa"/>
                  </w:tcMar>
                  <w:vAlign w:val="center"/>
                </w:tcPr>
                <w:p>
                  <w:pPr>
                    <w:tabs>
                      <w:tab w:val="left" w:pos="3255"/>
                    </w:tabs>
                    <w:jc w:val="center"/>
                    <w:rPr>
                      <w:color w:val="auto"/>
                      <w:szCs w:val="21"/>
                    </w:rPr>
                  </w:pPr>
                  <w:r>
                    <w:rPr>
                      <w:rFonts w:hint="eastAsia"/>
                      <w:color w:val="auto"/>
                      <w:szCs w:val="21"/>
                      <w:lang w:val="en-US" w:eastAsia="zh-CN"/>
                    </w:rPr>
                    <w:t>HDPE塑料瓶生产车间</w:t>
                  </w:r>
                </w:p>
              </w:tc>
              <w:tc>
                <w:tcPr>
                  <w:tcW w:w="5415" w:type="dxa"/>
                  <w:gridSpan w:val="2"/>
                  <w:noWrap w:val="0"/>
                  <w:tcMar>
                    <w:top w:w="0" w:type="dxa"/>
                    <w:left w:w="51" w:type="dxa"/>
                    <w:bottom w:w="0" w:type="dxa"/>
                    <w:right w:w="51" w:type="dxa"/>
                  </w:tcMar>
                  <w:vAlign w:val="center"/>
                </w:tcPr>
                <w:p>
                  <w:pPr>
                    <w:tabs>
                      <w:tab w:val="left" w:pos="3255"/>
                    </w:tabs>
                    <w:jc w:val="center"/>
                    <w:rPr>
                      <w:rFonts w:hint="eastAsia"/>
                      <w:color w:val="auto"/>
                      <w:szCs w:val="21"/>
                      <w:lang w:val="en-US" w:eastAsia="zh-CN"/>
                    </w:rPr>
                  </w:pPr>
                  <w:r>
                    <w:rPr>
                      <w:rFonts w:hint="eastAsia"/>
                      <w:color w:val="auto"/>
                      <w:szCs w:val="21"/>
                      <w:lang w:val="en-US" w:eastAsia="zh-CN"/>
                    </w:rPr>
                    <w:t>位于2#厂房1F，厂房建筑面积11684m</w:t>
                  </w:r>
                  <w:r>
                    <w:rPr>
                      <w:rFonts w:hint="eastAsia"/>
                      <w:color w:val="auto"/>
                      <w:szCs w:val="21"/>
                      <w:vertAlign w:val="superscript"/>
                      <w:lang w:val="en-US" w:eastAsia="zh-CN"/>
                    </w:rPr>
                    <w:t>2</w:t>
                  </w:r>
                  <w:r>
                    <w:rPr>
                      <w:rFonts w:hint="eastAsia"/>
                      <w:color w:val="auto"/>
                      <w:szCs w:val="21"/>
                      <w:lang w:val="en-US" w:eastAsia="zh-CN"/>
                    </w:rPr>
                    <w:t>，购置注塑机等设备，建成后可形成年产800吨HDPE塑料瓶的生产能力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restart"/>
                  <w:noWrap w:val="0"/>
                  <w:tcMar>
                    <w:top w:w="0" w:type="dxa"/>
                    <w:left w:w="51" w:type="dxa"/>
                    <w:bottom w:w="0" w:type="dxa"/>
                    <w:right w:w="51" w:type="dxa"/>
                  </w:tcMar>
                  <w:vAlign w:val="center"/>
                </w:tcPr>
                <w:p>
                  <w:pPr>
                    <w:ind w:hanging="69"/>
                    <w:jc w:val="center"/>
                    <w:rPr>
                      <w:color w:val="auto"/>
                      <w:szCs w:val="21"/>
                    </w:rPr>
                  </w:pPr>
                  <w:r>
                    <w:rPr>
                      <w:color w:val="auto"/>
                      <w:szCs w:val="21"/>
                    </w:rPr>
                    <w:t>公用</w:t>
                  </w:r>
                </w:p>
                <w:p>
                  <w:pPr>
                    <w:ind w:hanging="69"/>
                    <w:jc w:val="center"/>
                    <w:rPr>
                      <w:color w:val="auto"/>
                      <w:szCs w:val="21"/>
                    </w:rPr>
                  </w:pPr>
                  <w:r>
                    <w:rPr>
                      <w:color w:val="auto"/>
                      <w:szCs w:val="21"/>
                    </w:rPr>
                    <w:t>工程</w:t>
                  </w:r>
                </w:p>
              </w:tc>
              <w:tc>
                <w:tcPr>
                  <w:tcW w:w="1462" w:type="dxa"/>
                  <w:noWrap w:val="0"/>
                  <w:tcMar>
                    <w:top w:w="0" w:type="dxa"/>
                    <w:left w:w="51" w:type="dxa"/>
                    <w:bottom w:w="0" w:type="dxa"/>
                    <w:right w:w="51" w:type="dxa"/>
                  </w:tcMar>
                  <w:vAlign w:val="center"/>
                </w:tcPr>
                <w:p>
                  <w:pPr>
                    <w:tabs>
                      <w:tab w:val="left" w:pos="3255"/>
                    </w:tabs>
                    <w:jc w:val="center"/>
                    <w:rPr>
                      <w:color w:val="auto"/>
                      <w:szCs w:val="21"/>
                    </w:rPr>
                  </w:pPr>
                  <w:r>
                    <w:rPr>
                      <w:color w:val="auto"/>
                      <w:szCs w:val="21"/>
                    </w:rPr>
                    <w:t>供电</w:t>
                  </w:r>
                </w:p>
              </w:tc>
              <w:tc>
                <w:tcPr>
                  <w:tcW w:w="5415" w:type="dxa"/>
                  <w:gridSpan w:val="2"/>
                  <w:noWrap w:val="0"/>
                  <w:tcMar>
                    <w:top w:w="0" w:type="dxa"/>
                    <w:left w:w="51" w:type="dxa"/>
                    <w:bottom w:w="0" w:type="dxa"/>
                    <w:right w:w="51" w:type="dxa"/>
                  </w:tcMar>
                  <w:vAlign w:val="center"/>
                </w:tcPr>
                <w:p>
                  <w:pPr>
                    <w:adjustRightInd w:val="0"/>
                    <w:snapToGrid w:val="0"/>
                    <w:jc w:val="center"/>
                    <w:rPr>
                      <w:color w:val="auto"/>
                      <w:szCs w:val="21"/>
                    </w:rPr>
                  </w:pPr>
                  <w:r>
                    <w:rPr>
                      <w:color w:val="auto"/>
                      <w:szCs w:val="21"/>
                    </w:rPr>
                    <w:t>市政电网供电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continue"/>
                  <w:noWrap w:val="0"/>
                  <w:tcMar>
                    <w:top w:w="0" w:type="dxa"/>
                    <w:left w:w="51" w:type="dxa"/>
                    <w:bottom w:w="0" w:type="dxa"/>
                    <w:right w:w="51" w:type="dxa"/>
                  </w:tcMar>
                  <w:vAlign w:val="center"/>
                </w:tcPr>
                <w:p>
                  <w:pPr>
                    <w:ind w:hanging="69"/>
                    <w:jc w:val="center"/>
                    <w:rPr>
                      <w:color w:val="auto"/>
                      <w:szCs w:val="21"/>
                    </w:rPr>
                  </w:pPr>
                </w:p>
              </w:tc>
              <w:tc>
                <w:tcPr>
                  <w:tcW w:w="1462" w:type="dxa"/>
                  <w:noWrap w:val="0"/>
                  <w:tcMar>
                    <w:top w:w="0" w:type="dxa"/>
                    <w:left w:w="51" w:type="dxa"/>
                    <w:bottom w:w="0" w:type="dxa"/>
                    <w:right w:w="51" w:type="dxa"/>
                  </w:tcMar>
                  <w:vAlign w:val="center"/>
                </w:tcPr>
                <w:p>
                  <w:pPr>
                    <w:jc w:val="center"/>
                    <w:rPr>
                      <w:color w:val="auto"/>
                      <w:szCs w:val="21"/>
                    </w:rPr>
                  </w:pPr>
                  <w:r>
                    <w:rPr>
                      <w:color w:val="auto"/>
                      <w:szCs w:val="21"/>
                    </w:rPr>
                    <w:t>供水</w:t>
                  </w:r>
                </w:p>
              </w:tc>
              <w:tc>
                <w:tcPr>
                  <w:tcW w:w="5415" w:type="dxa"/>
                  <w:gridSpan w:val="2"/>
                  <w:noWrap w:val="0"/>
                  <w:tcMar>
                    <w:top w:w="0" w:type="dxa"/>
                    <w:left w:w="51" w:type="dxa"/>
                    <w:bottom w:w="0" w:type="dxa"/>
                    <w:right w:w="51" w:type="dxa"/>
                  </w:tcMar>
                  <w:vAlign w:val="center"/>
                </w:tcPr>
                <w:p>
                  <w:pPr>
                    <w:adjustRightInd w:val="0"/>
                    <w:snapToGrid w:val="0"/>
                    <w:jc w:val="center"/>
                    <w:rPr>
                      <w:color w:val="auto"/>
                      <w:szCs w:val="21"/>
                    </w:rPr>
                  </w:pPr>
                  <w:r>
                    <w:rPr>
                      <w:color w:val="auto"/>
                      <w:szCs w:val="21"/>
                    </w:rPr>
                    <w:t>市政供水管网供水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continue"/>
                  <w:noWrap w:val="0"/>
                  <w:vAlign w:val="center"/>
                </w:tcPr>
                <w:p>
                  <w:pPr>
                    <w:widowControl/>
                    <w:jc w:val="left"/>
                    <w:rPr>
                      <w:color w:val="auto"/>
                      <w:szCs w:val="21"/>
                    </w:rPr>
                  </w:pPr>
                </w:p>
              </w:tc>
              <w:tc>
                <w:tcPr>
                  <w:tcW w:w="1462" w:type="dxa"/>
                  <w:noWrap w:val="0"/>
                  <w:tcMar>
                    <w:top w:w="0" w:type="dxa"/>
                    <w:left w:w="51" w:type="dxa"/>
                    <w:bottom w:w="0" w:type="dxa"/>
                    <w:right w:w="51" w:type="dxa"/>
                  </w:tcMar>
                  <w:vAlign w:val="center"/>
                </w:tcPr>
                <w:p>
                  <w:pPr>
                    <w:jc w:val="center"/>
                    <w:rPr>
                      <w:color w:val="auto"/>
                      <w:szCs w:val="21"/>
                    </w:rPr>
                  </w:pPr>
                  <w:r>
                    <w:rPr>
                      <w:color w:val="auto"/>
                      <w:szCs w:val="21"/>
                    </w:rPr>
                    <w:t>排水</w:t>
                  </w:r>
                </w:p>
              </w:tc>
              <w:tc>
                <w:tcPr>
                  <w:tcW w:w="5415" w:type="dxa"/>
                  <w:gridSpan w:val="2"/>
                  <w:noWrap w:val="0"/>
                  <w:tcMar>
                    <w:top w:w="0" w:type="dxa"/>
                    <w:left w:w="51" w:type="dxa"/>
                    <w:bottom w:w="0" w:type="dxa"/>
                    <w:right w:w="51" w:type="dxa"/>
                  </w:tcMar>
                  <w:vAlign w:val="center"/>
                </w:tcPr>
                <w:p>
                  <w:pPr>
                    <w:tabs>
                      <w:tab w:val="left" w:pos="3255"/>
                    </w:tabs>
                    <w:jc w:val="center"/>
                    <w:rPr>
                      <w:color w:val="auto"/>
                      <w:szCs w:val="21"/>
                    </w:rPr>
                  </w:pPr>
                  <w:r>
                    <w:rPr>
                      <w:rFonts w:hAnsi="宋体"/>
                      <w:color w:val="000000"/>
                      <w:szCs w:val="21"/>
                    </w:rPr>
                    <w:t>排水实行雨、污分流制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44" w:hRule="atLeast"/>
                <w:jc w:val="center"/>
              </w:trPr>
              <w:tc>
                <w:tcPr>
                  <w:tcW w:w="1060" w:type="dxa"/>
                  <w:noWrap w:val="0"/>
                  <w:vAlign w:val="center"/>
                </w:tcPr>
                <w:p>
                  <w:pPr>
                    <w:widowControl/>
                    <w:jc w:val="center"/>
                    <w:rPr>
                      <w:color w:val="auto"/>
                      <w:szCs w:val="21"/>
                    </w:rPr>
                  </w:pPr>
                  <w:r>
                    <w:rPr>
                      <w:color w:val="auto"/>
                      <w:szCs w:val="21"/>
                    </w:rPr>
                    <w:t>辅助工程</w:t>
                  </w:r>
                </w:p>
              </w:tc>
              <w:tc>
                <w:tcPr>
                  <w:tcW w:w="1462" w:type="dxa"/>
                  <w:noWrap w:val="0"/>
                  <w:tcMar>
                    <w:top w:w="0" w:type="dxa"/>
                    <w:left w:w="51" w:type="dxa"/>
                    <w:bottom w:w="0" w:type="dxa"/>
                    <w:right w:w="51" w:type="dxa"/>
                  </w:tcMar>
                  <w:vAlign w:val="center"/>
                </w:tcPr>
                <w:p>
                  <w:pPr>
                    <w:jc w:val="center"/>
                    <w:rPr>
                      <w:color w:val="auto"/>
                      <w:szCs w:val="21"/>
                    </w:rPr>
                  </w:pPr>
                  <w:r>
                    <w:rPr>
                      <w:color w:val="auto"/>
                      <w:szCs w:val="21"/>
                    </w:rPr>
                    <w:t>办公</w:t>
                  </w:r>
                </w:p>
              </w:tc>
              <w:tc>
                <w:tcPr>
                  <w:tcW w:w="5415" w:type="dxa"/>
                  <w:gridSpan w:val="2"/>
                  <w:noWrap w:val="0"/>
                  <w:tcMar>
                    <w:top w:w="0" w:type="dxa"/>
                    <w:left w:w="51" w:type="dxa"/>
                    <w:bottom w:w="0" w:type="dxa"/>
                    <w:right w:w="51" w:type="dxa"/>
                  </w:tcMar>
                  <w:vAlign w:val="center"/>
                </w:tcPr>
                <w:p>
                  <w:pPr>
                    <w:jc w:val="center"/>
                    <w:rPr>
                      <w:color w:val="auto"/>
                      <w:szCs w:val="21"/>
                    </w:rPr>
                  </w:pPr>
                  <w:r>
                    <w:rPr>
                      <w:rFonts w:hint="eastAsia" w:hAnsi="宋体"/>
                      <w:color w:val="000000"/>
                      <w:szCs w:val="21"/>
                      <w:lang w:val="en-US" w:eastAsia="zh-CN"/>
                    </w:rPr>
                    <w:t>位于1</w:t>
                  </w:r>
                  <w:r>
                    <w:rPr>
                      <w:rFonts w:hint="eastAsia" w:hAnsi="宋体"/>
                      <w:color w:val="000000"/>
                      <w:szCs w:val="21"/>
                      <w:lang w:eastAsia="zh-CN"/>
                    </w:rPr>
                    <w:t>#厂房一层</w:t>
                  </w:r>
                  <w:r>
                    <w:rPr>
                      <w:rFonts w:hint="eastAsia" w:hAnsi="宋体"/>
                      <w:color w:val="000000"/>
                      <w:szCs w:val="21"/>
                      <w:lang w:val="en-US" w:eastAsia="zh-CN"/>
                    </w:rPr>
                    <w:t>东北</w:t>
                  </w:r>
                  <w:r>
                    <w:rPr>
                      <w:rFonts w:hint="eastAsia" w:hAnsi="宋体"/>
                      <w:color w:val="000000"/>
                      <w:szCs w:val="21"/>
                      <w:lang w:eastAsia="zh-CN"/>
                    </w:rPr>
                    <w:t>侧，</w:t>
                  </w:r>
                  <w:r>
                    <w:rPr>
                      <w:color w:val="auto"/>
                      <w:szCs w:val="21"/>
                    </w:rPr>
                    <w:t>用于日常办公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87" w:hRule="atLeast"/>
                <w:jc w:val="center"/>
              </w:trPr>
              <w:tc>
                <w:tcPr>
                  <w:tcW w:w="1060" w:type="dxa"/>
                  <w:vMerge w:val="restart"/>
                  <w:noWrap w:val="0"/>
                  <w:vAlign w:val="center"/>
                </w:tcPr>
                <w:p>
                  <w:pPr>
                    <w:ind w:hanging="69"/>
                    <w:jc w:val="center"/>
                    <w:rPr>
                      <w:color w:val="auto"/>
                      <w:szCs w:val="21"/>
                    </w:rPr>
                  </w:pPr>
                  <w:r>
                    <w:rPr>
                      <w:color w:val="auto"/>
                      <w:szCs w:val="21"/>
                    </w:rPr>
                    <w:t>储运工程</w:t>
                  </w:r>
                </w:p>
              </w:tc>
              <w:tc>
                <w:tcPr>
                  <w:tcW w:w="1462" w:type="dxa"/>
                  <w:noWrap w:val="0"/>
                  <w:vAlign w:val="center"/>
                </w:tcPr>
                <w:p>
                  <w:pPr>
                    <w:jc w:val="center"/>
                    <w:rPr>
                      <w:color w:val="auto"/>
                      <w:szCs w:val="21"/>
                    </w:rPr>
                  </w:pPr>
                  <w:r>
                    <w:rPr>
                      <w:rFonts w:hAnsi="宋体"/>
                      <w:color w:val="000000"/>
                      <w:szCs w:val="21"/>
                    </w:rPr>
                    <w:t>原材料仓库</w:t>
                  </w:r>
                </w:p>
              </w:tc>
              <w:tc>
                <w:tcPr>
                  <w:tcW w:w="5415" w:type="dxa"/>
                  <w:gridSpan w:val="2"/>
                  <w:vMerge w:val="restart"/>
                  <w:noWrap w:val="0"/>
                  <w:tcMar>
                    <w:top w:w="0" w:type="dxa"/>
                    <w:left w:w="51" w:type="dxa"/>
                    <w:bottom w:w="0" w:type="dxa"/>
                    <w:right w:w="51" w:type="dxa"/>
                  </w:tcMar>
                  <w:vAlign w:val="center"/>
                </w:tcPr>
                <w:p>
                  <w:pPr>
                    <w:jc w:val="center"/>
                    <w:rPr>
                      <w:rFonts w:hint="default"/>
                      <w:color w:val="FF0000"/>
                      <w:szCs w:val="21"/>
                      <w:lang w:val="en-US"/>
                    </w:rPr>
                  </w:pPr>
                  <w:r>
                    <w:rPr>
                      <w:rFonts w:hint="eastAsia" w:hAnsi="宋体"/>
                      <w:color w:val="000000"/>
                      <w:szCs w:val="21"/>
                      <w:lang w:eastAsia="zh-CN"/>
                    </w:rPr>
                    <w:t>位于</w:t>
                  </w:r>
                  <w:r>
                    <w:rPr>
                      <w:rFonts w:hint="eastAsia" w:hAnsi="宋体"/>
                      <w:color w:val="000000"/>
                      <w:szCs w:val="21"/>
                      <w:lang w:val="en-US" w:eastAsia="zh-CN"/>
                    </w:rPr>
                    <w:t>1#</w:t>
                  </w:r>
                  <w:r>
                    <w:rPr>
                      <w:rFonts w:hint="eastAsia" w:hAnsi="宋体"/>
                      <w:color w:val="000000"/>
                      <w:szCs w:val="21"/>
                      <w:lang w:eastAsia="zh-CN"/>
                    </w:rPr>
                    <w:t>厂房二层以及</w:t>
                  </w:r>
                  <w:r>
                    <w:rPr>
                      <w:rFonts w:hint="eastAsia" w:hAnsi="宋体"/>
                      <w:color w:val="000000"/>
                      <w:szCs w:val="21"/>
                      <w:lang w:val="en-US" w:eastAsia="zh-CN"/>
                    </w:rPr>
                    <w:t>2#厂房二层，用于原料及成品堆放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27" w:hRule="atLeast"/>
                <w:jc w:val="center"/>
              </w:trPr>
              <w:tc>
                <w:tcPr>
                  <w:tcW w:w="1060" w:type="dxa"/>
                  <w:vMerge w:val="continue"/>
                  <w:noWrap w:val="0"/>
                  <w:vAlign w:val="center"/>
                </w:tcPr>
                <w:p>
                  <w:pPr>
                    <w:ind w:hanging="69"/>
                    <w:jc w:val="center"/>
                    <w:rPr>
                      <w:color w:val="auto"/>
                      <w:szCs w:val="21"/>
                    </w:rPr>
                  </w:pPr>
                </w:p>
              </w:tc>
              <w:tc>
                <w:tcPr>
                  <w:tcW w:w="1462" w:type="dxa"/>
                  <w:noWrap w:val="0"/>
                  <w:vAlign w:val="center"/>
                </w:tcPr>
                <w:p>
                  <w:pPr>
                    <w:jc w:val="center"/>
                    <w:rPr>
                      <w:color w:val="auto"/>
                      <w:szCs w:val="21"/>
                    </w:rPr>
                  </w:pPr>
                  <w:r>
                    <w:rPr>
                      <w:rFonts w:hAnsi="宋体"/>
                      <w:color w:val="000000"/>
                      <w:szCs w:val="21"/>
                    </w:rPr>
                    <w:t>成品堆放区</w:t>
                  </w:r>
                </w:p>
              </w:tc>
              <w:tc>
                <w:tcPr>
                  <w:tcW w:w="5415" w:type="dxa"/>
                  <w:gridSpan w:val="2"/>
                  <w:vMerge w:val="continue"/>
                  <w:noWrap w:val="0"/>
                  <w:tcMar>
                    <w:top w:w="0" w:type="dxa"/>
                    <w:left w:w="51" w:type="dxa"/>
                    <w:bottom w:w="0" w:type="dxa"/>
                    <w:right w:w="51" w:type="dxa"/>
                  </w:tcMar>
                  <w:vAlign w:val="center"/>
                </w:tcPr>
                <w:p>
                  <w:pPr>
                    <w:jc w:val="center"/>
                    <w:rPr>
                      <w:rFonts w:hint="default"/>
                      <w:color w:val="FF0000"/>
                      <w:szCs w:val="21"/>
                      <w:lang w:val="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76" w:hRule="atLeast"/>
                <w:jc w:val="center"/>
              </w:trPr>
              <w:tc>
                <w:tcPr>
                  <w:tcW w:w="1060" w:type="dxa"/>
                  <w:vMerge w:val="restart"/>
                  <w:noWrap w:val="0"/>
                  <w:vAlign w:val="center"/>
                </w:tcPr>
                <w:p>
                  <w:pPr>
                    <w:ind w:hanging="69"/>
                    <w:jc w:val="center"/>
                    <w:rPr>
                      <w:color w:val="auto"/>
                      <w:szCs w:val="21"/>
                    </w:rPr>
                  </w:pPr>
                  <w:r>
                    <w:rPr>
                      <w:color w:val="auto"/>
                      <w:szCs w:val="21"/>
                    </w:rPr>
                    <w:t>环保工程</w:t>
                  </w:r>
                </w:p>
              </w:tc>
              <w:tc>
                <w:tcPr>
                  <w:tcW w:w="1462" w:type="dxa"/>
                  <w:noWrap w:val="0"/>
                  <w:tcMar>
                    <w:top w:w="0" w:type="dxa"/>
                    <w:left w:w="51" w:type="dxa"/>
                    <w:bottom w:w="0" w:type="dxa"/>
                    <w:right w:w="51" w:type="dxa"/>
                  </w:tcMar>
                  <w:vAlign w:val="center"/>
                </w:tcPr>
                <w:p>
                  <w:pPr>
                    <w:jc w:val="center"/>
                    <w:rPr>
                      <w:rFonts w:hint="eastAsia" w:ascii="Times New Roman" w:hAnsi="宋体" w:eastAsia="宋体" w:cs="Times New Roman"/>
                      <w:color w:val="000000"/>
                      <w:szCs w:val="21"/>
                      <w:lang w:val="en-US" w:eastAsia="zh-CN"/>
                    </w:rPr>
                  </w:pPr>
                  <w:r>
                    <w:rPr>
                      <w:rFonts w:hint="eastAsia" w:ascii="Times New Roman" w:hAnsi="宋体" w:eastAsia="宋体" w:cs="Times New Roman"/>
                      <w:color w:val="000000"/>
                      <w:szCs w:val="21"/>
                      <w:lang w:val="en-US" w:eastAsia="zh-CN"/>
                    </w:rPr>
                    <w:t>废气治理</w:t>
                  </w:r>
                </w:p>
              </w:tc>
              <w:tc>
                <w:tcPr>
                  <w:tcW w:w="5415" w:type="dxa"/>
                  <w:gridSpan w:val="2"/>
                  <w:noWrap w:val="0"/>
                  <w:tcMar>
                    <w:top w:w="0" w:type="dxa"/>
                    <w:left w:w="51" w:type="dxa"/>
                    <w:bottom w:w="0" w:type="dxa"/>
                    <w:right w:w="51" w:type="dxa"/>
                  </w:tcMar>
                  <w:vAlign w:val="center"/>
                </w:tcPr>
                <w:p>
                  <w:pPr>
                    <w:jc w:val="center"/>
                    <w:rPr>
                      <w:rFonts w:hint="default" w:ascii="Times New Roman" w:hAnsi="宋体" w:eastAsia="宋体" w:cs="Times New Roman"/>
                      <w:color w:val="000000"/>
                      <w:szCs w:val="21"/>
                      <w:lang w:val="en-US" w:eastAsia="zh-CN"/>
                    </w:rPr>
                  </w:pPr>
                  <w:r>
                    <w:rPr>
                      <w:rFonts w:hint="eastAsia" w:ascii="Times New Roman" w:hAnsi="Times New Roman" w:eastAsia="宋体" w:cs="Times New Roman"/>
                      <w:color w:val="auto"/>
                      <w:kern w:val="0"/>
                      <w:sz w:val="21"/>
                      <w:szCs w:val="21"/>
                      <w:lang w:val="en-US" w:eastAsia="zh-CN" w:bidi="ar-SA"/>
                    </w:rPr>
                    <w:t>注塑</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吹塑的加热段为全封闭，出料段采取集气罩局部收集</w:t>
                  </w:r>
                  <w:r>
                    <w:rPr>
                      <w:rFonts w:hint="eastAsia" w:ascii="Times New Roman" w:hAnsi="宋体" w:eastAsia="宋体" w:cs="Times New Roman"/>
                      <w:color w:val="000000"/>
                      <w:szCs w:val="21"/>
                      <w:lang w:val="en-US" w:eastAsia="zh-CN"/>
                    </w:rPr>
                    <w:t>后，引入二级活性炭吸附装置处理，尾气通过15m排气筒（DA001）排放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74" w:hRule="atLeast"/>
                <w:jc w:val="center"/>
              </w:trPr>
              <w:tc>
                <w:tcPr>
                  <w:tcW w:w="1060" w:type="dxa"/>
                  <w:vMerge w:val="continue"/>
                  <w:noWrap w:val="0"/>
                  <w:vAlign w:val="center"/>
                </w:tcPr>
                <w:p>
                  <w:pPr>
                    <w:widowControl/>
                    <w:jc w:val="center"/>
                    <w:rPr>
                      <w:color w:val="auto"/>
                      <w:szCs w:val="21"/>
                    </w:rPr>
                  </w:pPr>
                </w:p>
              </w:tc>
              <w:tc>
                <w:tcPr>
                  <w:tcW w:w="1462" w:type="dxa"/>
                  <w:noWrap w:val="0"/>
                  <w:tcMar>
                    <w:top w:w="0" w:type="dxa"/>
                    <w:left w:w="51" w:type="dxa"/>
                    <w:bottom w:w="0" w:type="dxa"/>
                    <w:right w:w="51" w:type="dxa"/>
                  </w:tcMar>
                  <w:vAlign w:val="center"/>
                </w:tcPr>
                <w:p>
                  <w:pPr>
                    <w:jc w:val="center"/>
                    <w:rPr>
                      <w:color w:val="auto"/>
                      <w:szCs w:val="21"/>
                    </w:rPr>
                  </w:pPr>
                  <w:r>
                    <w:rPr>
                      <w:color w:val="auto"/>
                      <w:szCs w:val="21"/>
                    </w:rPr>
                    <w:t>噪声治理</w:t>
                  </w:r>
                </w:p>
              </w:tc>
              <w:tc>
                <w:tcPr>
                  <w:tcW w:w="5415" w:type="dxa"/>
                  <w:gridSpan w:val="2"/>
                  <w:noWrap w:val="0"/>
                  <w:tcMar>
                    <w:top w:w="0" w:type="dxa"/>
                    <w:left w:w="51" w:type="dxa"/>
                    <w:bottom w:w="0" w:type="dxa"/>
                    <w:right w:w="51" w:type="dxa"/>
                  </w:tcMar>
                  <w:vAlign w:val="center"/>
                </w:tcPr>
                <w:p>
                  <w:pPr>
                    <w:jc w:val="center"/>
                    <w:rPr>
                      <w:rFonts w:hint="eastAsia" w:ascii="Times New Roman" w:hAnsi="宋体" w:eastAsia="宋体" w:cs="Times New Roman"/>
                      <w:color w:val="000000"/>
                      <w:szCs w:val="21"/>
                      <w:lang w:val="en-US" w:eastAsia="zh-CN"/>
                    </w:rPr>
                  </w:pPr>
                  <w:r>
                    <w:rPr>
                      <w:rFonts w:hint="eastAsia" w:ascii="Times New Roman" w:hAnsi="宋体" w:eastAsia="宋体" w:cs="Times New Roman"/>
                      <w:color w:val="000000"/>
                      <w:szCs w:val="21"/>
                      <w:lang w:val="en-US" w:eastAsia="zh-CN"/>
                    </w:rPr>
                    <w:t>采用车间隔声、设备消声、减振等措施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9" w:hRule="atLeast"/>
                <w:jc w:val="center"/>
              </w:trPr>
              <w:tc>
                <w:tcPr>
                  <w:tcW w:w="1060" w:type="dxa"/>
                  <w:vMerge w:val="continue"/>
                  <w:noWrap w:val="0"/>
                  <w:vAlign w:val="center"/>
                </w:tcPr>
                <w:p>
                  <w:pPr>
                    <w:widowControl/>
                    <w:jc w:val="center"/>
                    <w:rPr>
                      <w:color w:val="auto"/>
                      <w:szCs w:val="21"/>
                    </w:rPr>
                  </w:pPr>
                </w:p>
              </w:tc>
              <w:tc>
                <w:tcPr>
                  <w:tcW w:w="1462" w:type="dxa"/>
                  <w:noWrap w:val="0"/>
                  <w:tcMar>
                    <w:top w:w="0" w:type="dxa"/>
                    <w:left w:w="51" w:type="dxa"/>
                    <w:bottom w:w="0" w:type="dxa"/>
                    <w:right w:w="51" w:type="dxa"/>
                  </w:tcMar>
                  <w:vAlign w:val="center"/>
                </w:tcPr>
                <w:p>
                  <w:pPr>
                    <w:jc w:val="center"/>
                    <w:rPr>
                      <w:color w:val="auto"/>
                      <w:kern w:val="0"/>
                      <w:szCs w:val="21"/>
                    </w:rPr>
                  </w:pPr>
                  <w:r>
                    <w:rPr>
                      <w:color w:val="auto"/>
                      <w:kern w:val="0"/>
                      <w:szCs w:val="21"/>
                    </w:rPr>
                    <w:t>废水治理</w:t>
                  </w:r>
                </w:p>
              </w:tc>
              <w:tc>
                <w:tcPr>
                  <w:tcW w:w="5415" w:type="dxa"/>
                  <w:gridSpan w:val="2"/>
                  <w:noWrap w:val="0"/>
                  <w:tcMar>
                    <w:top w:w="0" w:type="dxa"/>
                    <w:left w:w="51" w:type="dxa"/>
                    <w:bottom w:w="0" w:type="dxa"/>
                    <w:right w:w="51" w:type="dxa"/>
                  </w:tcMar>
                  <w:vAlign w:val="center"/>
                </w:tcPr>
                <w:p>
                  <w:pPr>
                    <w:jc w:val="center"/>
                    <w:rPr>
                      <w:color w:val="auto"/>
                      <w:kern w:val="0"/>
                      <w:szCs w:val="21"/>
                    </w:rPr>
                  </w:pPr>
                  <w:r>
                    <w:rPr>
                      <w:rFonts w:hAnsi="宋体"/>
                      <w:color w:val="000000"/>
                      <w:szCs w:val="21"/>
                    </w:rPr>
                    <w:t>雨污分流，生活</w:t>
                  </w:r>
                  <w:r>
                    <w:rPr>
                      <w:rFonts w:hint="eastAsia" w:hAnsi="宋体"/>
                      <w:color w:val="000000"/>
                      <w:szCs w:val="21"/>
                      <w:lang w:eastAsia="zh-CN"/>
                    </w:rPr>
                    <w:t>污</w:t>
                  </w:r>
                  <w:r>
                    <w:rPr>
                      <w:rFonts w:hAnsi="宋体"/>
                      <w:color w:val="000000"/>
                      <w:szCs w:val="21"/>
                    </w:rPr>
                    <w:t>水</w:t>
                  </w:r>
                  <w:r>
                    <w:rPr>
                      <w:rFonts w:hint="eastAsia" w:hAnsi="宋体"/>
                      <w:color w:val="000000"/>
                      <w:szCs w:val="21"/>
                      <w:lang w:eastAsia="zh-CN"/>
                    </w:rPr>
                    <w:t>经</w:t>
                  </w:r>
                  <w:r>
                    <w:rPr>
                      <w:rFonts w:hAnsi="宋体"/>
                      <w:color w:val="000000"/>
                      <w:szCs w:val="21"/>
                    </w:rPr>
                    <w:t>化粪池</w:t>
                  </w:r>
                  <w:r>
                    <w:rPr>
                      <w:rFonts w:hint="eastAsia" w:hAnsi="宋体"/>
                      <w:color w:val="000000"/>
                      <w:szCs w:val="21"/>
                      <w:lang w:eastAsia="zh-CN"/>
                    </w:rPr>
                    <w:t>预</w:t>
                  </w:r>
                  <w:r>
                    <w:rPr>
                      <w:rFonts w:hAnsi="宋体"/>
                      <w:color w:val="000000"/>
                      <w:szCs w:val="21"/>
                    </w:rPr>
                    <w:t>处理后，</w:t>
                  </w:r>
                  <w:r>
                    <w:rPr>
                      <w:rFonts w:hint="eastAsia" w:hAnsi="宋体"/>
                      <w:color w:val="000000"/>
                      <w:szCs w:val="21"/>
                      <w:lang w:eastAsia="zh-CN"/>
                    </w:rPr>
                    <w:t>通过市政污水管网排</w:t>
                  </w:r>
                  <w:r>
                    <w:rPr>
                      <w:rFonts w:hAnsi="宋体"/>
                      <w:color w:val="000000"/>
                      <w:szCs w:val="21"/>
                    </w:rPr>
                    <w:t>入</w:t>
                  </w:r>
                  <w:r>
                    <w:rPr>
                      <w:rFonts w:hint="eastAsia" w:hAnsi="宋体"/>
                      <w:color w:val="000000"/>
                      <w:szCs w:val="21"/>
                      <w:lang w:eastAsia="zh-CN"/>
                    </w:rPr>
                    <w:t>舒城县经济</w:t>
                  </w:r>
                  <w:r>
                    <w:rPr>
                      <w:rFonts w:hAnsi="宋体"/>
                      <w:color w:val="000000"/>
                      <w:szCs w:val="21"/>
                    </w:rPr>
                    <w:t>开发区污水处理厂处理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continue"/>
                  <w:noWrap w:val="0"/>
                  <w:vAlign w:val="center"/>
                </w:tcPr>
                <w:p>
                  <w:pPr>
                    <w:widowControl/>
                    <w:jc w:val="center"/>
                    <w:rPr>
                      <w:color w:val="auto"/>
                      <w:szCs w:val="21"/>
                    </w:rPr>
                  </w:pPr>
                </w:p>
              </w:tc>
              <w:tc>
                <w:tcPr>
                  <w:tcW w:w="1462" w:type="dxa"/>
                  <w:vMerge w:val="restart"/>
                  <w:noWrap w:val="0"/>
                  <w:tcMar>
                    <w:top w:w="0" w:type="dxa"/>
                    <w:left w:w="51" w:type="dxa"/>
                    <w:bottom w:w="0" w:type="dxa"/>
                    <w:right w:w="51" w:type="dxa"/>
                  </w:tcMar>
                  <w:vAlign w:val="center"/>
                </w:tcPr>
                <w:p>
                  <w:pPr>
                    <w:jc w:val="center"/>
                    <w:rPr>
                      <w:color w:val="auto"/>
                      <w:szCs w:val="21"/>
                    </w:rPr>
                  </w:pPr>
                  <w:r>
                    <w:rPr>
                      <w:color w:val="auto"/>
                      <w:szCs w:val="21"/>
                    </w:rPr>
                    <w:t>固体废物</w:t>
                  </w:r>
                </w:p>
              </w:tc>
              <w:tc>
                <w:tcPr>
                  <w:tcW w:w="1148" w:type="dxa"/>
                  <w:noWrap w:val="0"/>
                  <w:tcMar>
                    <w:top w:w="0" w:type="dxa"/>
                    <w:left w:w="51" w:type="dxa"/>
                    <w:bottom w:w="0" w:type="dxa"/>
                    <w:right w:w="51" w:type="dxa"/>
                  </w:tcMar>
                  <w:vAlign w:val="center"/>
                </w:tcPr>
                <w:p>
                  <w:pPr>
                    <w:adjustRightInd w:val="0"/>
                    <w:snapToGrid w:val="0"/>
                    <w:jc w:val="center"/>
                    <w:rPr>
                      <w:color w:val="auto"/>
                      <w:kern w:val="0"/>
                      <w:szCs w:val="21"/>
                    </w:rPr>
                  </w:pPr>
                  <w:r>
                    <w:rPr>
                      <w:color w:val="000000"/>
                      <w:szCs w:val="21"/>
                    </w:rPr>
                    <w:t>一般固</w:t>
                  </w:r>
                  <w:r>
                    <w:rPr>
                      <w:rFonts w:hint="eastAsia"/>
                      <w:color w:val="000000"/>
                      <w:szCs w:val="21"/>
                      <w:lang w:eastAsia="zh-CN"/>
                    </w:rPr>
                    <w:t>废</w:t>
                  </w:r>
                </w:p>
              </w:tc>
              <w:tc>
                <w:tcPr>
                  <w:tcW w:w="4267" w:type="dxa"/>
                  <w:noWrap w:val="0"/>
                  <w:tcMar>
                    <w:top w:w="0" w:type="dxa"/>
                    <w:left w:w="51" w:type="dxa"/>
                    <w:bottom w:w="0" w:type="dxa"/>
                    <w:right w:w="51" w:type="dxa"/>
                  </w:tcMar>
                  <w:vAlign w:val="center"/>
                </w:tcPr>
                <w:p>
                  <w:pPr>
                    <w:adjustRightInd w:val="0"/>
                    <w:snapToGrid w:val="0"/>
                    <w:jc w:val="center"/>
                    <w:rPr>
                      <w:color w:val="auto"/>
                      <w:szCs w:val="21"/>
                    </w:rPr>
                  </w:pPr>
                  <w:r>
                    <w:rPr>
                      <w:szCs w:val="21"/>
                    </w:rPr>
                    <w:t>按照</w:t>
                  </w:r>
                  <w:r>
                    <w:rPr>
                      <w:rFonts w:hint="eastAsia"/>
                      <w:lang w:eastAsia="zh-CN"/>
                    </w:rPr>
                    <w:t>《一般工业固体废物贮存和填埋污染控制标准》（GB18599-2020）</w:t>
                  </w:r>
                  <w:r>
                    <w:rPr>
                      <w:rFonts w:hint="eastAsia"/>
                      <w:szCs w:val="21"/>
                      <w:lang w:eastAsia="zh-CN"/>
                    </w:rPr>
                    <w:t>相关要求建设</w:t>
                  </w:r>
                  <w:r>
                    <w:rPr>
                      <w:rFonts w:hint="eastAsia"/>
                      <w:bCs/>
                      <w:szCs w:val="21"/>
                    </w:rPr>
                    <w:t>一般固废暂存间</w:t>
                  </w:r>
                  <w:r>
                    <w:rPr>
                      <w:rFonts w:hint="eastAsia"/>
                      <w:bCs/>
                      <w:szCs w:val="21"/>
                      <w:lang w:val="en-US" w:eastAsia="zh-CN"/>
                    </w:rPr>
                    <w:t>10</w:t>
                  </w:r>
                  <w:r>
                    <w:rPr>
                      <w:rFonts w:hint="eastAsia"/>
                      <w:bCs/>
                      <w:szCs w:val="21"/>
                    </w:rPr>
                    <w:t>m</w:t>
                  </w:r>
                  <w:r>
                    <w:rPr>
                      <w:rFonts w:hint="eastAsia"/>
                      <w:bCs/>
                      <w:szCs w:val="21"/>
                      <w:vertAlign w:val="superscript"/>
                    </w:rPr>
                    <w:t>2</w:t>
                  </w:r>
                  <w:r>
                    <w:rPr>
                      <w:rFonts w:hint="eastAsia"/>
                      <w:bCs/>
                      <w:szCs w:val="21"/>
                    </w:rPr>
                    <w:t>，</w:t>
                  </w:r>
                  <w:r>
                    <w:rPr>
                      <w:rFonts w:hint="eastAsia"/>
                      <w:szCs w:val="21"/>
                    </w:rPr>
                    <w:t>暂存处具有防风、防雨、防渗功能，并粘贴标识牌。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 w:hRule="atLeast"/>
                <w:jc w:val="center"/>
              </w:trPr>
              <w:tc>
                <w:tcPr>
                  <w:tcW w:w="1060" w:type="dxa"/>
                  <w:vMerge w:val="continue"/>
                  <w:noWrap w:val="0"/>
                  <w:vAlign w:val="center"/>
                </w:tcPr>
                <w:p>
                  <w:pPr>
                    <w:widowControl/>
                    <w:jc w:val="center"/>
                    <w:rPr>
                      <w:color w:val="auto"/>
                      <w:szCs w:val="21"/>
                    </w:rPr>
                  </w:pPr>
                </w:p>
              </w:tc>
              <w:tc>
                <w:tcPr>
                  <w:tcW w:w="1462" w:type="dxa"/>
                  <w:vMerge w:val="continue"/>
                  <w:noWrap w:val="0"/>
                  <w:tcMar>
                    <w:top w:w="0" w:type="dxa"/>
                    <w:left w:w="51" w:type="dxa"/>
                    <w:bottom w:w="0" w:type="dxa"/>
                    <w:right w:w="51" w:type="dxa"/>
                  </w:tcMar>
                  <w:vAlign w:val="center"/>
                </w:tcPr>
                <w:p>
                  <w:pPr>
                    <w:jc w:val="center"/>
                    <w:rPr>
                      <w:color w:val="auto"/>
                      <w:szCs w:val="21"/>
                    </w:rPr>
                  </w:pPr>
                </w:p>
              </w:tc>
              <w:tc>
                <w:tcPr>
                  <w:tcW w:w="1148" w:type="dxa"/>
                  <w:noWrap w:val="0"/>
                  <w:tcMar>
                    <w:top w:w="0" w:type="dxa"/>
                    <w:left w:w="51" w:type="dxa"/>
                    <w:bottom w:w="0" w:type="dxa"/>
                    <w:right w:w="51" w:type="dxa"/>
                  </w:tcMar>
                  <w:vAlign w:val="center"/>
                </w:tcPr>
                <w:p>
                  <w:pPr>
                    <w:adjustRightInd w:val="0"/>
                    <w:snapToGrid w:val="0"/>
                    <w:jc w:val="center"/>
                    <w:rPr>
                      <w:rFonts w:hint="eastAsia" w:eastAsia="宋体"/>
                      <w:color w:val="000000"/>
                      <w:szCs w:val="21"/>
                      <w:lang w:eastAsia="zh-CN"/>
                    </w:rPr>
                  </w:pPr>
                  <w:r>
                    <w:rPr>
                      <w:rFonts w:hint="eastAsia"/>
                      <w:color w:val="000000"/>
                      <w:szCs w:val="21"/>
                      <w:lang w:eastAsia="zh-CN"/>
                    </w:rPr>
                    <w:t>危险废物</w:t>
                  </w:r>
                </w:p>
              </w:tc>
              <w:tc>
                <w:tcPr>
                  <w:tcW w:w="4267" w:type="dxa"/>
                  <w:noWrap w:val="0"/>
                  <w:tcMar>
                    <w:top w:w="0" w:type="dxa"/>
                    <w:left w:w="51" w:type="dxa"/>
                    <w:bottom w:w="0" w:type="dxa"/>
                    <w:right w:w="51" w:type="dxa"/>
                  </w:tcMar>
                  <w:vAlign w:val="center"/>
                </w:tcPr>
                <w:p>
                  <w:pPr>
                    <w:adjustRightInd w:val="0"/>
                    <w:snapToGrid w:val="0"/>
                    <w:jc w:val="both"/>
                    <w:rPr>
                      <w:rFonts w:hint="eastAsia" w:eastAsia="宋体"/>
                      <w:szCs w:val="21"/>
                      <w:lang w:eastAsia="zh-CN"/>
                    </w:rPr>
                  </w:pPr>
                  <w:r>
                    <w:rPr>
                      <w:szCs w:val="21"/>
                    </w:rPr>
                    <w:t>按照</w:t>
                  </w:r>
                  <w:r>
                    <w:rPr>
                      <w:rFonts w:hint="eastAsia"/>
                      <w:lang w:eastAsia="zh-CN"/>
                    </w:rPr>
                    <w:t>《危险废物贮存污染控制标准》（GB18597-2001）及环节保护部公告2013年第36号规定的修改单中</w:t>
                  </w:r>
                  <w:r>
                    <w:rPr>
                      <w:szCs w:val="21"/>
                    </w:rPr>
                    <w:t>相关要求建设危险废物暂存设施，面积</w:t>
                  </w:r>
                  <w:r>
                    <w:rPr>
                      <w:rFonts w:hint="eastAsia"/>
                      <w:szCs w:val="21"/>
                      <w:lang w:val="en-US" w:eastAsia="zh-CN"/>
                    </w:rPr>
                    <w:t>1</w:t>
                  </w:r>
                  <w:r>
                    <w:rPr>
                      <w:rFonts w:hint="eastAsia"/>
                      <w:szCs w:val="21"/>
                    </w:rPr>
                    <w:t>0</w:t>
                  </w:r>
                  <w:r>
                    <w:rPr>
                      <w:szCs w:val="21"/>
                    </w:rPr>
                    <w:t>m</w:t>
                  </w:r>
                  <w:r>
                    <w:rPr>
                      <w:szCs w:val="21"/>
                      <w:vertAlign w:val="superscript"/>
                    </w:rPr>
                    <w:t>2</w:t>
                  </w:r>
                  <w:r>
                    <w:rPr>
                      <w:szCs w:val="21"/>
                    </w:rPr>
                    <w:t>，设施外张贴标识牌，该设施内地面刷环氧树脂漆进行防渗，设施主要暂存</w:t>
                  </w:r>
                  <w:r>
                    <w:rPr>
                      <w:rFonts w:hint="eastAsia"/>
                      <w:szCs w:val="21"/>
                      <w:lang w:eastAsia="zh-CN"/>
                    </w:rPr>
                    <w:t>废活性炭、废机油等</w:t>
                  </w:r>
                  <w:r>
                    <w:rPr>
                      <w:szCs w:val="21"/>
                    </w:rPr>
                    <w:t>，存放设施处须张贴标识牌，明确废物种类、性质、重量及去向，制定危险废物管理台账</w:t>
                  </w:r>
                  <w:r>
                    <w:rPr>
                      <w:rFonts w:hint="eastAsia"/>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16" w:hRule="atLeast"/>
                <w:jc w:val="center"/>
              </w:trPr>
              <w:tc>
                <w:tcPr>
                  <w:tcW w:w="1060" w:type="dxa"/>
                  <w:vMerge w:val="continue"/>
                  <w:noWrap w:val="0"/>
                  <w:vAlign w:val="center"/>
                </w:tcPr>
                <w:p>
                  <w:pPr>
                    <w:jc w:val="center"/>
                    <w:rPr>
                      <w:color w:val="auto"/>
                      <w:szCs w:val="21"/>
                    </w:rPr>
                  </w:pPr>
                </w:p>
              </w:tc>
              <w:tc>
                <w:tcPr>
                  <w:tcW w:w="1462" w:type="dxa"/>
                  <w:vMerge w:val="continue"/>
                  <w:noWrap w:val="0"/>
                  <w:tcMar>
                    <w:top w:w="0" w:type="dxa"/>
                    <w:left w:w="51" w:type="dxa"/>
                    <w:bottom w:w="0" w:type="dxa"/>
                    <w:right w:w="51" w:type="dxa"/>
                  </w:tcMar>
                  <w:vAlign w:val="center"/>
                </w:tcPr>
                <w:p>
                  <w:pPr>
                    <w:jc w:val="center"/>
                    <w:rPr>
                      <w:color w:val="auto"/>
                      <w:szCs w:val="21"/>
                    </w:rPr>
                  </w:pPr>
                </w:p>
              </w:tc>
              <w:tc>
                <w:tcPr>
                  <w:tcW w:w="1148" w:type="dxa"/>
                  <w:noWrap w:val="0"/>
                  <w:tcMar>
                    <w:top w:w="0" w:type="dxa"/>
                    <w:left w:w="51" w:type="dxa"/>
                    <w:bottom w:w="0" w:type="dxa"/>
                    <w:right w:w="51" w:type="dxa"/>
                  </w:tcMar>
                  <w:vAlign w:val="center"/>
                </w:tcPr>
                <w:p>
                  <w:pPr>
                    <w:adjustRightInd w:val="0"/>
                    <w:snapToGrid w:val="0"/>
                    <w:jc w:val="center"/>
                    <w:rPr>
                      <w:color w:val="auto"/>
                      <w:szCs w:val="21"/>
                    </w:rPr>
                  </w:pPr>
                  <w:r>
                    <w:rPr>
                      <w:color w:val="auto"/>
                      <w:szCs w:val="21"/>
                    </w:rPr>
                    <w:t>生活垃圾</w:t>
                  </w:r>
                </w:p>
              </w:tc>
              <w:tc>
                <w:tcPr>
                  <w:tcW w:w="4267" w:type="dxa"/>
                  <w:noWrap w:val="0"/>
                  <w:tcMar>
                    <w:top w:w="0" w:type="dxa"/>
                    <w:left w:w="51" w:type="dxa"/>
                    <w:bottom w:w="0" w:type="dxa"/>
                    <w:right w:w="51" w:type="dxa"/>
                  </w:tcMar>
                  <w:vAlign w:val="center"/>
                </w:tcPr>
                <w:p>
                  <w:pPr>
                    <w:jc w:val="center"/>
                    <w:rPr>
                      <w:color w:val="auto"/>
                      <w:szCs w:val="21"/>
                    </w:rPr>
                  </w:pPr>
                  <w:r>
                    <w:rPr>
                      <w:color w:val="auto"/>
                      <w:szCs w:val="21"/>
                    </w:rPr>
                    <w:t>委托环卫部门定期清运</w:t>
                  </w:r>
                </w:p>
              </w:tc>
            </w:tr>
          </w:tbl>
          <w:p>
            <w:pPr>
              <w:spacing w:line="360" w:lineRule="auto"/>
              <w:ind w:firstLine="482" w:firstLineChars="200"/>
              <w:rPr>
                <w:b/>
                <w:bCs/>
                <w:color w:val="auto"/>
                <w:sz w:val="24"/>
              </w:rPr>
            </w:pPr>
            <w:r>
              <w:rPr>
                <w:rFonts w:hint="eastAsia"/>
                <w:b/>
                <w:bCs/>
                <w:color w:val="auto"/>
                <w:sz w:val="24"/>
                <w:lang w:eastAsia="zh-CN"/>
              </w:rPr>
              <w:t>（二）</w:t>
            </w:r>
            <w:r>
              <w:rPr>
                <w:b/>
                <w:bCs/>
                <w:color w:val="auto"/>
                <w:sz w:val="24"/>
              </w:rPr>
              <w:t>产品方案、生产规模</w:t>
            </w:r>
          </w:p>
          <w:p>
            <w:pPr>
              <w:pStyle w:val="25"/>
              <w:ind w:firstLine="480" w:firstLineChars="200"/>
              <w:rPr>
                <w:color w:val="auto"/>
                <w:kern w:val="2"/>
                <w:lang w:val="zh-CN"/>
              </w:rPr>
            </w:pPr>
            <w:r>
              <w:rPr>
                <w:color w:val="auto"/>
                <w:kern w:val="2"/>
                <w:lang w:val="zh-CN"/>
              </w:rPr>
              <w:t>本项目产品方案及生产规模详见下表。</w:t>
            </w:r>
          </w:p>
          <w:p>
            <w:pPr>
              <w:adjustRightInd w:val="0"/>
              <w:spacing w:before="120" w:beforeLines="50"/>
              <w:ind w:firstLine="482" w:firstLineChars="200"/>
              <w:jc w:val="center"/>
              <w:rPr>
                <w:b/>
                <w:bCs/>
                <w:color w:val="auto"/>
                <w:sz w:val="24"/>
              </w:rPr>
            </w:pPr>
            <w:r>
              <w:rPr>
                <w:b/>
                <w:bCs/>
                <w:color w:val="auto"/>
                <w:sz w:val="24"/>
              </w:rPr>
              <w:t>表2-2  项目产品方案表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118"/>
              <w:gridCol w:w="1312"/>
              <w:gridCol w:w="160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426" w:type="pct"/>
                  <w:noWrap w:val="0"/>
                  <w:vAlign w:val="center"/>
                </w:tcPr>
                <w:p>
                  <w:pPr>
                    <w:snapToGrid w:val="0"/>
                    <w:jc w:val="center"/>
                    <w:rPr>
                      <w:b/>
                      <w:bCs/>
                      <w:color w:val="auto"/>
                      <w:szCs w:val="21"/>
                    </w:rPr>
                  </w:pPr>
                  <w:r>
                    <w:rPr>
                      <w:b/>
                      <w:bCs/>
                      <w:color w:val="auto"/>
                      <w:szCs w:val="21"/>
                    </w:rPr>
                    <w:t>序号</w:t>
                  </w:r>
                </w:p>
              </w:tc>
              <w:tc>
                <w:tcPr>
                  <w:tcW w:w="1334" w:type="pct"/>
                  <w:noWrap w:val="0"/>
                  <w:vAlign w:val="center"/>
                </w:tcPr>
                <w:p>
                  <w:pPr>
                    <w:snapToGrid w:val="0"/>
                    <w:jc w:val="center"/>
                    <w:rPr>
                      <w:b/>
                      <w:bCs/>
                      <w:color w:val="auto"/>
                      <w:szCs w:val="21"/>
                      <w:vertAlign w:val="subscript"/>
                    </w:rPr>
                  </w:pPr>
                  <w:r>
                    <w:rPr>
                      <w:b/>
                      <w:bCs/>
                      <w:color w:val="auto"/>
                      <w:szCs w:val="21"/>
                    </w:rPr>
                    <w:t>产品名称</w:t>
                  </w:r>
                </w:p>
              </w:tc>
              <w:tc>
                <w:tcPr>
                  <w:tcW w:w="826" w:type="pct"/>
                  <w:noWrap w:val="0"/>
                  <w:vAlign w:val="center"/>
                </w:tcPr>
                <w:p>
                  <w:pPr>
                    <w:snapToGrid w:val="0"/>
                    <w:jc w:val="center"/>
                    <w:rPr>
                      <w:b/>
                      <w:bCs/>
                      <w:color w:val="auto"/>
                      <w:szCs w:val="21"/>
                    </w:rPr>
                  </w:pPr>
                  <w:r>
                    <w:rPr>
                      <w:b/>
                      <w:bCs/>
                      <w:color w:val="auto"/>
                      <w:szCs w:val="21"/>
                    </w:rPr>
                    <w:t>单位</w:t>
                  </w:r>
                </w:p>
              </w:tc>
              <w:tc>
                <w:tcPr>
                  <w:tcW w:w="1007" w:type="pct"/>
                  <w:noWrap w:val="0"/>
                  <w:vAlign w:val="center"/>
                </w:tcPr>
                <w:p>
                  <w:pPr>
                    <w:snapToGrid w:val="0"/>
                    <w:jc w:val="center"/>
                    <w:rPr>
                      <w:rFonts w:hint="eastAsia" w:eastAsia="宋体"/>
                      <w:b/>
                      <w:bCs/>
                      <w:color w:val="auto"/>
                      <w:szCs w:val="21"/>
                      <w:lang w:eastAsia="zh-CN"/>
                    </w:rPr>
                  </w:pPr>
                  <w:r>
                    <w:rPr>
                      <w:rFonts w:hint="eastAsia"/>
                      <w:b/>
                      <w:bCs/>
                      <w:color w:val="auto"/>
                      <w:szCs w:val="21"/>
                      <w:lang w:eastAsia="zh-CN"/>
                    </w:rPr>
                    <w:t>产量</w:t>
                  </w:r>
                </w:p>
              </w:tc>
              <w:tc>
                <w:tcPr>
                  <w:tcW w:w="1404" w:type="pct"/>
                  <w:noWrap w:val="0"/>
                  <w:vAlign w:val="center"/>
                </w:tcPr>
                <w:p>
                  <w:pPr>
                    <w:snapToGrid w:val="0"/>
                    <w:jc w:val="center"/>
                    <w:rPr>
                      <w:b/>
                      <w:bCs/>
                      <w:color w:val="auto"/>
                      <w:szCs w:val="21"/>
                    </w:rPr>
                  </w:pPr>
                  <w:r>
                    <w:rPr>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blHeader/>
                <w:jc w:val="center"/>
              </w:trPr>
              <w:tc>
                <w:tcPr>
                  <w:tcW w:w="426" w:type="pct"/>
                  <w:noWrap w:val="0"/>
                  <w:vAlign w:val="center"/>
                </w:tcPr>
                <w:p>
                  <w:pPr>
                    <w:snapToGrid w:val="0"/>
                    <w:jc w:val="center"/>
                    <w:rPr>
                      <w:bCs/>
                      <w:color w:val="auto"/>
                      <w:szCs w:val="21"/>
                    </w:rPr>
                  </w:pPr>
                  <w:r>
                    <w:rPr>
                      <w:bCs/>
                      <w:color w:val="auto"/>
                      <w:szCs w:val="21"/>
                    </w:rPr>
                    <w:t>1</w:t>
                  </w:r>
                </w:p>
              </w:tc>
              <w:tc>
                <w:tcPr>
                  <w:tcW w:w="1334" w:type="pct"/>
                  <w:noWrap w:val="0"/>
                  <w:vAlign w:val="center"/>
                </w:tcPr>
                <w:p>
                  <w:pPr>
                    <w:snapToGrid w:val="0"/>
                    <w:jc w:val="center"/>
                    <w:rPr>
                      <w:rFonts w:hint="default" w:eastAsia="宋体"/>
                      <w:bCs/>
                      <w:color w:val="auto"/>
                      <w:szCs w:val="21"/>
                      <w:lang w:val="en-US" w:eastAsia="zh-CN"/>
                    </w:rPr>
                  </w:pPr>
                  <w:r>
                    <w:rPr>
                      <w:rFonts w:hint="eastAsia"/>
                      <w:bCs/>
                      <w:color w:val="auto"/>
                      <w:szCs w:val="21"/>
                      <w:lang w:val="en-US" w:eastAsia="zh-CN"/>
                    </w:rPr>
                    <w:t xml:space="preserve">PET塑料瓶                                                                                                                                                                                                                                                                                                                                                                                                                                                                                                                                                                                                                                                                                                                                                                                                                                                                                                                                                                                                                                                                                                                                                                                                                                                                                                                                                                                                                                                                                                                                                                                                                                                                                                                                                                                                                                                                                                                                                                                                                                                                                                                                                                                                                                                                                                                                                                                             </w:t>
                  </w:r>
                </w:p>
              </w:tc>
              <w:tc>
                <w:tcPr>
                  <w:tcW w:w="826" w:type="pct"/>
                  <w:noWrap w:val="0"/>
                  <w:vAlign w:val="center"/>
                </w:tcPr>
                <w:p>
                  <w:pPr>
                    <w:snapToGrid w:val="0"/>
                    <w:jc w:val="center"/>
                    <w:rPr>
                      <w:rFonts w:hint="default"/>
                      <w:bCs/>
                      <w:color w:val="auto"/>
                      <w:szCs w:val="21"/>
                      <w:lang w:val="en-US"/>
                    </w:rPr>
                  </w:pPr>
                  <w:r>
                    <w:rPr>
                      <w:rFonts w:hint="default"/>
                      <w:bCs/>
                      <w:color w:val="auto"/>
                      <w:szCs w:val="21"/>
                      <w:lang w:val="en-US" w:eastAsia="zh-CN"/>
                    </w:rPr>
                    <w:t>t/a</w:t>
                  </w:r>
                </w:p>
              </w:tc>
              <w:tc>
                <w:tcPr>
                  <w:tcW w:w="1007" w:type="pct"/>
                  <w:noWrap w:val="0"/>
                  <w:vAlign w:val="center"/>
                </w:tcPr>
                <w:p>
                  <w:pPr>
                    <w:snapToGrid w:val="0"/>
                    <w:jc w:val="center"/>
                    <w:rPr>
                      <w:rFonts w:hint="default" w:eastAsia="宋体"/>
                      <w:bCs/>
                      <w:color w:val="auto"/>
                      <w:szCs w:val="21"/>
                      <w:lang w:val="en-US" w:eastAsia="zh-CN"/>
                    </w:rPr>
                  </w:pPr>
                  <w:r>
                    <w:rPr>
                      <w:rFonts w:hint="eastAsia"/>
                      <w:bCs/>
                      <w:color w:val="auto"/>
                      <w:szCs w:val="21"/>
                      <w:lang w:val="en-US" w:eastAsia="zh-CN"/>
                    </w:rPr>
                    <w:t>1200</w:t>
                  </w:r>
                </w:p>
              </w:tc>
              <w:tc>
                <w:tcPr>
                  <w:tcW w:w="1404" w:type="pct"/>
                  <w:noWrap w:val="0"/>
                  <w:vAlign w:val="center"/>
                </w:tcPr>
                <w:p>
                  <w:pPr>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blHeader/>
                <w:jc w:val="center"/>
              </w:trPr>
              <w:tc>
                <w:tcPr>
                  <w:tcW w:w="426" w:type="pct"/>
                  <w:noWrap w:val="0"/>
                  <w:vAlign w:val="center"/>
                </w:tcPr>
                <w:p>
                  <w:pPr>
                    <w:snapToGrid w:val="0"/>
                    <w:jc w:val="center"/>
                    <w:rPr>
                      <w:bCs/>
                      <w:color w:val="auto"/>
                      <w:szCs w:val="21"/>
                    </w:rPr>
                  </w:pPr>
                  <w:r>
                    <w:rPr>
                      <w:bCs/>
                      <w:color w:val="auto"/>
                      <w:szCs w:val="21"/>
                    </w:rPr>
                    <w:t>2</w:t>
                  </w:r>
                </w:p>
              </w:tc>
              <w:tc>
                <w:tcPr>
                  <w:tcW w:w="1334" w:type="pct"/>
                  <w:noWrap w:val="0"/>
                  <w:vAlign w:val="center"/>
                </w:tcPr>
                <w:p>
                  <w:pPr>
                    <w:snapToGrid w:val="0"/>
                    <w:jc w:val="center"/>
                    <w:rPr>
                      <w:rFonts w:hint="default" w:eastAsia="宋体"/>
                      <w:bCs/>
                      <w:color w:val="auto"/>
                      <w:szCs w:val="21"/>
                      <w:lang w:val="en-US" w:eastAsia="zh-CN"/>
                    </w:rPr>
                  </w:pPr>
                  <w:r>
                    <w:rPr>
                      <w:rFonts w:hint="default"/>
                      <w:bCs/>
                      <w:color w:val="auto"/>
                      <w:szCs w:val="21"/>
                      <w:lang w:val="en-US" w:eastAsia="zh-CN"/>
                    </w:rPr>
                    <w:t>HDPE塑料瓶</w:t>
                  </w:r>
                </w:p>
              </w:tc>
              <w:tc>
                <w:tcPr>
                  <w:tcW w:w="826" w:type="pct"/>
                  <w:noWrap w:val="0"/>
                  <w:vAlign w:val="center"/>
                </w:tcPr>
                <w:p>
                  <w:pPr>
                    <w:snapToGrid w:val="0"/>
                    <w:jc w:val="center"/>
                    <w:rPr>
                      <w:rFonts w:hint="default" w:eastAsia="宋体"/>
                      <w:bCs/>
                      <w:color w:val="auto"/>
                      <w:szCs w:val="21"/>
                      <w:lang w:val="en-US" w:eastAsia="zh-CN"/>
                    </w:rPr>
                  </w:pPr>
                  <w:r>
                    <w:rPr>
                      <w:rFonts w:hint="default"/>
                      <w:bCs/>
                      <w:color w:val="auto"/>
                      <w:szCs w:val="21"/>
                      <w:lang w:val="en-US" w:eastAsia="zh-CN"/>
                    </w:rPr>
                    <w:t>t/a</w:t>
                  </w:r>
                </w:p>
              </w:tc>
              <w:tc>
                <w:tcPr>
                  <w:tcW w:w="1007" w:type="pct"/>
                  <w:noWrap w:val="0"/>
                  <w:vAlign w:val="center"/>
                </w:tcPr>
                <w:p>
                  <w:pPr>
                    <w:snapToGrid w:val="0"/>
                    <w:jc w:val="center"/>
                    <w:rPr>
                      <w:rFonts w:hint="default" w:eastAsia="宋体"/>
                      <w:bCs/>
                      <w:color w:val="auto"/>
                      <w:szCs w:val="21"/>
                      <w:lang w:val="en-US" w:eastAsia="zh-CN"/>
                    </w:rPr>
                  </w:pPr>
                  <w:r>
                    <w:rPr>
                      <w:rFonts w:hint="default"/>
                      <w:bCs/>
                      <w:color w:val="auto"/>
                      <w:szCs w:val="21"/>
                      <w:lang w:val="en-US" w:eastAsia="zh-CN"/>
                    </w:rPr>
                    <w:t>800</w:t>
                  </w:r>
                </w:p>
              </w:tc>
              <w:tc>
                <w:tcPr>
                  <w:tcW w:w="1404" w:type="pct"/>
                  <w:noWrap w:val="0"/>
                  <w:vAlign w:val="center"/>
                </w:tcPr>
                <w:p>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w:t>
                  </w:r>
                </w:p>
              </w:tc>
            </w:tr>
          </w:tbl>
          <w:p>
            <w:pPr>
              <w:pStyle w:val="25"/>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textAlignment w:val="auto"/>
              <w:rPr>
                <w:rFonts w:hint="eastAsia"/>
                <w:b/>
                <w:bCs/>
                <w:color w:val="auto"/>
                <w:sz w:val="24"/>
              </w:rPr>
            </w:pPr>
            <w:r>
              <w:rPr>
                <w:rFonts w:hint="eastAsia"/>
                <w:b/>
                <w:bCs/>
                <w:color w:val="auto"/>
                <w:sz w:val="24"/>
                <w:lang w:eastAsia="zh-CN"/>
              </w:rPr>
              <w:t>（三）</w:t>
            </w:r>
            <w:r>
              <w:rPr>
                <w:b/>
                <w:bCs/>
                <w:color w:val="auto"/>
                <w:sz w:val="24"/>
              </w:rPr>
              <w:t>主要</w:t>
            </w:r>
            <w:r>
              <w:rPr>
                <w:rFonts w:hint="eastAsia"/>
                <w:b/>
                <w:bCs/>
                <w:color w:val="auto"/>
                <w:sz w:val="24"/>
              </w:rPr>
              <w:t>生产单元、工艺及生产设施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项目主要</w:t>
            </w:r>
            <w:r>
              <w:rPr>
                <w:rFonts w:hint="eastAsia"/>
                <w:color w:val="auto"/>
                <w:sz w:val="24"/>
              </w:rPr>
              <w:t>生产单元、主要工艺及主要生产设施</w:t>
            </w:r>
            <w:r>
              <w:rPr>
                <w:color w:val="auto"/>
                <w:sz w:val="24"/>
              </w:rPr>
              <w:t>详见下表。</w:t>
            </w:r>
          </w:p>
          <w:p>
            <w:pPr>
              <w:spacing w:line="360" w:lineRule="auto"/>
              <w:ind w:firstLine="482" w:firstLineChars="200"/>
              <w:jc w:val="center"/>
              <w:rPr>
                <w:b/>
                <w:bCs/>
                <w:color w:val="auto"/>
                <w:sz w:val="24"/>
              </w:rPr>
            </w:pPr>
            <w:r>
              <w:rPr>
                <w:b/>
                <w:bCs/>
                <w:color w:val="auto"/>
                <w:sz w:val="24"/>
              </w:rPr>
              <w:t>表2-3  建设项目</w:t>
            </w:r>
            <w:r>
              <w:rPr>
                <w:rFonts w:hint="eastAsia"/>
                <w:b/>
                <w:bCs/>
                <w:color w:val="auto"/>
                <w:sz w:val="24"/>
              </w:rPr>
              <w:t>生产单元、工艺及生产设施</w:t>
            </w:r>
            <w:r>
              <w:rPr>
                <w:b/>
                <w:bCs/>
                <w:color w:val="auto"/>
                <w:sz w:val="24"/>
              </w:rPr>
              <w:t>一览表</w:t>
            </w:r>
          </w:p>
          <w:tbl>
            <w:tblPr>
              <w:tblStyle w:val="19"/>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6"/>
              <w:gridCol w:w="1062"/>
              <w:gridCol w:w="1288"/>
              <w:gridCol w:w="2339"/>
              <w:gridCol w:w="1616"/>
              <w:gridCol w:w="601"/>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3" w:type="pct"/>
                  <w:noWrap/>
                  <w:tcMar>
                    <w:top w:w="15" w:type="dxa"/>
                    <w:left w:w="15" w:type="dxa"/>
                    <w:right w:w="15" w:type="dxa"/>
                  </w:tcMar>
                  <w:vAlign w:val="center"/>
                </w:tcPr>
                <w:p>
                  <w:pPr>
                    <w:widowControl/>
                    <w:jc w:val="center"/>
                    <w:textAlignment w:val="center"/>
                    <w:rPr>
                      <w:b/>
                      <w:bCs/>
                      <w:color w:val="auto"/>
                      <w:szCs w:val="21"/>
                    </w:rPr>
                  </w:pPr>
                  <w:r>
                    <w:rPr>
                      <w:b/>
                      <w:bCs/>
                      <w:color w:val="auto"/>
                      <w:kern w:val="0"/>
                      <w:szCs w:val="21"/>
                      <w:lang w:bidi="ar"/>
                    </w:rPr>
                    <w:t>序号</w:t>
                  </w:r>
                </w:p>
              </w:tc>
              <w:tc>
                <w:tcPr>
                  <w:tcW w:w="668" w:type="pct"/>
                  <w:noWrap/>
                  <w:tcMar>
                    <w:top w:w="15" w:type="dxa"/>
                    <w:left w:w="15" w:type="dxa"/>
                    <w:right w:w="15" w:type="dxa"/>
                  </w:tcMar>
                  <w:vAlign w:val="center"/>
                </w:tcPr>
                <w:p>
                  <w:pPr>
                    <w:widowControl/>
                    <w:jc w:val="center"/>
                    <w:textAlignment w:val="center"/>
                    <w:rPr>
                      <w:b/>
                      <w:bCs/>
                      <w:color w:val="auto"/>
                      <w:kern w:val="0"/>
                      <w:szCs w:val="21"/>
                      <w:lang w:bidi="ar"/>
                    </w:rPr>
                  </w:pPr>
                  <w:r>
                    <w:rPr>
                      <w:rFonts w:hint="eastAsia"/>
                      <w:b/>
                      <w:bCs/>
                      <w:color w:val="auto"/>
                      <w:kern w:val="0"/>
                      <w:szCs w:val="21"/>
                      <w:lang w:bidi="ar"/>
                    </w:rPr>
                    <w:t>主要生产单元</w:t>
                  </w:r>
                </w:p>
              </w:tc>
              <w:tc>
                <w:tcPr>
                  <w:tcW w:w="810" w:type="pct"/>
                  <w:noWrap/>
                  <w:tcMar>
                    <w:top w:w="15" w:type="dxa"/>
                    <w:left w:w="15" w:type="dxa"/>
                    <w:right w:w="15" w:type="dxa"/>
                  </w:tcMar>
                  <w:vAlign w:val="center"/>
                </w:tcPr>
                <w:p>
                  <w:pPr>
                    <w:widowControl/>
                    <w:jc w:val="center"/>
                    <w:textAlignment w:val="center"/>
                    <w:rPr>
                      <w:rFonts w:hint="eastAsia"/>
                      <w:b/>
                      <w:bCs/>
                      <w:color w:val="auto"/>
                      <w:kern w:val="0"/>
                      <w:szCs w:val="21"/>
                      <w:lang w:bidi="ar"/>
                    </w:rPr>
                  </w:pPr>
                  <w:r>
                    <w:rPr>
                      <w:rFonts w:hint="eastAsia"/>
                      <w:b/>
                      <w:bCs/>
                      <w:color w:val="auto"/>
                      <w:kern w:val="0"/>
                      <w:szCs w:val="21"/>
                      <w:lang w:bidi="ar"/>
                    </w:rPr>
                    <w:t>主要工艺</w:t>
                  </w:r>
                </w:p>
              </w:tc>
              <w:tc>
                <w:tcPr>
                  <w:tcW w:w="1471" w:type="pct"/>
                  <w:noWrap/>
                  <w:tcMar>
                    <w:top w:w="15" w:type="dxa"/>
                    <w:left w:w="15" w:type="dxa"/>
                    <w:right w:w="15" w:type="dxa"/>
                  </w:tcMar>
                  <w:vAlign w:val="center"/>
                </w:tcPr>
                <w:p>
                  <w:pPr>
                    <w:widowControl/>
                    <w:jc w:val="center"/>
                    <w:textAlignment w:val="center"/>
                    <w:rPr>
                      <w:b/>
                      <w:bCs/>
                      <w:color w:val="auto"/>
                      <w:szCs w:val="21"/>
                    </w:rPr>
                  </w:pPr>
                  <w:r>
                    <w:rPr>
                      <w:rFonts w:hint="eastAsia"/>
                      <w:b/>
                      <w:bCs/>
                      <w:color w:val="auto"/>
                      <w:kern w:val="0"/>
                      <w:szCs w:val="21"/>
                      <w:lang w:bidi="ar"/>
                    </w:rPr>
                    <w:t>主要生产设施</w:t>
                  </w:r>
                </w:p>
              </w:tc>
              <w:tc>
                <w:tcPr>
                  <w:tcW w:w="1016" w:type="pct"/>
                  <w:noWrap/>
                  <w:tcMar>
                    <w:top w:w="15" w:type="dxa"/>
                    <w:left w:w="15" w:type="dxa"/>
                    <w:right w:w="15" w:type="dxa"/>
                  </w:tcMar>
                  <w:vAlign w:val="center"/>
                </w:tcPr>
                <w:p>
                  <w:pPr>
                    <w:widowControl/>
                    <w:jc w:val="center"/>
                    <w:textAlignment w:val="center"/>
                    <w:rPr>
                      <w:b/>
                      <w:bCs/>
                      <w:color w:val="auto"/>
                      <w:szCs w:val="21"/>
                    </w:rPr>
                  </w:pPr>
                  <w:r>
                    <w:rPr>
                      <w:b/>
                      <w:bCs/>
                      <w:color w:val="auto"/>
                      <w:kern w:val="0"/>
                      <w:szCs w:val="21"/>
                      <w:lang w:bidi="ar"/>
                    </w:rPr>
                    <w:t>规格型号</w:t>
                  </w:r>
                </w:p>
              </w:tc>
              <w:tc>
                <w:tcPr>
                  <w:tcW w:w="378" w:type="pct"/>
                  <w:noWrap/>
                  <w:tcMar>
                    <w:top w:w="15" w:type="dxa"/>
                    <w:left w:w="15" w:type="dxa"/>
                    <w:right w:w="15" w:type="dxa"/>
                  </w:tcMar>
                  <w:vAlign w:val="center"/>
                </w:tcPr>
                <w:p>
                  <w:pPr>
                    <w:widowControl/>
                    <w:jc w:val="center"/>
                    <w:textAlignment w:val="center"/>
                    <w:rPr>
                      <w:b/>
                      <w:bCs/>
                      <w:color w:val="auto"/>
                      <w:szCs w:val="21"/>
                    </w:rPr>
                  </w:pPr>
                  <w:r>
                    <w:rPr>
                      <w:b/>
                      <w:bCs/>
                      <w:color w:val="auto"/>
                      <w:kern w:val="0"/>
                      <w:szCs w:val="21"/>
                      <w:lang w:bidi="ar"/>
                    </w:rPr>
                    <w:t>单位</w:t>
                  </w:r>
                </w:p>
              </w:tc>
              <w:tc>
                <w:tcPr>
                  <w:tcW w:w="361" w:type="pct"/>
                  <w:noWrap/>
                  <w:tcMar>
                    <w:top w:w="15" w:type="dxa"/>
                    <w:left w:w="15" w:type="dxa"/>
                    <w:right w:w="15" w:type="dxa"/>
                  </w:tcMar>
                  <w:vAlign w:val="center"/>
                </w:tcPr>
                <w:p>
                  <w:pPr>
                    <w:widowControl/>
                    <w:jc w:val="center"/>
                    <w:textAlignment w:val="center"/>
                    <w:rPr>
                      <w:b/>
                      <w:bCs/>
                      <w:color w:val="auto"/>
                      <w:szCs w:val="21"/>
                    </w:rPr>
                  </w:pPr>
                  <w:r>
                    <w:rPr>
                      <w:b/>
                      <w:bCs/>
                      <w:color w:val="auto"/>
                      <w:kern w:val="0"/>
                      <w:szCs w:val="21"/>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3" w:type="pct"/>
                  <w:noWrap/>
                  <w:tcMar>
                    <w:top w:w="15" w:type="dxa"/>
                    <w:left w:w="15" w:type="dxa"/>
                    <w:right w:w="15" w:type="dxa"/>
                  </w:tcMar>
                  <w:vAlign w:val="center"/>
                </w:tcPr>
                <w:p>
                  <w:pPr>
                    <w:widowControl/>
                    <w:jc w:val="center"/>
                    <w:textAlignment w:val="center"/>
                    <w:rPr>
                      <w:color w:val="auto"/>
                      <w:szCs w:val="21"/>
                    </w:rPr>
                  </w:pPr>
                  <w:r>
                    <w:rPr>
                      <w:color w:val="auto"/>
                      <w:kern w:val="0"/>
                      <w:szCs w:val="21"/>
                      <w:lang w:bidi="ar"/>
                    </w:rPr>
                    <w:t>1</w:t>
                  </w:r>
                </w:p>
              </w:tc>
              <w:tc>
                <w:tcPr>
                  <w:tcW w:w="668" w:type="pct"/>
                  <w:vMerge w:val="restar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塑料瓶生产</w:t>
                  </w:r>
                </w:p>
              </w:tc>
              <w:tc>
                <w:tcPr>
                  <w:tcW w:w="810" w:type="pct"/>
                  <w:noWrap/>
                  <w:tcMar>
                    <w:top w:w="15" w:type="dxa"/>
                    <w:left w:w="15" w:type="dxa"/>
                    <w:right w:w="15" w:type="dxa"/>
                  </w:tcMar>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eastAsia="zh-CN" w:bidi="ar"/>
                    </w:rPr>
                    <w:t>注塑</w:t>
                  </w:r>
                </w:p>
              </w:tc>
              <w:tc>
                <w:tcPr>
                  <w:tcW w:w="1471" w:type="pct"/>
                  <w:noWrap/>
                  <w:tcMar>
                    <w:top w:w="15" w:type="dxa"/>
                    <w:left w:w="15" w:type="dxa"/>
                    <w:right w:w="15" w:type="dxa"/>
                  </w:tcMar>
                  <w:vAlign w:val="center"/>
                </w:tcPr>
                <w:p>
                  <w:pPr>
                    <w:widowControl/>
                    <w:jc w:val="center"/>
                    <w:textAlignment w:val="center"/>
                    <w:rPr>
                      <w:color w:val="auto"/>
                      <w:szCs w:val="21"/>
                    </w:rPr>
                  </w:pPr>
                  <w:r>
                    <w:rPr>
                      <w:rFonts w:hint="eastAsia"/>
                      <w:color w:val="auto"/>
                      <w:kern w:val="0"/>
                      <w:szCs w:val="21"/>
                      <w:lang w:eastAsia="zh-CN" w:bidi="ar"/>
                    </w:rPr>
                    <w:t>注塑</w:t>
                  </w:r>
                  <w:r>
                    <w:rPr>
                      <w:color w:val="auto"/>
                      <w:kern w:val="0"/>
                      <w:szCs w:val="21"/>
                      <w:lang w:bidi="ar"/>
                    </w:rPr>
                    <w:t>机</w:t>
                  </w:r>
                </w:p>
              </w:tc>
              <w:tc>
                <w:tcPr>
                  <w:tcW w:w="1016" w:type="pct"/>
                  <w:noWrap/>
                  <w:tcMar>
                    <w:top w:w="15" w:type="dxa"/>
                    <w:left w:w="15" w:type="dxa"/>
                    <w:right w:w="15" w:type="dxa"/>
                  </w:tcMar>
                  <w:vAlign w:val="center"/>
                </w:tcPr>
                <w:p>
                  <w:pPr>
                    <w:widowControl/>
                    <w:jc w:val="center"/>
                    <w:textAlignment w:val="center"/>
                    <w:rPr>
                      <w:color w:val="auto"/>
                      <w:szCs w:val="21"/>
                    </w:rPr>
                  </w:pPr>
                  <w:r>
                    <w:rPr>
                      <w:rFonts w:hint="eastAsia"/>
                      <w:color w:val="auto"/>
                      <w:kern w:val="0"/>
                      <w:szCs w:val="21"/>
                      <w:lang w:val="en-US" w:eastAsia="zh-CN" w:bidi="ar"/>
                    </w:rPr>
                    <w:t>/</w:t>
                  </w:r>
                </w:p>
              </w:tc>
              <w:tc>
                <w:tcPr>
                  <w:tcW w:w="378" w:type="pct"/>
                  <w:noWrap/>
                  <w:tcMar>
                    <w:top w:w="15" w:type="dxa"/>
                    <w:left w:w="15" w:type="dxa"/>
                    <w:right w:w="15" w:type="dxa"/>
                  </w:tcMar>
                  <w:vAlign w:val="center"/>
                </w:tcPr>
                <w:p>
                  <w:pPr>
                    <w:widowControl/>
                    <w:jc w:val="center"/>
                    <w:textAlignment w:val="center"/>
                    <w:rPr>
                      <w:color w:val="auto"/>
                      <w:szCs w:val="21"/>
                    </w:rPr>
                  </w:pPr>
                  <w:r>
                    <w:rPr>
                      <w:color w:val="auto"/>
                      <w:kern w:val="0"/>
                      <w:szCs w:val="21"/>
                      <w:lang w:bidi="ar"/>
                    </w:rPr>
                    <w:t>台</w:t>
                  </w:r>
                </w:p>
              </w:tc>
              <w:tc>
                <w:tcPr>
                  <w:tcW w:w="361" w:type="pct"/>
                  <w:noWrap/>
                  <w:tcMar>
                    <w:top w:w="15" w:type="dxa"/>
                    <w:left w:w="15" w:type="dxa"/>
                    <w:right w:w="15"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93" w:type="pct"/>
                  <w:noWrap/>
                  <w:tcMar>
                    <w:top w:w="15" w:type="dxa"/>
                    <w:left w:w="15" w:type="dxa"/>
                    <w:right w:w="15" w:type="dxa"/>
                  </w:tcMar>
                  <w:vAlign w:val="center"/>
                </w:tcPr>
                <w:p>
                  <w:pPr>
                    <w:widowControl/>
                    <w:jc w:val="center"/>
                    <w:textAlignment w:val="center"/>
                    <w:rPr>
                      <w:color w:val="auto"/>
                      <w:szCs w:val="21"/>
                    </w:rPr>
                  </w:pPr>
                  <w:r>
                    <w:rPr>
                      <w:color w:val="auto"/>
                      <w:kern w:val="0"/>
                      <w:szCs w:val="21"/>
                      <w:lang w:bidi="ar"/>
                    </w:rPr>
                    <w:t>2</w:t>
                  </w:r>
                </w:p>
              </w:tc>
              <w:tc>
                <w:tcPr>
                  <w:tcW w:w="668" w:type="pct"/>
                  <w:vMerge w:val="continue"/>
                  <w:noWrap/>
                  <w:tcMar>
                    <w:top w:w="15" w:type="dxa"/>
                    <w:left w:w="15" w:type="dxa"/>
                    <w:right w:w="15" w:type="dxa"/>
                  </w:tcMar>
                  <w:vAlign w:val="center"/>
                </w:tcPr>
                <w:p>
                  <w:pPr>
                    <w:widowControl/>
                    <w:jc w:val="center"/>
                    <w:textAlignment w:val="center"/>
                    <w:rPr>
                      <w:color w:val="auto"/>
                      <w:kern w:val="0"/>
                      <w:szCs w:val="21"/>
                      <w:lang w:bidi="ar"/>
                    </w:rPr>
                  </w:pPr>
                </w:p>
              </w:tc>
              <w:tc>
                <w:tcPr>
                  <w:tcW w:w="810"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吹塑</w:t>
                  </w:r>
                </w:p>
              </w:tc>
              <w:tc>
                <w:tcPr>
                  <w:tcW w:w="1471" w:type="pct"/>
                  <w:noWrap/>
                  <w:tcMar>
                    <w:top w:w="15" w:type="dxa"/>
                    <w:left w:w="15" w:type="dxa"/>
                    <w:right w:w="15" w:type="dxa"/>
                  </w:tcMar>
                  <w:vAlign w:val="center"/>
                </w:tcPr>
                <w:p>
                  <w:pPr>
                    <w:widowControl/>
                    <w:jc w:val="center"/>
                    <w:textAlignment w:val="center"/>
                    <w:rPr>
                      <w:rFonts w:hint="eastAsia" w:eastAsia="宋体"/>
                      <w:color w:val="auto"/>
                      <w:szCs w:val="21"/>
                      <w:lang w:eastAsia="zh-CN"/>
                    </w:rPr>
                  </w:pPr>
                  <w:r>
                    <w:rPr>
                      <w:rFonts w:hint="eastAsia"/>
                      <w:color w:val="auto"/>
                      <w:kern w:val="0"/>
                      <w:szCs w:val="21"/>
                      <w:lang w:eastAsia="zh-CN" w:bidi="ar"/>
                    </w:rPr>
                    <w:t>吹塑机</w:t>
                  </w:r>
                </w:p>
              </w:tc>
              <w:tc>
                <w:tcPr>
                  <w:tcW w:w="1016" w:type="pct"/>
                  <w:noWrap/>
                  <w:tcMar>
                    <w:top w:w="15" w:type="dxa"/>
                    <w:left w:w="15" w:type="dxa"/>
                    <w:right w:w="15" w:type="dxa"/>
                  </w:tcMar>
                  <w:vAlign w:val="center"/>
                </w:tcPr>
                <w:p>
                  <w:pPr>
                    <w:widowControl/>
                    <w:jc w:val="center"/>
                    <w:textAlignment w:val="center"/>
                    <w:rPr>
                      <w:color w:val="auto"/>
                      <w:szCs w:val="21"/>
                    </w:rPr>
                  </w:pPr>
                  <w:r>
                    <w:rPr>
                      <w:rFonts w:hint="eastAsia"/>
                      <w:color w:val="auto"/>
                      <w:kern w:val="0"/>
                      <w:szCs w:val="21"/>
                      <w:lang w:val="en-US" w:eastAsia="zh-CN" w:bidi="ar"/>
                    </w:rPr>
                    <w:t>/</w:t>
                  </w:r>
                </w:p>
              </w:tc>
              <w:tc>
                <w:tcPr>
                  <w:tcW w:w="378" w:type="pct"/>
                  <w:noWrap/>
                  <w:tcMar>
                    <w:top w:w="15" w:type="dxa"/>
                    <w:left w:w="15" w:type="dxa"/>
                    <w:right w:w="15" w:type="dxa"/>
                  </w:tcMar>
                  <w:vAlign w:val="center"/>
                </w:tcPr>
                <w:p>
                  <w:pPr>
                    <w:widowControl/>
                    <w:jc w:val="center"/>
                    <w:textAlignment w:val="center"/>
                    <w:rPr>
                      <w:color w:val="auto"/>
                      <w:szCs w:val="21"/>
                    </w:rPr>
                  </w:pPr>
                  <w:r>
                    <w:rPr>
                      <w:color w:val="auto"/>
                      <w:kern w:val="0"/>
                      <w:szCs w:val="21"/>
                      <w:lang w:bidi="ar"/>
                    </w:rPr>
                    <w:t>台</w:t>
                  </w:r>
                </w:p>
              </w:tc>
              <w:tc>
                <w:tcPr>
                  <w:tcW w:w="361" w:type="pct"/>
                  <w:noWrap/>
                  <w:tcMar>
                    <w:top w:w="15" w:type="dxa"/>
                    <w:left w:w="15" w:type="dxa"/>
                    <w:right w:w="15"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3" w:type="pct"/>
                  <w:noWrap/>
                  <w:tcMar>
                    <w:top w:w="15" w:type="dxa"/>
                    <w:left w:w="15" w:type="dxa"/>
                    <w:right w:w="15" w:type="dxa"/>
                  </w:tcMar>
                  <w:vAlign w:val="center"/>
                </w:tcPr>
                <w:p>
                  <w:pPr>
                    <w:widowControl/>
                    <w:jc w:val="center"/>
                    <w:textAlignment w:val="center"/>
                    <w:rPr>
                      <w:rFonts w:hint="eastAsia" w:eastAsia="宋体"/>
                      <w:color w:val="auto"/>
                      <w:kern w:val="2"/>
                      <w:sz w:val="21"/>
                      <w:szCs w:val="21"/>
                      <w:lang w:val="en-US" w:eastAsia="zh-CN" w:bidi="ar-SA"/>
                    </w:rPr>
                  </w:pPr>
                  <w:r>
                    <w:rPr>
                      <w:rFonts w:hint="eastAsia"/>
                      <w:color w:val="auto"/>
                      <w:kern w:val="0"/>
                      <w:szCs w:val="21"/>
                      <w:lang w:val="en-US" w:eastAsia="zh-CN" w:bidi="ar"/>
                    </w:rPr>
                    <w:t>3</w:t>
                  </w:r>
                </w:p>
              </w:tc>
              <w:tc>
                <w:tcPr>
                  <w:tcW w:w="668" w:type="pct"/>
                  <w:vMerge w:val="continue"/>
                  <w:noWrap/>
                  <w:tcMar>
                    <w:top w:w="15" w:type="dxa"/>
                    <w:left w:w="15" w:type="dxa"/>
                    <w:right w:w="15" w:type="dxa"/>
                  </w:tcMar>
                  <w:vAlign w:val="center"/>
                </w:tcPr>
                <w:p>
                  <w:pPr>
                    <w:widowControl/>
                    <w:jc w:val="center"/>
                    <w:textAlignment w:val="center"/>
                    <w:rPr>
                      <w:color w:val="auto"/>
                      <w:kern w:val="0"/>
                      <w:szCs w:val="21"/>
                      <w:lang w:bidi="ar"/>
                    </w:rPr>
                  </w:pPr>
                </w:p>
              </w:tc>
              <w:tc>
                <w:tcPr>
                  <w:tcW w:w="810"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冷却</w:t>
                  </w:r>
                </w:p>
              </w:tc>
              <w:tc>
                <w:tcPr>
                  <w:tcW w:w="1471"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eastAsia="宋体"/>
                      <w:color w:val="auto"/>
                      <w:kern w:val="0"/>
                      <w:szCs w:val="21"/>
                      <w:lang w:eastAsia="zh-CN" w:bidi="ar"/>
                    </w:rPr>
                    <w:t>冷水塔和冷却水池</w:t>
                  </w:r>
                </w:p>
              </w:tc>
              <w:tc>
                <w:tcPr>
                  <w:tcW w:w="1016"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eastAsia="宋体"/>
                      <w:color w:val="auto"/>
                      <w:kern w:val="0"/>
                      <w:szCs w:val="21"/>
                      <w:lang w:val="en-US" w:eastAsia="zh-CN" w:bidi="ar"/>
                    </w:rPr>
                    <w:t>/</w:t>
                  </w:r>
                </w:p>
              </w:tc>
              <w:tc>
                <w:tcPr>
                  <w:tcW w:w="378"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eastAsia="宋体"/>
                      <w:color w:val="auto"/>
                      <w:kern w:val="0"/>
                      <w:szCs w:val="21"/>
                      <w:lang w:eastAsia="zh-CN" w:bidi="ar"/>
                    </w:rPr>
                    <w:t>套</w:t>
                  </w:r>
                </w:p>
              </w:tc>
              <w:tc>
                <w:tcPr>
                  <w:tcW w:w="361" w:type="pct"/>
                  <w:noWrap/>
                  <w:tcMar>
                    <w:top w:w="15" w:type="dxa"/>
                    <w:left w:w="15" w:type="dxa"/>
                    <w:right w:w="15" w:type="dxa"/>
                  </w:tcMar>
                  <w:vAlign w:val="center"/>
                </w:tcPr>
                <w:p>
                  <w:pPr>
                    <w:widowControl/>
                    <w:jc w:val="center"/>
                    <w:textAlignment w:val="center"/>
                    <w:rPr>
                      <w:rFonts w:hint="eastAsia" w:eastAsia="宋体"/>
                      <w:color w:val="auto"/>
                      <w:kern w:val="0"/>
                      <w:szCs w:val="21"/>
                      <w:lang w:val="en-US" w:eastAsia="zh-CN" w:bidi="ar"/>
                    </w:rPr>
                  </w:pPr>
                  <w:r>
                    <w:rPr>
                      <w:rFonts w:hint="eastAsia" w:eastAsia="宋体"/>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3" w:type="pct"/>
                  <w:noWrap/>
                  <w:tcMar>
                    <w:top w:w="15" w:type="dxa"/>
                    <w:left w:w="15" w:type="dxa"/>
                    <w:right w:w="15" w:type="dxa"/>
                  </w:tcMar>
                  <w:vAlign w:val="center"/>
                </w:tcPr>
                <w:p>
                  <w:pPr>
                    <w:widowControl/>
                    <w:jc w:val="center"/>
                    <w:textAlignment w:val="center"/>
                    <w:rPr>
                      <w:rFonts w:hint="eastAsia" w:eastAsia="宋体"/>
                      <w:color w:val="auto"/>
                      <w:kern w:val="2"/>
                      <w:sz w:val="21"/>
                      <w:szCs w:val="21"/>
                      <w:lang w:val="en-US" w:eastAsia="zh-CN" w:bidi="ar-SA"/>
                    </w:rPr>
                  </w:pPr>
                  <w:r>
                    <w:rPr>
                      <w:rFonts w:hint="eastAsia"/>
                      <w:color w:val="auto"/>
                      <w:kern w:val="0"/>
                      <w:szCs w:val="21"/>
                      <w:lang w:val="en-US" w:eastAsia="zh-CN" w:bidi="ar"/>
                    </w:rPr>
                    <w:t>4</w:t>
                  </w:r>
                </w:p>
              </w:tc>
              <w:tc>
                <w:tcPr>
                  <w:tcW w:w="668" w:type="pct"/>
                  <w:vMerge w:val="continue"/>
                  <w:noWrap/>
                  <w:tcMar>
                    <w:top w:w="15" w:type="dxa"/>
                    <w:left w:w="15" w:type="dxa"/>
                    <w:right w:w="15" w:type="dxa"/>
                  </w:tcMar>
                  <w:vAlign w:val="center"/>
                </w:tcPr>
                <w:p>
                  <w:pPr>
                    <w:widowControl/>
                    <w:jc w:val="center"/>
                    <w:textAlignment w:val="center"/>
                    <w:rPr>
                      <w:color w:val="auto"/>
                      <w:kern w:val="0"/>
                      <w:szCs w:val="21"/>
                      <w:lang w:bidi="ar"/>
                    </w:rPr>
                  </w:pPr>
                </w:p>
              </w:tc>
              <w:tc>
                <w:tcPr>
                  <w:tcW w:w="810"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气动</w:t>
                  </w:r>
                </w:p>
              </w:tc>
              <w:tc>
                <w:tcPr>
                  <w:tcW w:w="1471"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eastAsia="宋体"/>
                      <w:color w:val="auto"/>
                      <w:kern w:val="0"/>
                      <w:szCs w:val="21"/>
                      <w:lang w:eastAsia="zh-CN" w:bidi="ar"/>
                    </w:rPr>
                    <w:t>空压机</w:t>
                  </w:r>
                </w:p>
              </w:tc>
              <w:tc>
                <w:tcPr>
                  <w:tcW w:w="1016" w:type="pct"/>
                  <w:noWrap/>
                  <w:tcMar>
                    <w:top w:w="15" w:type="dxa"/>
                    <w:left w:w="15" w:type="dxa"/>
                    <w:right w:w="15" w:type="dxa"/>
                  </w:tcMar>
                  <w:vAlign w:val="center"/>
                </w:tcPr>
                <w:p>
                  <w:pPr>
                    <w:widowControl/>
                    <w:jc w:val="center"/>
                    <w:textAlignment w:val="center"/>
                    <w:rPr>
                      <w:rFonts w:hint="eastAsia" w:eastAsia="宋体"/>
                      <w:color w:val="auto"/>
                      <w:kern w:val="0"/>
                      <w:szCs w:val="21"/>
                      <w:lang w:val="en-US" w:eastAsia="zh-CN" w:bidi="ar"/>
                    </w:rPr>
                  </w:pPr>
                  <w:r>
                    <w:rPr>
                      <w:rFonts w:hint="eastAsia" w:eastAsia="宋体"/>
                      <w:color w:val="auto"/>
                      <w:kern w:val="0"/>
                      <w:szCs w:val="21"/>
                      <w:lang w:val="en-US" w:eastAsia="zh-CN" w:bidi="ar"/>
                    </w:rPr>
                    <w:t>/</w:t>
                  </w:r>
                </w:p>
              </w:tc>
              <w:tc>
                <w:tcPr>
                  <w:tcW w:w="378" w:type="pct"/>
                  <w:noWrap/>
                  <w:tcMar>
                    <w:top w:w="15" w:type="dxa"/>
                    <w:left w:w="15" w:type="dxa"/>
                    <w:right w:w="15" w:type="dxa"/>
                  </w:tcMar>
                  <w:vAlign w:val="center"/>
                </w:tcPr>
                <w:p>
                  <w:pPr>
                    <w:widowControl/>
                    <w:jc w:val="center"/>
                    <w:textAlignment w:val="center"/>
                    <w:rPr>
                      <w:rFonts w:hint="eastAsia" w:eastAsia="宋体"/>
                      <w:color w:val="auto"/>
                      <w:kern w:val="0"/>
                      <w:szCs w:val="21"/>
                      <w:lang w:eastAsia="zh-CN" w:bidi="ar"/>
                    </w:rPr>
                  </w:pPr>
                  <w:r>
                    <w:rPr>
                      <w:rFonts w:hint="eastAsia" w:eastAsia="宋体"/>
                      <w:color w:val="auto"/>
                      <w:kern w:val="0"/>
                      <w:szCs w:val="21"/>
                      <w:lang w:eastAsia="zh-CN" w:bidi="ar"/>
                    </w:rPr>
                    <w:t>套</w:t>
                  </w:r>
                </w:p>
              </w:tc>
              <w:tc>
                <w:tcPr>
                  <w:tcW w:w="361" w:type="pct"/>
                  <w:noWrap/>
                  <w:tcMar>
                    <w:top w:w="15" w:type="dxa"/>
                    <w:left w:w="15" w:type="dxa"/>
                    <w:right w:w="15" w:type="dxa"/>
                  </w:tcMar>
                  <w:vAlign w:val="center"/>
                </w:tcPr>
                <w:p>
                  <w:pPr>
                    <w:widowControl/>
                    <w:jc w:val="center"/>
                    <w:textAlignment w:val="center"/>
                    <w:rPr>
                      <w:rFonts w:hint="eastAsia" w:eastAsia="宋体"/>
                      <w:color w:val="auto"/>
                      <w:kern w:val="0"/>
                      <w:szCs w:val="21"/>
                      <w:lang w:val="en-US" w:eastAsia="zh-CN" w:bidi="ar"/>
                    </w:rPr>
                  </w:pPr>
                  <w:r>
                    <w:rPr>
                      <w:rFonts w:hint="eastAsia" w:eastAsia="宋体"/>
                      <w:color w:val="auto"/>
                      <w:kern w:val="0"/>
                      <w:szCs w:val="21"/>
                      <w:lang w:val="en-US" w:eastAsia="zh-CN" w:bidi="ar"/>
                    </w:rPr>
                    <w:t>2</w:t>
                  </w:r>
                </w:p>
              </w:tc>
            </w:tr>
          </w:tbl>
          <w:p>
            <w:pPr>
              <w:spacing w:before="120" w:beforeLines="50" w:line="360" w:lineRule="auto"/>
              <w:ind w:firstLine="482" w:firstLineChars="200"/>
              <w:rPr>
                <w:b/>
                <w:bCs/>
                <w:color w:val="auto"/>
                <w:sz w:val="24"/>
              </w:rPr>
            </w:pPr>
            <w:r>
              <w:rPr>
                <w:rFonts w:hint="eastAsia"/>
                <w:b/>
                <w:bCs/>
                <w:color w:val="auto"/>
                <w:sz w:val="24"/>
                <w:lang w:eastAsia="zh-CN"/>
              </w:rPr>
              <w:t>（四）</w:t>
            </w:r>
            <w:r>
              <w:rPr>
                <w:b/>
                <w:bCs/>
                <w:color w:val="auto"/>
                <w:sz w:val="24"/>
              </w:rPr>
              <w:t>主要原辅材料年均消耗情况</w:t>
            </w:r>
          </w:p>
          <w:p>
            <w:pPr>
              <w:spacing w:line="360" w:lineRule="auto"/>
              <w:ind w:firstLine="480" w:firstLineChars="200"/>
              <w:rPr>
                <w:rFonts w:hint="eastAsia"/>
                <w:b/>
                <w:bCs/>
                <w:color w:val="auto"/>
                <w:sz w:val="24"/>
              </w:rPr>
            </w:pPr>
            <w:r>
              <w:rPr>
                <w:color w:val="auto"/>
                <w:sz w:val="24"/>
              </w:rPr>
              <w:t>原辅料</w:t>
            </w:r>
            <w:r>
              <w:rPr>
                <w:rFonts w:hint="eastAsia"/>
                <w:color w:val="auto"/>
                <w:sz w:val="24"/>
                <w:lang w:eastAsia="zh-CN"/>
              </w:rPr>
              <w:t>种类和用量消耗</w:t>
            </w:r>
            <w:r>
              <w:rPr>
                <w:color w:val="auto"/>
                <w:sz w:val="24"/>
              </w:rPr>
              <w:t>情况见下表</w:t>
            </w:r>
            <w:r>
              <w:rPr>
                <w:rFonts w:hint="eastAsia"/>
                <w:color w:val="auto"/>
                <w:sz w:val="24"/>
              </w:rPr>
              <w:t>。</w:t>
            </w:r>
          </w:p>
          <w:p>
            <w:pPr>
              <w:jc w:val="center"/>
              <w:rPr>
                <w:b/>
                <w:bCs/>
                <w:color w:val="auto"/>
                <w:sz w:val="24"/>
              </w:rPr>
            </w:pPr>
            <w:r>
              <w:rPr>
                <w:b/>
                <w:bCs/>
                <w:color w:val="auto"/>
                <w:sz w:val="24"/>
              </w:rPr>
              <w:t>表2-4  建设项目主要原辅料及能源消耗情况一览表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355"/>
              <w:gridCol w:w="1500"/>
              <w:gridCol w:w="1975"/>
              <w:gridCol w:w="1201"/>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b/>
                      <w:bCs/>
                      <w:color w:val="000000"/>
                      <w:szCs w:val="21"/>
                    </w:rPr>
                  </w:pPr>
                  <w:r>
                    <w:rPr>
                      <w:rFonts w:hAnsi="宋体"/>
                      <w:b/>
                      <w:bCs/>
                      <w:color w:val="000000"/>
                    </w:rPr>
                    <w:t>序号</w:t>
                  </w:r>
                </w:p>
              </w:tc>
              <w:tc>
                <w:tcPr>
                  <w:tcW w:w="1355" w:type="dxa"/>
                  <w:tcBorders>
                    <w:top w:val="single" w:color="000000" w:sz="4" w:space="0"/>
                    <w:left w:val="nil"/>
                    <w:bottom w:val="single" w:color="000000" w:sz="4" w:space="0"/>
                    <w:right w:val="single" w:color="000000" w:sz="4" w:space="0"/>
                  </w:tcBorders>
                  <w:noWrap w:val="0"/>
                  <w:vAlign w:val="center"/>
                </w:tcPr>
                <w:p>
                  <w:pPr>
                    <w:jc w:val="center"/>
                    <w:rPr>
                      <w:b/>
                      <w:bCs/>
                      <w:color w:val="000000"/>
                      <w:szCs w:val="21"/>
                    </w:rPr>
                  </w:pPr>
                  <w:r>
                    <w:rPr>
                      <w:rFonts w:hAnsi="宋体"/>
                      <w:b/>
                      <w:bCs/>
                      <w:color w:val="000000"/>
                    </w:rPr>
                    <w:t>名称</w:t>
                  </w:r>
                </w:p>
              </w:tc>
              <w:tc>
                <w:tcPr>
                  <w:tcW w:w="1500" w:type="dxa"/>
                  <w:tcBorders>
                    <w:top w:val="single" w:color="000000" w:sz="4" w:space="0"/>
                    <w:left w:val="nil"/>
                    <w:bottom w:val="single" w:color="000000" w:sz="4" w:space="0"/>
                    <w:right w:val="single" w:color="000000" w:sz="4" w:space="0"/>
                  </w:tcBorders>
                  <w:noWrap w:val="0"/>
                  <w:vAlign w:val="center"/>
                </w:tcPr>
                <w:p>
                  <w:pPr>
                    <w:jc w:val="center"/>
                    <w:rPr>
                      <w:rFonts w:hint="eastAsia" w:eastAsia="宋体"/>
                      <w:b/>
                      <w:bCs/>
                      <w:color w:val="000000"/>
                      <w:szCs w:val="21"/>
                      <w:lang w:val="en-US" w:eastAsia="zh-CN"/>
                    </w:rPr>
                  </w:pPr>
                  <w:r>
                    <w:rPr>
                      <w:rFonts w:hAnsi="宋体"/>
                      <w:b/>
                      <w:bCs/>
                      <w:color w:val="000000"/>
                    </w:rPr>
                    <w:t>来源</w:t>
                  </w:r>
                  <w:r>
                    <w:rPr>
                      <w:rFonts w:hint="eastAsia" w:hAnsi="宋体"/>
                      <w:b/>
                      <w:bCs/>
                      <w:color w:val="000000"/>
                      <w:lang w:val="en-US" w:eastAsia="zh-CN"/>
                    </w:rPr>
                    <w:t>/粒径</w:t>
                  </w:r>
                </w:p>
              </w:tc>
              <w:tc>
                <w:tcPr>
                  <w:tcW w:w="1975" w:type="dxa"/>
                  <w:tcBorders>
                    <w:top w:val="single" w:color="000000" w:sz="4" w:space="0"/>
                    <w:left w:val="nil"/>
                    <w:bottom w:val="single" w:color="000000" w:sz="4" w:space="0"/>
                    <w:right w:val="single" w:color="000000" w:sz="4" w:space="0"/>
                  </w:tcBorders>
                  <w:noWrap w:val="0"/>
                  <w:vAlign w:val="center"/>
                </w:tcPr>
                <w:p>
                  <w:pPr>
                    <w:jc w:val="center"/>
                    <w:rPr>
                      <w:b/>
                      <w:bCs/>
                      <w:color w:val="000000"/>
                      <w:szCs w:val="21"/>
                    </w:rPr>
                  </w:pPr>
                  <w:r>
                    <w:rPr>
                      <w:rFonts w:hAnsi="宋体"/>
                      <w:b/>
                      <w:bCs/>
                      <w:color w:val="000000"/>
                      <w:szCs w:val="21"/>
                    </w:rPr>
                    <w:t>主要成分含量</w:t>
                  </w:r>
                </w:p>
              </w:tc>
              <w:tc>
                <w:tcPr>
                  <w:tcW w:w="1201" w:type="dxa"/>
                  <w:tcBorders>
                    <w:top w:val="single" w:color="000000" w:sz="4" w:space="0"/>
                    <w:left w:val="nil"/>
                    <w:bottom w:val="single" w:color="000000" w:sz="4" w:space="0"/>
                    <w:right w:val="single" w:color="000000" w:sz="4" w:space="0"/>
                  </w:tcBorders>
                  <w:noWrap w:val="0"/>
                  <w:vAlign w:val="center"/>
                </w:tcPr>
                <w:p>
                  <w:pPr>
                    <w:jc w:val="center"/>
                    <w:rPr>
                      <w:b/>
                      <w:bCs/>
                      <w:color w:val="000000"/>
                      <w:szCs w:val="21"/>
                    </w:rPr>
                  </w:pPr>
                  <w:r>
                    <w:rPr>
                      <w:rFonts w:hAnsi="宋体"/>
                      <w:b/>
                      <w:bCs/>
                      <w:color w:val="auto"/>
                    </w:rPr>
                    <w:t>用量</w:t>
                  </w:r>
                </w:p>
              </w:tc>
              <w:tc>
                <w:tcPr>
                  <w:tcW w:w="1505" w:type="dxa"/>
                  <w:tcBorders>
                    <w:top w:val="single" w:color="000000" w:sz="4" w:space="0"/>
                    <w:left w:val="nil"/>
                    <w:bottom w:val="single" w:color="000000" w:sz="4" w:space="0"/>
                    <w:right w:val="single" w:color="000000" w:sz="4" w:space="0"/>
                  </w:tcBorders>
                  <w:noWrap w:val="0"/>
                  <w:vAlign w:val="center"/>
                </w:tcPr>
                <w:p>
                  <w:pPr>
                    <w:jc w:val="center"/>
                    <w:rPr>
                      <w:b/>
                      <w:bCs/>
                      <w:color w:val="000000"/>
                    </w:rPr>
                  </w:pPr>
                  <w:r>
                    <w:rPr>
                      <w:rFonts w:hAnsi="宋体"/>
                      <w:b/>
                      <w:bCs/>
                      <w:color w:val="000000"/>
                    </w:rPr>
                    <w:t>产品</w:t>
                  </w:r>
                </w:p>
                <w:p>
                  <w:pPr>
                    <w:jc w:val="center"/>
                    <w:rPr>
                      <w:b/>
                      <w:bCs/>
                      <w:color w:val="000000"/>
                    </w:rPr>
                  </w:pPr>
                  <w:r>
                    <w:rPr>
                      <w:rFonts w:hAnsi="宋体"/>
                      <w:b/>
                      <w:bCs/>
                      <w:color w:val="000000"/>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rPr>
                  </w:pPr>
                  <w:r>
                    <w:rPr>
                      <w:color w:val="000000"/>
                    </w:rPr>
                    <w:t>1</w:t>
                  </w:r>
                </w:p>
              </w:tc>
              <w:tc>
                <w:tcPr>
                  <w:tcW w:w="135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int="eastAsia" w:hAnsi="宋体"/>
                      <w:color w:val="000000"/>
                      <w:szCs w:val="21"/>
                      <w:lang w:val="en-US" w:eastAsia="zh-CN"/>
                    </w:rPr>
                    <w:t>HDPE</w:t>
                  </w:r>
                  <w:r>
                    <w:rPr>
                      <w:rFonts w:hAnsi="宋体"/>
                      <w:color w:val="000000"/>
                      <w:szCs w:val="21"/>
                    </w:rPr>
                    <w:t>热塑性树脂</w:t>
                  </w:r>
                </w:p>
              </w:tc>
              <w:tc>
                <w:tcPr>
                  <w:tcW w:w="1500" w:type="dxa"/>
                  <w:vMerge w:val="restart"/>
                  <w:tcBorders>
                    <w:top w:val="single" w:color="000000" w:sz="4" w:space="0"/>
                    <w:left w:val="nil"/>
                    <w:right w:val="single" w:color="000000" w:sz="4" w:space="0"/>
                  </w:tcBorders>
                  <w:noWrap w:val="0"/>
                  <w:vAlign w:val="center"/>
                </w:tcPr>
                <w:p>
                  <w:pPr>
                    <w:jc w:val="center"/>
                    <w:rPr>
                      <w:rFonts w:hint="default" w:hAnsi="宋体"/>
                      <w:color w:val="000000"/>
                      <w:lang w:val="en-US"/>
                    </w:rPr>
                  </w:pPr>
                  <w:r>
                    <w:rPr>
                      <w:rFonts w:hint="eastAsia"/>
                      <w:lang w:val="en-US" w:eastAsia="zh-CN"/>
                    </w:rPr>
                    <w:t>市场购买的新原料（非再生料）/粒径在3mm~5mm左右</w:t>
                  </w:r>
                </w:p>
              </w:tc>
              <w:tc>
                <w:tcPr>
                  <w:tcW w:w="1975" w:type="dxa"/>
                  <w:tcBorders>
                    <w:top w:val="single" w:color="000000" w:sz="4" w:space="0"/>
                    <w:left w:val="nil"/>
                    <w:bottom w:val="single" w:color="000000" w:sz="4" w:space="0"/>
                    <w:right w:val="single" w:color="000000" w:sz="4" w:space="0"/>
                  </w:tcBorders>
                  <w:noWrap w:val="0"/>
                  <w:vAlign w:val="center"/>
                </w:tcPr>
                <w:p>
                  <w:pPr>
                    <w:jc w:val="center"/>
                    <w:rPr>
                      <w:rFonts w:hint="eastAsia" w:eastAsia="宋体"/>
                      <w:color w:val="000000"/>
                      <w:szCs w:val="21"/>
                      <w:lang w:eastAsia="zh-CN"/>
                    </w:rPr>
                  </w:pPr>
                  <w:r>
                    <w:rPr>
                      <w:rFonts w:hint="eastAsia"/>
                      <w:color w:val="000000"/>
                      <w:szCs w:val="21"/>
                      <w:lang w:eastAsia="zh-CN"/>
                    </w:rPr>
                    <w:t>高密度聚乙烯</w:t>
                  </w:r>
                </w:p>
              </w:tc>
              <w:tc>
                <w:tcPr>
                  <w:tcW w:w="1201"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int="eastAsia" w:hAnsi="宋体"/>
                      <w:color w:val="000000"/>
                      <w:lang w:val="en-US" w:eastAsia="zh-CN"/>
                    </w:rPr>
                    <w:t>650</w:t>
                  </w:r>
                  <w:r>
                    <w:rPr>
                      <w:rFonts w:hAnsi="宋体"/>
                      <w:color w:val="000000"/>
                    </w:rPr>
                    <w:t>吨</w:t>
                  </w:r>
                  <w:r>
                    <w:rPr>
                      <w:color w:val="000000"/>
                    </w:rPr>
                    <w:t>/</w:t>
                  </w:r>
                  <w:r>
                    <w:rPr>
                      <w:rFonts w:hAnsi="宋体"/>
                      <w:color w:val="000000"/>
                    </w:rPr>
                    <w:t>年</w:t>
                  </w:r>
                </w:p>
              </w:tc>
              <w:tc>
                <w:tcPr>
                  <w:tcW w:w="1505" w:type="dxa"/>
                  <w:vMerge w:val="restart"/>
                  <w:tcBorders>
                    <w:top w:val="single" w:color="000000" w:sz="4" w:space="0"/>
                    <w:left w:val="nil"/>
                    <w:right w:val="single" w:color="000000" w:sz="4" w:space="0"/>
                  </w:tcBorders>
                  <w:noWrap w:val="0"/>
                  <w:vAlign w:val="center"/>
                </w:tcPr>
                <w:p>
                  <w:pPr>
                    <w:jc w:val="center"/>
                    <w:rPr>
                      <w:color w:val="000000"/>
                    </w:rPr>
                  </w:pPr>
                  <w:r>
                    <w:rPr>
                      <w:rFonts w:hint="eastAsia"/>
                      <w:bCs/>
                      <w:color w:val="auto"/>
                      <w:szCs w:val="21"/>
                      <w:lang w:val="en-US" w:eastAsia="zh-CN"/>
                    </w:rPr>
                    <w:t>HDPE塑料瓶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rPr>
                  </w:pPr>
                  <w:r>
                    <w:rPr>
                      <w:color w:val="000000"/>
                    </w:rPr>
                    <w:t>2</w:t>
                  </w:r>
                </w:p>
              </w:tc>
              <w:tc>
                <w:tcPr>
                  <w:tcW w:w="135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Ansi="宋体"/>
                      <w:color w:val="000000"/>
                      <w:szCs w:val="21"/>
                    </w:rPr>
                    <w:t>聚丙烯热塑性树脂</w:t>
                  </w:r>
                </w:p>
              </w:tc>
              <w:tc>
                <w:tcPr>
                  <w:tcW w:w="1500" w:type="dxa"/>
                  <w:vMerge w:val="continue"/>
                  <w:tcBorders>
                    <w:left w:val="nil"/>
                    <w:right w:val="single" w:color="000000" w:sz="4" w:space="0"/>
                  </w:tcBorders>
                  <w:noWrap w:val="0"/>
                  <w:vAlign w:val="center"/>
                </w:tcPr>
                <w:p>
                  <w:pPr>
                    <w:jc w:val="center"/>
                    <w:rPr>
                      <w:color w:val="000000"/>
                    </w:rPr>
                  </w:pPr>
                </w:p>
              </w:tc>
              <w:tc>
                <w:tcPr>
                  <w:tcW w:w="197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Ansi="宋体"/>
                      <w:color w:val="000000"/>
                      <w:szCs w:val="21"/>
                    </w:rPr>
                    <w:t>聚丙烯</w:t>
                  </w:r>
                </w:p>
              </w:tc>
              <w:tc>
                <w:tcPr>
                  <w:tcW w:w="1201"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int="eastAsia"/>
                      <w:color w:val="000000"/>
                      <w:lang w:val="en-US" w:eastAsia="zh-CN"/>
                    </w:rPr>
                    <w:t>80</w:t>
                  </w:r>
                  <w:r>
                    <w:rPr>
                      <w:rFonts w:hAnsi="宋体"/>
                      <w:color w:val="000000"/>
                    </w:rPr>
                    <w:t>吨</w:t>
                  </w:r>
                  <w:r>
                    <w:rPr>
                      <w:color w:val="000000"/>
                    </w:rPr>
                    <w:t>/</w:t>
                  </w:r>
                  <w:r>
                    <w:rPr>
                      <w:rFonts w:hAnsi="宋体"/>
                      <w:color w:val="000000"/>
                    </w:rPr>
                    <w:t>年</w:t>
                  </w:r>
                </w:p>
              </w:tc>
              <w:tc>
                <w:tcPr>
                  <w:tcW w:w="1505" w:type="dxa"/>
                  <w:vMerge w:val="continue"/>
                  <w:tcBorders>
                    <w:left w:val="nil"/>
                    <w:right w:val="single" w:color="000000" w:sz="4" w:space="0"/>
                  </w:tcBorders>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rPr>
                  </w:pPr>
                  <w:r>
                    <w:rPr>
                      <w:color w:val="000000"/>
                    </w:rPr>
                    <w:t>3</w:t>
                  </w:r>
                </w:p>
              </w:tc>
              <w:tc>
                <w:tcPr>
                  <w:tcW w:w="135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Ansi="宋体"/>
                      <w:color w:val="000000"/>
                      <w:szCs w:val="21"/>
                    </w:rPr>
                    <w:t>色母粒</w:t>
                  </w:r>
                </w:p>
              </w:tc>
              <w:tc>
                <w:tcPr>
                  <w:tcW w:w="1500" w:type="dxa"/>
                  <w:vMerge w:val="continue"/>
                  <w:tcBorders>
                    <w:left w:val="nil"/>
                    <w:right w:val="single" w:color="000000" w:sz="4" w:space="0"/>
                  </w:tcBorders>
                  <w:noWrap w:val="0"/>
                  <w:vAlign w:val="center"/>
                </w:tcPr>
                <w:p>
                  <w:pPr>
                    <w:jc w:val="center"/>
                    <w:rPr>
                      <w:color w:val="000000"/>
                    </w:rPr>
                  </w:pPr>
                </w:p>
              </w:tc>
              <w:tc>
                <w:tcPr>
                  <w:tcW w:w="197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Ansi="宋体"/>
                      <w:color w:val="000000"/>
                      <w:szCs w:val="21"/>
                    </w:rPr>
                    <w:t>颜料</w:t>
                  </w:r>
                  <w:r>
                    <w:rPr>
                      <w:rFonts w:hint="eastAsia" w:hAnsi="宋体"/>
                      <w:color w:val="000000"/>
                      <w:szCs w:val="21"/>
                      <w:lang w:val="en-US" w:eastAsia="zh-CN"/>
                    </w:rPr>
                    <w:t>10</w:t>
                  </w:r>
                  <w:r>
                    <w:rPr>
                      <w:color w:val="000000"/>
                      <w:szCs w:val="21"/>
                    </w:rPr>
                    <w:t>%</w:t>
                  </w:r>
                </w:p>
              </w:tc>
              <w:tc>
                <w:tcPr>
                  <w:tcW w:w="1201"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int="eastAsia"/>
                      <w:color w:val="000000"/>
                      <w:lang w:val="en-US" w:eastAsia="zh-CN"/>
                    </w:rPr>
                    <w:t>80</w:t>
                  </w:r>
                  <w:r>
                    <w:rPr>
                      <w:rFonts w:hAnsi="宋体"/>
                      <w:color w:val="000000"/>
                    </w:rPr>
                    <w:t>吨</w:t>
                  </w:r>
                  <w:r>
                    <w:rPr>
                      <w:color w:val="000000"/>
                    </w:rPr>
                    <w:t>/</w:t>
                  </w:r>
                  <w:r>
                    <w:rPr>
                      <w:rFonts w:hAnsi="宋体"/>
                      <w:color w:val="000000"/>
                    </w:rPr>
                    <w:t>年</w:t>
                  </w:r>
                </w:p>
              </w:tc>
              <w:tc>
                <w:tcPr>
                  <w:tcW w:w="1505" w:type="dxa"/>
                  <w:vMerge w:val="continue"/>
                  <w:tcBorders>
                    <w:left w:val="nil"/>
                    <w:right w:val="single" w:color="000000" w:sz="4" w:space="0"/>
                  </w:tcBorders>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rPr>
                  </w:pPr>
                  <w:r>
                    <w:rPr>
                      <w:color w:val="000000"/>
                    </w:rPr>
                    <w:t>4</w:t>
                  </w:r>
                </w:p>
              </w:tc>
              <w:tc>
                <w:tcPr>
                  <w:tcW w:w="1355" w:type="dxa"/>
                  <w:tcBorders>
                    <w:top w:val="single" w:color="000000" w:sz="4" w:space="0"/>
                    <w:left w:val="nil"/>
                    <w:bottom w:val="single" w:color="000000" w:sz="4" w:space="0"/>
                    <w:right w:val="single" w:color="000000" w:sz="4" w:space="0"/>
                  </w:tcBorders>
                  <w:noWrap w:val="0"/>
                  <w:vAlign w:val="center"/>
                </w:tcPr>
                <w:p>
                  <w:pPr>
                    <w:jc w:val="center"/>
                    <w:rPr>
                      <w:rFonts w:hint="default" w:eastAsia="宋体"/>
                      <w:color w:val="000000"/>
                      <w:szCs w:val="21"/>
                      <w:lang w:val="en-US" w:eastAsia="zh-CN"/>
                    </w:rPr>
                  </w:pPr>
                  <w:r>
                    <w:rPr>
                      <w:rFonts w:hint="eastAsia" w:hAnsi="宋体"/>
                      <w:color w:val="000000"/>
                      <w:szCs w:val="21"/>
                      <w:lang w:val="en-US" w:eastAsia="zh-CN"/>
                    </w:rPr>
                    <w:t>PET</w:t>
                  </w:r>
                  <w:r>
                    <w:rPr>
                      <w:rFonts w:hAnsi="宋体"/>
                      <w:color w:val="000000"/>
                      <w:szCs w:val="21"/>
                    </w:rPr>
                    <w:t>热塑性树脂</w:t>
                  </w:r>
                </w:p>
              </w:tc>
              <w:tc>
                <w:tcPr>
                  <w:tcW w:w="1500" w:type="dxa"/>
                  <w:vMerge w:val="continue"/>
                  <w:tcBorders>
                    <w:left w:val="nil"/>
                    <w:right w:val="single" w:color="000000" w:sz="4" w:space="0"/>
                  </w:tcBorders>
                  <w:noWrap w:val="0"/>
                  <w:vAlign w:val="center"/>
                </w:tcPr>
                <w:p>
                  <w:pPr>
                    <w:jc w:val="center"/>
                    <w:rPr>
                      <w:color w:val="000000"/>
                    </w:rPr>
                  </w:pPr>
                </w:p>
              </w:tc>
              <w:tc>
                <w:tcPr>
                  <w:tcW w:w="197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Ansi="宋体"/>
                      <w:color w:val="000000"/>
                      <w:szCs w:val="21"/>
                    </w:rPr>
                    <w:t>聚对苯二甲酸乙二醇酯</w:t>
                  </w:r>
                </w:p>
              </w:tc>
              <w:tc>
                <w:tcPr>
                  <w:tcW w:w="1201"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int="eastAsia"/>
                      <w:color w:val="000000"/>
                      <w:lang w:val="en-US" w:eastAsia="zh-CN"/>
                    </w:rPr>
                    <w:t>980</w:t>
                  </w:r>
                  <w:r>
                    <w:rPr>
                      <w:rFonts w:hAnsi="宋体"/>
                      <w:color w:val="000000"/>
                    </w:rPr>
                    <w:t>吨</w:t>
                  </w:r>
                  <w:r>
                    <w:rPr>
                      <w:color w:val="000000"/>
                    </w:rPr>
                    <w:t>/</w:t>
                  </w:r>
                  <w:r>
                    <w:rPr>
                      <w:rFonts w:hAnsi="宋体"/>
                      <w:color w:val="000000"/>
                    </w:rPr>
                    <w:t>年</w:t>
                  </w:r>
                </w:p>
              </w:tc>
              <w:tc>
                <w:tcPr>
                  <w:tcW w:w="1505" w:type="dxa"/>
                  <w:vMerge w:val="restart"/>
                  <w:tcBorders>
                    <w:left w:val="nil"/>
                    <w:right w:val="single" w:color="000000" w:sz="4" w:space="0"/>
                  </w:tcBorders>
                  <w:noWrap w:val="0"/>
                  <w:vAlign w:val="center"/>
                </w:tcPr>
                <w:p>
                  <w:pPr>
                    <w:jc w:val="center"/>
                    <w:rPr>
                      <w:color w:val="000000"/>
                    </w:rPr>
                  </w:pPr>
                  <w:r>
                    <w:rPr>
                      <w:rFonts w:hint="eastAsia"/>
                      <w:bCs/>
                      <w:color w:val="auto"/>
                      <w:szCs w:val="21"/>
                      <w:lang w:val="en-US" w:eastAsia="zh-CN"/>
                    </w:rPr>
                    <w:t>PET塑料瓶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eastAsia="宋体"/>
                      <w:color w:val="000000"/>
                      <w:szCs w:val="21"/>
                      <w:lang w:val="en-US" w:eastAsia="zh-CN"/>
                    </w:rPr>
                  </w:pPr>
                  <w:r>
                    <w:rPr>
                      <w:rFonts w:hint="eastAsia"/>
                      <w:color w:val="000000"/>
                      <w:szCs w:val="21"/>
                      <w:lang w:val="en-US" w:eastAsia="zh-CN"/>
                    </w:rPr>
                    <w:t>5</w:t>
                  </w:r>
                </w:p>
              </w:tc>
              <w:tc>
                <w:tcPr>
                  <w:tcW w:w="1355"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Ansi="宋体"/>
                      <w:color w:val="000000"/>
                      <w:szCs w:val="21"/>
                    </w:rPr>
                    <w:t>聚乙烯热塑性树脂</w:t>
                  </w:r>
                </w:p>
              </w:tc>
              <w:tc>
                <w:tcPr>
                  <w:tcW w:w="1500" w:type="dxa"/>
                  <w:vMerge w:val="continue"/>
                  <w:tcBorders>
                    <w:left w:val="nil"/>
                    <w:right w:val="single" w:color="000000" w:sz="4" w:space="0"/>
                  </w:tcBorders>
                  <w:noWrap w:val="0"/>
                  <w:vAlign w:val="center"/>
                </w:tcPr>
                <w:p>
                  <w:pPr>
                    <w:jc w:val="center"/>
                    <w:rPr>
                      <w:color w:val="000000"/>
                    </w:rPr>
                  </w:pPr>
                </w:p>
              </w:tc>
              <w:tc>
                <w:tcPr>
                  <w:tcW w:w="1975" w:type="dxa"/>
                  <w:tcBorders>
                    <w:top w:val="single" w:color="000000" w:sz="4" w:space="0"/>
                    <w:left w:val="nil"/>
                    <w:bottom w:val="single" w:color="000000" w:sz="4" w:space="0"/>
                    <w:right w:val="single" w:color="000000" w:sz="4" w:space="0"/>
                  </w:tcBorders>
                  <w:noWrap w:val="0"/>
                  <w:vAlign w:val="center"/>
                </w:tcPr>
                <w:p>
                  <w:pPr>
                    <w:jc w:val="center"/>
                    <w:rPr>
                      <w:rFonts w:hint="eastAsia" w:eastAsia="宋体"/>
                      <w:color w:val="000000"/>
                      <w:szCs w:val="21"/>
                      <w:lang w:eastAsia="zh-CN"/>
                    </w:rPr>
                  </w:pPr>
                  <w:r>
                    <w:rPr>
                      <w:rFonts w:hint="eastAsia"/>
                      <w:color w:val="000000"/>
                      <w:szCs w:val="21"/>
                      <w:lang w:eastAsia="zh-CN"/>
                    </w:rPr>
                    <w:t>聚乙烯</w:t>
                  </w:r>
                </w:p>
              </w:tc>
              <w:tc>
                <w:tcPr>
                  <w:tcW w:w="1201" w:type="dxa"/>
                  <w:tcBorders>
                    <w:top w:val="single" w:color="000000" w:sz="4" w:space="0"/>
                    <w:left w:val="nil"/>
                    <w:bottom w:val="single" w:color="000000" w:sz="4" w:space="0"/>
                    <w:right w:val="single" w:color="000000" w:sz="4" w:space="0"/>
                  </w:tcBorders>
                  <w:noWrap w:val="0"/>
                  <w:vAlign w:val="center"/>
                </w:tcPr>
                <w:p>
                  <w:pPr>
                    <w:jc w:val="center"/>
                    <w:rPr>
                      <w:color w:val="000000"/>
                      <w:szCs w:val="21"/>
                    </w:rPr>
                  </w:pPr>
                  <w:r>
                    <w:rPr>
                      <w:rFonts w:hint="eastAsia"/>
                      <w:color w:val="000000"/>
                      <w:lang w:val="en-US" w:eastAsia="zh-CN"/>
                    </w:rPr>
                    <w:t>120</w:t>
                  </w:r>
                  <w:r>
                    <w:rPr>
                      <w:rFonts w:hAnsi="宋体"/>
                      <w:color w:val="000000"/>
                    </w:rPr>
                    <w:t>吨</w:t>
                  </w:r>
                  <w:r>
                    <w:rPr>
                      <w:color w:val="000000"/>
                    </w:rPr>
                    <w:t>/</w:t>
                  </w:r>
                  <w:r>
                    <w:rPr>
                      <w:rFonts w:hAnsi="宋体"/>
                      <w:color w:val="000000"/>
                    </w:rPr>
                    <w:t>年</w:t>
                  </w:r>
                </w:p>
              </w:tc>
              <w:tc>
                <w:tcPr>
                  <w:tcW w:w="1505" w:type="dxa"/>
                  <w:vMerge w:val="continue"/>
                  <w:tcBorders>
                    <w:left w:val="nil"/>
                    <w:right w:val="single" w:color="000000" w:sz="4" w:space="0"/>
                  </w:tcBorders>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eastAsia="宋体"/>
                      <w:color w:val="000000"/>
                      <w:szCs w:val="21"/>
                      <w:lang w:val="en-US" w:eastAsia="zh-CN"/>
                    </w:rPr>
                  </w:pPr>
                  <w:r>
                    <w:rPr>
                      <w:rFonts w:hint="eastAsia"/>
                      <w:color w:val="000000"/>
                      <w:szCs w:val="21"/>
                      <w:lang w:val="en-US" w:eastAsia="zh-CN"/>
                    </w:rPr>
                    <w:t>6</w:t>
                  </w:r>
                </w:p>
              </w:tc>
              <w:tc>
                <w:tcPr>
                  <w:tcW w:w="1355" w:type="dxa"/>
                  <w:tcBorders>
                    <w:top w:val="single" w:color="000000" w:sz="4" w:space="0"/>
                    <w:left w:val="nil"/>
                    <w:bottom w:val="single" w:color="000000" w:sz="4" w:space="0"/>
                    <w:right w:val="single" w:color="000000" w:sz="4" w:space="0"/>
                  </w:tcBorders>
                  <w:noWrap w:val="0"/>
                  <w:vAlign w:val="center"/>
                </w:tcPr>
                <w:p>
                  <w:pPr>
                    <w:jc w:val="center"/>
                    <w:rPr>
                      <w:rFonts w:hAnsi="宋体"/>
                      <w:color w:val="000000"/>
                      <w:szCs w:val="21"/>
                    </w:rPr>
                  </w:pPr>
                  <w:r>
                    <w:rPr>
                      <w:rFonts w:hAnsi="宋体"/>
                      <w:color w:val="000000"/>
                      <w:szCs w:val="21"/>
                    </w:rPr>
                    <w:t>色母粒</w:t>
                  </w:r>
                </w:p>
              </w:tc>
              <w:tc>
                <w:tcPr>
                  <w:tcW w:w="1500" w:type="dxa"/>
                  <w:vMerge w:val="continue"/>
                  <w:tcBorders>
                    <w:left w:val="nil"/>
                    <w:bottom w:val="single" w:color="000000" w:sz="4" w:space="0"/>
                    <w:right w:val="single" w:color="000000" w:sz="4" w:space="0"/>
                  </w:tcBorders>
                  <w:noWrap w:val="0"/>
                  <w:vAlign w:val="center"/>
                </w:tcPr>
                <w:p>
                  <w:pPr>
                    <w:jc w:val="center"/>
                    <w:rPr>
                      <w:rFonts w:hAnsi="宋体"/>
                      <w:color w:val="000000"/>
                    </w:rPr>
                  </w:pPr>
                </w:p>
              </w:tc>
              <w:tc>
                <w:tcPr>
                  <w:tcW w:w="1975" w:type="dxa"/>
                  <w:tcBorders>
                    <w:top w:val="single" w:color="000000" w:sz="4" w:space="0"/>
                    <w:left w:val="nil"/>
                    <w:bottom w:val="single" w:color="000000" w:sz="4" w:space="0"/>
                    <w:right w:val="single" w:color="000000" w:sz="4" w:space="0"/>
                  </w:tcBorders>
                  <w:noWrap w:val="0"/>
                  <w:vAlign w:val="center"/>
                </w:tcPr>
                <w:p>
                  <w:pPr>
                    <w:jc w:val="center"/>
                    <w:rPr>
                      <w:rFonts w:hAnsi="宋体"/>
                      <w:color w:val="000000"/>
                      <w:szCs w:val="21"/>
                    </w:rPr>
                  </w:pPr>
                  <w:r>
                    <w:rPr>
                      <w:rFonts w:hAnsi="宋体"/>
                      <w:color w:val="000000"/>
                      <w:szCs w:val="21"/>
                    </w:rPr>
                    <w:t>颜料</w:t>
                  </w:r>
                  <w:r>
                    <w:rPr>
                      <w:rFonts w:hint="eastAsia" w:hAnsi="宋体"/>
                      <w:color w:val="000000"/>
                      <w:szCs w:val="21"/>
                      <w:lang w:val="en-US" w:eastAsia="zh-CN"/>
                    </w:rPr>
                    <w:t>10</w:t>
                  </w:r>
                  <w:r>
                    <w:rPr>
                      <w:color w:val="000000"/>
                      <w:szCs w:val="21"/>
                    </w:rPr>
                    <w:t>%</w:t>
                  </w:r>
                </w:p>
              </w:tc>
              <w:tc>
                <w:tcPr>
                  <w:tcW w:w="1201" w:type="dxa"/>
                  <w:tcBorders>
                    <w:top w:val="single" w:color="000000" w:sz="4" w:space="0"/>
                    <w:left w:val="nil"/>
                    <w:bottom w:val="single" w:color="000000" w:sz="4" w:space="0"/>
                    <w:right w:val="single" w:color="000000" w:sz="4" w:space="0"/>
                  </w:tcBorders>
                  <w:noWrap w:val="0"/>
                  <w:vAlign w:val="center"/>
                </w:tcPr>
                <w:p>
                  <w:pPr>
                    <w:jc w:val="center"/>
                    <w:rPr>
                      <w:color w:val="000000"/>
                    </w:rPr>
                  </w:pPr>
                  <w:r>
                    <w:rPr>
                      <w:color w:val="000000"/>
                    </w:rPr>
                    <w:t>1</w:t>
                  </w:r>
                  <w:r>
                    <w:rPr>
                      <w:rFonts w:hint="eastAsia"/>
                      <w:color w:val="000000"/>
                      <w:lang w:val="en-US" w:eastAsia="zh-CN"/>
                    </w:rPr>
                    <w:t>20</w:t>
                  </w:r>
                  <w:r>
                    <w:rPr>
                      <w:rFonts w:hAnsi="宋体"/>
                      <w:color w:val="000000"/>
                    </w:rPr>
                    <w:t>吨</w:t>
                  </w:r>
                  <w:r>
                    <w:rPr>
                      <w:color w:val="000000"/>
                    </w:rPr>
                    <w:t>/</w:t>
                  </w:r>
                  <w:r>
                    <w:rPr>
                      <w:rFonts w:hAnsi="宋体"/>
                      <w:color w:val="000000"/>
                    </w:rPr>
                    <w:t>年</w:t>
                  </w:r>
                </w:p>
              </w:tc>
              <w:tc>
                <w:tcPr>
                  <w:tcW w:w="1505" w:type="dxa"/>
                  <w:vMerge w:val="continue"/>
                  <w:tcBorders>
                    <w:left w:val="nil"/>
                    <w:bottom w:val="single" w:color="000000" w:sz="4" w:space="0"/>
                    <w:right w:val="single" w:color="000000" w:sz="4" w:space="0"/>
                  </w:tcBorders>
                  <w:noWrap w:val="0"/>
                  <w:vAlign w:val="center"/>
                </w:tcPr>
                <w:p>
                  <w:pPr>
                    <w:jc w:val="center"/>
                    <w:rPr>
                      <w:color w:val="000000"/>
                    </w:rPr>
                  </w:pPr>
                </w:p>
              </w:tc>
            </w:tr>
          </w:tbl>
          <w:p>
            <w:pPr>
              <w:adjustRightInd w:val="0"/>
              <w:spacing w:before="120" w:beforeLines="50" w:line="360" w:lineRule="auto"/>
              <w:rPr>
                <w:rFonts w:hint="eastAsia"/>
                <w:b/>
                <w:bCs/>
                <w:color w:val="auto"/>
                <w:szCs w:val="21"/>
                <w:lang w:eastAsia="zh-CN"/>
              </w:rPr>
            </w:pPr>
            <w:r>
              <w:rPr>
                <w:b/>
                <w:bCs/>
                <w:color w:val="auto"/>
                <w:szCs w:val="21"/>
              </w:rPr>
              <w:t>主要原辅料介绍及其理化性质</w:t>
            </w:r>
            <w:r>
              <w:rPr>
                <w:rFonts w:hint="eastAsia"/>
                <w:b/>
                <w:bCs/>
                <w:color w:val="auto"/>
                <w:szCs w:val="21"/>
              </w:rPr>
              <w:t>见下表</w:t>
            </w:r>
            <w:r>
              <w:rPr>
                <w:rFonts w:hint="eastAsia"/>
                <w:b/>
                <w:bCs/>
                <w:color w:val="auto"/>
                <w:szCs w:val="21"/>
                <w:lang w:eastAsia="zh-CN"/>
              </w:rPr>
              <w:t>：</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6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jc w:val="center"/>
              </w:trPr>
              <w:tc>
                <w:tcPr>
                  <w:tcW w:w="1497" w:type="dxa"/>
                  <w:noWrap w:val="0"/>
                  <w:vAlign w:val="center"/>
                </w:tcPr>
                <w:p>
                  <w:pPr>
                    <w:pStyle w:val="25"/>
                    <w:jc w:val="center"/>
                    <w:rPr>
                      <w:rFonts w:hint="eastAsia"/>
                      <w:b/>
                      <w:bCs/>
                      <w:color w:val="auto"/>
                      <w:sz w:val="21"/>
                      <w:szCs w:val="21"/>
                    </w:rPr>
                  </w:pPr>
                  <w:r>
                    <w:rPr>
                      <w:rFonts w:hint="eastAsia"/>
                      <w:b/>
                      <w:bCs/>
                      <w:color w:val="auto"/>
                      <w:sz w:val="21"/>
                      <w:szCs w:val="21"/>
                    </w:rPr>
                    <w:t>主要成分</w:t>
                  </w:r>
                </w:p>
              </w:tc>
              <w:tc>
                <w:tcPr>
                  <w:tcW w:w="6440" w:type="dxa"/>
                  <w:noWrap w:val="0"/>
                  <w:vAlign w:val="center"/>
                </w:tcPr>
                <w:p>
                  <w:pPr>
                    <w:pStyle w:val="25"/>
                    <w:jc w:val="center"/>
                    <w:rPr>
                      <w:b/>
                      <w:bCs/>
                      <w:color w:val="auto"/>
                      <w:sz w:val="21"/>
                      <w:szCs w:val="21"/>
                    </w:rPr>
                  </w:pPr>
                  <w:r>
                    <w:rPr>
                      <w:rFonts w:hint="eastAsia"/>
                      <w:b/>
                      <w:bCs/>
                      <w:color w:val="auto"/>
                      <w:sz w:val="21"/>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noWrap w:val="0"/>
                  <w:vAlign w:val="center"/>
                </w:tcPr>
                <w:p>
                  <w:pPr>
                    <w:pStyle w:val="25"/>
                    <w:jc w:val="center"/>
                    <w:rPr>
                      <w:rFonts w:hint="eastAsia" w:eastAsia="宋体"/>
                      <w:color w:val="auto"/>
                      <w:sz w:val="21"/>
                      <w:szCs w:val="21"/>
                      <w:lang w:eastAsia="zh-CN"/>
                    </w:rPr>
                  </w:pPr>
                  <w:r>
                    <w:rPr>
                      <w:rFonts w:hint="eastAsia"/>
                      <w:color w:val="auto"/>
                      <w:sz w:val="21"/>
                      <w:szCs w:val="21"/>
                      <w:lang w:eastAsia="zh-CN"/>
                    </w:rPr>
                    <w:t>聚乙烯</w:t>
                  </w:r>
                </w:p>
              </w:tc>
              <w:tc>
                <w:tcPr>
                  <w:tcW w:w="6440" w:type="dxa"/>
                  <w:noWrap w:val="0"/>
                  <w:vAlign w:val="center"/>
                </w:tcPr>
                <w:p>
                  <w:pPr>
                    <w:tabs>
                      <w:tab w:val="left" w:pos="630"/>
                    </w:tabs>
                    <w:ind w:firstLine="420" w:firstLineChars="200"/>
                    <w:rPr>
                      <w:color w:val="auto"/>
                      <w:szCs w:val="21"/>
                    </w:rPr>
                  </w:pPr>
                  <w:r>
                    <w:rPr>
                      <w:rFonts w:hint="eastAsia" w:ascii="Times New Roman" w:hAnsi="Times New Roman" w:eastAsia="宋体" w:cs="Times New Roman"/>
                      <w:color w:val="auto"/>
                      <w:kern w:val="0"/>
                      <w:sz w:val="21"/>
                      <w:szCs w:val="21"/>
                      <w:lang w:val="en-US" w:eastAsia="zh-CN" w:bidi="ar-SA"/>
                    </w:rPr>
                    <w:t>聚乙烯（polyethylene ，简称PE）是乙烯经聚合制得的一种热塑性树脂，其熔点为92℃。在工业上，也包括乙烯与少量α-烯烃的共聚物。聚乙烯无臭，无毒，手感似蜡，具有优良的耐低温性能，化学稳定性好，能耐大多数酸碱的侵蚀。常温下不溶于一般溶剂，吸水性小，电绝缘性优良。聚乙烯的力学性能一般，拉伸强度较低，抗蠕变性不好，耐冲击性好。聚乙烯可用吹塑、挤出、注射成型等方法加工，广泛应用于制造薄膜、中空制品、纤维和日用杂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noWrap w:val="0"/>
                  <w:vAlign w:val="center"/>
                </w:tcPr>
                <w:p>
                  <w:pPr>
                    <w:pStyle w:val="25"/>
                    <w:jc w:val="center"/>
                    <w:rPr>
                      <w:rFonts w:hint="eastAsia"/>
                      <w:color w:val="auto"/>
                      <w:sz w:val="21"/>
                      <w:szCs w:val="21"/>
                      <w:lang w:eastAsia="zh-CN"/>
                    </w:rPr>
                  </w:pPr>
                  <w:r>
                    <w:rPr>
                      <w:rFonts w:hint="eastAsia"/>
                      <w:color w:val="auto"/>
                      <w:sz w:val="21"/>
                      <w:szCs w:val="21"/>
                      <w:lang w:eastAsia="zh-CN"/>
                    </w:rPr>
                    <w:t>高密度聚乙烯</w:t>
                  </w:r>
                </w:p>
              </w:tc>
              <w:tc>
                <w:tcPr>
                  <w:tcW w:w="6440" w:type="dxa"/>
                  <w:noWrap w:val="0"/>
                  <w:vAlign w:val="center"/>
                </w:tcPr>
                <w:p>
                  <w:pPr>
                    <w:tabs>
                      <w:tab w:val="left" w:pos="630"/>
                    </w:tabs>
                    <w:ind w:firstLine="420" w:firstLineChars="20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高密度聚乙烯，英文名称为“HighDensity Polyethylene”，简称为“HDPE”。是一种洁净度高，非极性的热塑性树脂。原态HDPE的外表呈乳白色，在微薄截面呈一定程度的半透明状。高密度聚乙烯为无毒、无味、无臭的白色颗粒，具有良好的耐热性和耐寒性，化学稳定性好，还具有较高的刚性和韧性，机械强度好，介电能性，耐环境应力开裂性亦比较好。在室温条件下，不溶于任何有机溶剂，耐酸耐碱和各种盐类的腐蚀。HDPE适合热塑性成型加工的各种成型工艺，成型加工性好，如注塑，挤塑，吹塑，旋转成型，涂覆、发泡工艺、热成型、热封焊、热焊接等</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1497" w:type="dxa"/>
                  <w:noWrap w:val="0"/>
                  <w:vAlign w:val="center"/>
                </w:tcPr>
                <w:p>
                  <w:pPr>
                    <w:pStyle w:val="25"/>
                    <w:jc w:val="center"/>
                    <w:rPr>
                      <w:rFonts w:hint="eastAsia" w:eastAsia="宋体"/>
                      <w:color w:val="auto"/>
                      <w:sz w:val="21"/>
                      <w:szCs w:val="21"/>
                      <w:lang w:eastAsia="zh-CN"/>
                    </w:rPr>
                  </w:pPr>
                  <w:r>
                    <w:rPr>
                      <w:rFonts w:hint="eastAsia"/>
                      <w:color w:val="auto"/>
                      <w:sz w:val="21"/>
                      <w:szCs w:val="21"/>
                      <w:lang w:eastAsia="zh-CN"/>
                    </w:rPr>
                    <w:t>聚丙烯</w:t>
                  </w:r>
                </w:p>
              </w:tc>
              <w:tc>
                <w:tcPr>
                  <w:tcW w:w="6440" w:type="dxa"/>
                  <w:noWrap w:val="0"/>
                  <w:vAlign w:val="center"/>
                </w:tcPr>
                <w:p>
                  <w:pPr>
                    <w:keepNext w:val="0"/>
                    <w:keepLines w:val="0"/>
                    <w:pageBreakBefore w:val="0"/>
                    <w:widowControl w:val="0"/>
                    <w:tabs>
                      <w:tab w:val="left" w:pos="630"/>
                    </w:tabs>
                    <w:kinsoku/>
                    <w:wordWrap/>
                    <w:overflowPunct/>
                    <w:topLinePunct w:val="0"/>
                    <w:autoSpaceDE/>
                    <w:autoSpaceDN/>
                    <w:bidi w:val="0"/>
                    <w:adjustRightInd/>
                    <w:snapToGrid/>
                    <w:ind w:firstLine="420" w:firstLineChars="200"/>
                    <w:textAlignment w:val="auto"/>
                    <w:rPr>
                      <w:rFonts w:hint="eastAsia" w:eastAsia="宋体"/>
                      <w:color w:val="auto"/>
                      <w:szCs w:val="21"/>
                      <w:lang w:eastAsia="zh-CN"/>
                    </w:rPr>
                  </w:pPr>
                  <w:r>
                    <w:rPr>
                      <w:rFonts w:hint="eastAsia" w:ascii="Times New Roman" w:hAnsi="Times New Roman" w:eastAsia="宋体" w:cs="Times New Roman"/>
                      <w:color w:val="auto"/>
                      <w:kern w:val="0"/>
                      <w:sz w:val="21"/>
                      <w:szCs w:val="21"/>
                      <w:lang w:val="en-US" w:eastAsia="zh-CN" w:bidi="ar-SA"/>
                    </w:rPr>
                    <w:t>聚丙烯（Polypropylene，简称PP）是一种半结晶的热塑性塑料，是丙烯通过加聚反应而成的聚合物。系白色蜡状材料，外观透明而轻。化学式为(C</w:t>
                  </w:r>
                  <w:r>
                    <w:rPr>
                      <w:rFonts w:hint="eastAsia" w:ascii="Times New Roman" w:hAnsi="Times New Roman" w:eastAsia="宋体" w:cs="Times New Roman"/>
                      <w:color w:val="auto"/>
                      <w:kern w:val="0"/>
                      <w:sz w:val="21"/>
                      <w:szCs w:val="21"/>
                      <w:vertAlign w:val="subscript"/>
                      <w:lang w:val="en-US" w:eastAsia="zh-CN" w:bidi="ar-SA"/>
                    </w:rPr>
                    <w:t>3</w:t>
                  </w:r>
                  <w:r>
                    <w:rPr>
                      <w:rFonts w:hint="eastAsia" w:ascii="Times New Roman" w:hAnsi="Times New Roman" w:eastAsia="宋体" w:cs="Times New Roman"/>
                      <w:color w:val="auto"/>
                      <w:kern w:val="0"/>
                      <w:sz w:val="21"/>
                      <w:szCs w:val="21"/>
                      <w:lang w:val="en-US" w:eastAsia="zh-CN" w:bidi="ar-SA"/>
                    </w:rPr>
                    <w:t>H</w:t>
                  </w:r>
                  <w:r>
                    <w:rPr>
                      <w:rFonts w:hint="eastAsia" w:ascii="Times New Roman" w:hAnsi="Times New Roman" w:eastAsia="宋体" w:cs="Times New Roman"/>
                      <w:color w:val="auto"/>
                      <w:kern w:val="0"/>
                      <w:sz w:val="21"/>
                      <w:szCs w:val="21"/>
                      <w:vertAlign w:val="subscript"/>
                      <w:lang w:val="en-US" w:eastAsia="zh-CN" w:bidi="ar-SA"/>
                    </w:rPr>
                    <w:t>6</w:t>
                  </w:r>
                  <w:r>
                    <w:rPr>
                      <w:rFonts w:hint="eastAsia" w:ascii="Times New Roman" w:hAnsi="Times New Roman" w:eastAsia="宋体" w:cs="Times New Roman"/>
                      <w:color w:val="auto"/>
                      <w:kern w:val="0"/>
                      <w:sz w:val="21"/>
                      <w:szCs w:val="21"/>
                      <w:lang w:val="en-US" w:eastAsia="zh-CN" w:bidi="ar-SA"/>
                    </w:rPr>
                    <w:t>)n，密度为0.89～0.91g/cm</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，易燃，熔点189℃，在155℃左右软化，使用温度范围为-30～140℃。具有较高的耐冲击性，机械性质强韧，抗多种有机溶剂和酸碱腐蚀。在工业界有广泛的应用，是平常常见的高分子材料之一</w:t>
                  </w:r>
                  <w:r>
                    <w:rPr>
                      <w:rFonts w:hint="eastAsia"/>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1497" w:type="dxa"/>
                  <w:noWrap w:val="0"/>
                  <w:vAlign w:val="center"/>
                </w:tcPr>
                <w:p>
                  <w:pPr>
                    <w:pStyle w:val="25"/>
                    <w:jc w:val="center"/>
                    <w:rPr>
                      <w:rFonts w:hint="eastAsia"/>
                      <w:color w:val="auto"/>
                      <w:sz w:val="21"/>
                      <w:szCs w:val="21"/>
                      <w:lang w:eastAsia="zh-CN"/>
                    </w:rPr>
                  </w:pPr>
                  <w:r>
                    <w:rPr>
                      <w:rFonts w:hint="eastAsia"/>
                      <w:color w:val="auto"/>
                      <w:sz w:val="21"/>
                      <w:szCs w:val="21"/>
                      <w:lang w:eastAsia="zh-CN"/>
                    </w:rPr>
                    <w:t>聚对苯二甲酸乙二醇酯</w:t>
                  </w:r>
                </w:p>
              </w:tc>
              <w:tc>
                <w:tcPr>
                  <w:tcW w:w="6440" w:type="dxa"/>
                  <w:noWrap w:val="0"/>
                  <w:vAlign w:val="center"/>
                </w:tcPr>
                <w:p>
                  <w:pPr>
                    <w:tabs>
                      <w:tab w:val="left" w:pos="630"/>
                    </w:tabs>
                    <w:ind w:firstLine="420" w:firstLineChars="200"/>
                    <w:rPr>
                      <w:color w:val="auto"/>
                      <w:szCs w:val="21"/>
                    </w:rPr>
                  </w:pPr>
                  <w:r>
                    <w:rPr>
                      <w:rFonts w:hint="eastAsia" w:ascii="Times New Roman" w:hAnsi="Times New Roman" w:eastAsia="宋体" w:cs="Times New Roman"/>
                      <w:color w:val="auto"/>
                      <w:kern w:val="0"/>
                      <w:sz w:val="21"/>
                      <w:szCs w:val="21"/>
                      <w:lang w:val="en-US" w:eastAsia="zh-CN" w:bidi="ar-SA"/>
                    </w:rPr>
                    <w:t>聚对苯二甲酸乙二醇酯（PET），化学式为(C10H8O4)n，是由对苯二甲酸二甲酯与乙二醇酯交换或以对苯二甲酸与乙二醇酯化先合成对苯二甲酸双羟乙酯，然后再进行缩聚反应制得。属结晶型饱和聚酯，为乳白色或浅黄色、高度结晶的聚合物，表面平滑有光泽，是生活中常见的一种树脂。在较宽的温度范围内具有优良的物理机械性能，长期使用温度可达120℃，电绝缘性优良，甚至在高温高频下，其电性能仍较好，但耐电晕性较差，抗蠕变性，耐疲劳性，耐摩擦性、尺寸稳定性都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497" w:type="dxa"/>
                  <w:noWrap w:val="0"/>
                  <w:vAlign w:val="center"/>
                </w:tcPr>
                <w:p>
                  <w:pPr>
                    <w:pStyle w:val="25"/>
                    <w:jc w:val="center"/>
                    <w:rPr>
                      <w:rFonts w:hint="eastAsia" w:eastAsia="宋体"/>
                      <w:color w:val="auto"/>
                      <w:sz w:val="21"/>
                      <w:szCs w:val="21"/>
                      <w:lang w:eastAsia="zh-CN"/>
                    </w:rPr>
                  </w:pPr>
                  <w:r>
                    <w:rPr>
                      <w:rFonts w:hint="eastAsia"/>
                      <w:color w:val="auto"/>
                      <w:sz w:val="21"/>
                      <w:szCs w:val="21"/>
                      <w:lang w:eastAsia="zh-CN"/>
                    </w:rPr>
                    <w:t>色母粒</w:t>
                  </w:r>
                </w:p>
              </w:tc>
              <w:tc>
                <w:tcPr>
                  <w:tcW w:w="6440" w:type="dxa"/>
                  <w:noWrap w:val="0"/>
                  <w:vAlign w:val="center"/>
                </w:tcPr>
                <w:p>
                  <w:pPr>
                    <w:keepNext w:val="0"/>
                    <w:keepLines w:val="0"/>
                    <w:pageBreakBefore w:val="0"/>
                    <w:widowControl w:val="0"/>
                    <w:tabs>
                      <w:tab w:val="left" w:pos="630"/>
                    </w:tabs>
                    <w:kinsoku/>
                    <w:wordWrap/>
                    <w:overflowPunct/>
                    <w:topLinePunct w:val="0"/>
                    <w:autoSpaceDE/>
                    <w:autoSpaceDN/>
                    <w:bidi w:val="0"/>
                    <w:adjustRightInd/>
                    <w:snapToGrid/>
                    <w:ind w:firstLine="420" w:firstLineChars="200"/>
                    <w:textAlignment w:val="auto"/>
                    <w:rPr>
                      <w:rFonts w:hint="eastAsia" w:eastAsia="宋体"/>
                      <w:color w:val="auto"/>
                      <w:szCs w:val="21"/>
                      <w:lang w:eastAsia="zh-CN"/>
                    </w:rPr>
                  </w:pPr>
                  <w:r>
                    <w:rPr>
                      <w:rFonts w:hint="eastAsia" w:ascii="Times New Roman" w:hAnsi="Times New Roman" w:eastAsia="宋体" w:cs="Times New Roman"/>
                      <w:color w:val="auto"/>
                      <w:kern w:val="0"/>
                      <w:sz w:val="21"/>
                      <w:szCs w:val="21"/>
                      <w:lang w:val="en-US" w:eastAsia="zh-CN" w:bidi="ar-SA"/>
                    </w:rPr>
                    <w:t>色母（Color Master Batch）的全称叫色母粒，也叫色种，是一种新型高分子材料专用着色剂，亦称颜料制备物（Pigment Preparation）。色母主要用在塑料上。色母由颜料或染料、载体和添加剂三种基本要素所组成，是把超常量的颜料均匀载附于树脂之中而制得的聚集体，可称颜料浓缩物（Pigment Concentration），所以它的着色力高于颜料本身。加工时用少量色母料和未着色树脂掺混，就可达到设计颜料浓度的着色树脂或制品</w:t>
                  </w:r>
                  <w:r>
                    <w:rPr>
                      <w:rFonts w:hint="eastAsia"/>
                      <w:color w:val="auto"/>
                      <w:szCs w:val="21"/>
                      <w:lang w:eastAsia="zh-CN"/>
                    </w:rPr>
                    <w:t>。</w:t>
                  </w:r>
                </w:p>
              </w:tc>
            </w:tr>
          </w:tbl>
          <w:p>
            <w:pPr>
              <w:tabs>
                <w:tab w:val="left" w:pos="630"/>
              </w:tabs>
              <w:spacing w:before="120" w:beforeLines="50" w:line="360" w:lineRule="auto"/>
              <w:ind w:firstLine="482"/>
              <w:rPr>
                <w:b/>
                <w:bCs/>
                <w:color w:val="auto"/>
                <w:sz w:val="24"/>
              </w:rPr>
            </w:pPr>
            <w:r>
              <w:rPr>
                <w:rFonts w:hint="eastAsia"/>
                <w:b/>
                <w:bCs/>
                <w:color w:val="auto"/>
                <w:sz w:val="24"/>
                <w:lang w:eastAsia="zh-CN"/>
              </w:rPr>
              <w:t>（五）</w:t>
            </w:r>
            <w:r>
              <w:rPr>
                <w:b/>
                <w:bCs/>
                <w:color w:val="auto"/>
                <w:sz w:val="24"/>
              </w:rPr>
              <w:t>职工人数及工作制度</w:t>
            </w:r>
          </w:p>
          <w:p>
            <w:pPr>
              <w:tabs>
                <w:tab w:val="left" w:pos="630"/>
              </w:tabs>
              <w:spacing w:line="360" w:lineRule="auto"/>
              <w:ind w:firstLine="482"/>
              <w:rPr>
                <w:rFonts w:hint="eastAsia"/>
                <w:color w:val="auto"/>
                <w:sz w:val="24"/>
                <w:lang w:eastAsia="zh-CN"/>
              </w:rPr>
            </w:pPr>
            <w:r>
              <w:rPr>
                <w:color w:val="auto"/>
                <w:sz w:val="24"/>
              </w:rPr>
              <w:t>员工人数：本项目</w:t>
            </w:r>
            <w:r>
              <w:rPr>
                <w:rFonts w:hint="eastAsia"/>
                <w:color w:val="auto"/>
                <w:sz w:val="24"/>
                <w:lang w:eastAsia="zh-CN"/>
              </w:rPr>
              <w:t>劳动定员</w:t>
            </w:r>
            <w:r>
              <w:rPr>
                <w:rFonts w:hint="eastAsia"/>
                <w:color w:val="auto"/>
                <w:sz w:val="24"/>
                <w:lang w:val="en-US" w:eastAsia="zh-CN"/>
              </w:rPr>
              <w:t>15</w:t>
            </w:r>
            <w:r>
              <w:rPr>
                <w:rFonts w:hint="eastAsia"/>
                <w:color w:val="auto"/>
                <w:sz w:val="24"/>
                <w:lang w:eastAsia="zh-CN"/>
              </w:rPr>
              <w:t>人；</w:t>
            </w:r>
          </w:p>
          <w:p>
            <w:pPr>
              <w:tabs>
                <w:tab w:val="left" w:pos="630"/>
              </w:tabs>
              <w:spacing w:line="360" w:lineRule="auto"/>
              <w:ind w:firstLine="482"/>
              <w:rPr>
                <w:color w:val="auto"/>
                <w:sz w:val="24"/>
              </w:rPr>
            </w:pPr>
            <w:r>
              <w:rPr>
                <w:color w:val="auto"/>
                <w:sz w:val="24"/>
              </w:rPr>
              <w:t>工作</w:t>
            </w:r>
            <w:r>
              <w:rPr>
                <w:rFonts w:hint="eastAsia"/>
                <w:color w:val="auto"/>
                <w:sz w:val="24"/>
                <w:lang w:eastAsia="zh-CN"/>
              </w:rPr>
              <w:t>制度</w:t>
            </w:r>
            <w:r>
              <w:rPr>
                <w:color w:val="auto"/>
                <w:sz w:val="24"/>
              </w:rPr>
              <w:t>：</w:t>
            </w:r>
            <w:r>
              <w:rPr>
                <w:rFonts w:hAnsi="宋体"/>
                <w:color w:val="000000"/>
                <w:sz w:val="24"/>
                <w:szCs w:val="24"/>
              </w:rPr>
              <w:t>年工作</w:t>
            </w:r>
            <w:r>
              <w:rPr>
                <w:color w:val="000000"/>
                <w:sz w:val="24"/>
                <w:szCs w:val="24"/>
              </w:rPr>
              <w:t>300</w:t>
            </w:r>
            <w:r>
              <w:rPr>
                <w:rFonts w:hAnsi="宋体"/>
                <w:color w:val="000000"/>
                <w:sz w:val="24"/>
                <w:szCs w:val="24"/>
              </w:rPr>
              <w:t>天，</w:t>
            </w:r>
            <w:r>
              <w:rPr>
                <w:rFonts w:hint="eastAsia" w:hAnsi="宋体"/>
                <w:color w:val="000000"/>
                <w:sz w:val="24"/>
                <w:szCs w:val="24"/>
                <w:lang w:eastAsia="zh-CN"/>
              </w:rPr>
              <w:t>日</w:t>
            </w:r>
            <w:r>
              <w:rPr>
                <w:rFonts w:hint="eastAsia"/>
                <w:color w:val="000000"/>
                <w:sz w:val="24"/>
                <w:szCs w:val="24"/>
                <w:lang w:eastAsia="zh-CN"/>
              </w:rPr>
              <w:t>工作</w:t>
            </w:r>
            <w:r>
              <w:rPr>
                <w:rFonts w:hint="eastAsia"/>
                <w:color w:val="000000"/>
                <w:sz w:val="24"/>
                <w:szCs w:val="24"/>
                <w:lang w:val="en-US" w:eastAsia="zh-CN"/>
              </w:rPr>
              <w:t>8</w:t>
            </w:r>
            <w:r>
              <w:rPr>
                <w:color w:val="000000"/>
                <w:sz w:val="24"/>
                <w:szCs w:val="24"/>
              </w:rPr>
              <w:t>小时</w:t>
            </w:r>
            <w:r>
              <w:rPr>
                <w:color w:val="auto"/>
                <w:sz w:val="24"/>
              </w:rPr>
              <w:t>。</w:t>
            </w: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firstLine="482"/>
              <w:textAlignment w:val="auto"/>
              <w:rPr>
                <w:rFonts w:hint="default"/>
                <w:b/>
                <w:bCs/>
                <w:color w:val="auto"/>
                <w:sz w:val="24"/>
                <w:lang w:val="en-US" w:eastAsia="zh-CN"/>
              </w:rPr>
            </w:pPr>
            <w:r>
              <w:rPr>
                <w:rFonts w:hint="eastAsia"/>
                <w:b w:val="0"/>
                <w:bCs w:val="0"/>
                <w:color w:val="auto"/>
                <w:sz w:val="24"/>
                <w:lang w:val="en-US" w:eastAsia="zh-CN"/>
              </w:rPr>
              <w:t>不提供食宿。</w:t>
            </w: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firstLine="482"/>
              <w:textAlignment w:val="auto"/>
              <w:rPr>
                <w:b/>
                <w:bCs/>
                <w:color w:val="auto"/>
                <w:sz w:val="24"/>
              </w:rPr>
            </w:pPr>
            <w:r>
              <w:rPr>
                <w:rFonts w:hint="eastAsia"/>
                <w:b/>
                <w:bCs/>
                <w:color w:val="auto"/>
                <w:sz w:val="24"/>
                <w:lang w:eastAsia="zh-CN"/>
              </w:rPr>
              <w:t>（六）</w:t>
            </w:r>
            <w:r>
              <w:rPr>
                <w:b/>
                <w:bCs/>
                <w:color w:val="auto"/>
                <w:sz w:val="24"/>
              </w:rPr>
              <w:t>厂区平面布置</w:t>
            </w:r>
          </w:p>
          <w:p>
            <w:pPr>
              <w:tabs>
                <w:tab w:val="left" w:pos="630"/>
              </w:tabs>
              <w:spacing w:line="360" w:lineRule="auto"/>
              <w:ind w:firstLine="482"/>
              <w:rPr>
                <w:rFonts w:hint="eastAsia" w:eastAsia="宋体"/>
                <w:color w:val="auto"/>
                <w:lang w:eastAsia="zh-CN"/>
              </w:rPr>
            </w:pPr>
            <w:r>
              <w:rPr>
                <w:color w:val="auto"/>
                <w:sz w:val="24"/>
              </w:rPr>
              <w:t>厂区呈矩形，</w:t>
            </w:r>
            <w:r>
              <w:rPr>
                <w:rFonts w:hint="eastAsia"/>
                <w:color w:val="auto"/>
                <w:sz w:val="24"/>
                <w:lang w:eastAsia="zh-CN"/>
              </w:rPr>
              <w:t>新建</w:t>
            </w:r>
            <w:r>
              <w:rPr>
                <w:rFonts w:hint="eastAsia"/>
                <w:color w:val="auto"/>
                <w:sz w:val="24"/>
                <w:lang w:val="en-US" w:eastAsia="zh-CN"/>
              </w:rPr>
              <w:t>1#厂房、2#厂房1F，1#厂房和2#厂房作为生产车间。</w:t>
            </w:r>
            <w:r>
              <w:rPr>
                <w:rFonts w:hint="eastAsia"/>
                <w:color w:val="auto"/>
                <w:sz w:val="24"/>
                <w:lang w:eastAsia="zh-CN"/>
              </w:rPr>
              <w:t>本项</w:t>
            </w:r>
            <w:r>
              <w:rPr>
                <w:rFonts w:ascii="Times New Roman" w:hAnsi="Times New Roman"/>
                <w:color w:val="auto"/>
                <w:spacing w:val="0"/>
                <w:sz w:val="24"/>
              </w:rPr>
              <w:t>目平面布置图具体见附图</w:t>
            </w:r>
            <w:r>
              <w:rPr>
                <w:rFonts w:hint="eastAsia" w:ascii="Times New Roman" w:hAnsi="Times New Roman"/>
                <w:color w:val="auto"/>
                <w:spacing w:val="0"/>
                <w:sz w:val="24"/>
                <w:lang w:eastAsia="zh-CN"/>
              </w:rPr>
              <w:t>。</w:t>
            </w:r>
          </w:p>
          <w:p>
            <w:pPr>
              <w:tabs>
                <w:tab w:val="left" w:pos="630"/>
              </w:tabs>
              <w:spacing w:line="360" w:lineRule="auto"/>
              <w:ind w:firstLine="482"/>
              <w:rPr>
                <w:rFonts w:hint="eastAsia" w:eastAsia="宋体"/>
                <w:color w:val="auto"/>
                <w:sz w:val="24"/>
                <w:lang w:val="zh-CN" w:eastAsia="zh-CN"/>
              </w:rPr>
            </w:pPr>
            <w:r>
              <w:rPr>
                <w:color w:val="auto"/>
                <w:sz w:val="24"/>
              </w:rPr>
              <w:t>从整个厂区平面布置可以看出，布局总体流程顺畅，布局紧凑，符合防火、安全卫生、环保、交通、运输、生产工艺流程等需求。总体上做到按功能分区，系统分明，布置整齐</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1" w:hRule="atLeast"/>
          <w:jc w:val="center"/>
        </w:trPr>
        <w:tc>
          <w:tcPr>
            <w:tcW w:w="823" w:type="dxa"/>
            <w:noWrap w:val="0"/>
            <w:vAlign w:val="center"/>
          </w:tcPr>
          <w:p>
            <w:pPr>
              <w:pStyle w:val="17"/>
              <w:adjustRightInd w:val="0"/>
              <w:snapToGrid w:val="0"/>
              <w:spacing w:before="0" w:beforeAutospacing="0" w:after="0" w:afterAutospacing="0"/>
              <w:jc w:val="center"/>
              <w:rPr>
                <w:rFonts w:ascii="Times New Roman" w:hAnsi="Times New Roman"/>
                <w:color w:val="auto"/>
                <w:szCs w:val="24"/>
                <w:lang w:val="en-US" w:eastAsia="zh-CN"/>
              </w:rPr>
            </w:pPr>
            <w:r>
              <w:rPr>
                <w:rFonts w:ascii="Times New Roman" w:hAnsi="Times New Roman"/>
                <w:color w:val="auto"/>
                <w:szCs w:val="24"/>
                <w:lang w:val="en-US" w:eastAsia="zh-CN"/>
              </w:rPr>
              <w:t>工艺流程和产排污环节</w:t>
            </w:r>
          </w:p>
        </w:tc>
        <w:tc>
          <w:tcPr>
            <w:tcW w:w="8161"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rFonts w:hint="eastAsia"/>
                <w:b/>
                <w:bCs/>
                <w:color w:val="auto"/>
                <w:sz w:val="24"/>
                <w:lang w:eastAsia="zh-CN"/>
              </w:rPr>
              <w:t>（一）</w:t>
            </w:r>
            <w:r>
              <w:rPr>
                <w:b/>
                <w:bCs/>
                <w:color w:val="auto"/>
                <w:sz w:val="24"/>
              </w:rPr>
              <w:t>生产工艺流程及产污环节</w:t>
            </w:r>
          </w:p>
          <w:p>
            <w:pPr>
              <w:pStyle w:val="25"/>
              <w:numPr>
                <w:ilvl w:val="0"/>
                <w:numId w:val="3"/>
              </w:numPr>
              <w:spacing w:line="360" w:lineRule="auto"/>
              <w:ind w:firstLine="482" w:firstLineChars="200"/>
              <w:rPr>
                <w:b/>
                <w:bCs/>
                <w:color w:val="auto"/>
              </w:rPr>
            </w:pPr>
            <w:r>
              <w:rPr>
                <w:rFonts w:hint="eastAsia"/>
                <w:b/>
                <w:bCs/>
                <w:color w:val="auto"/>
                <w:lang w:val="en-US" w:eastAsia="zh-CN"/>
              </w:rPr>
              <w:t>PET塑料瓶</w:t>
            </w:r>
          </w:p>
          <w:p>
            <w:pPr>
              <w:pStyle w:val="25"/>
              <w:spacing w:line="360" w:lineRule="auto"/>
              <w:jc w:val="center"/>
              <w:rPr>
                <w:rFonts w:hint="eastAsia" w:eastAsia="宋体"/>
                <w:color w:val="auto"/>
                <w:lang w:eastAsia="zh-CN"/>
              </w:rPr>
            </w:pPr>
            <w:r>
              <w:rPr>
                <w:rFonts w:hint="eastAsia"/>
                <w:b/>
                <w:bCs/>
                <w:color w:val="auto"/>
                <w:lang w:val="en-US" w:eastAsia="zh-CN" w:bidi="ar"/>
              </w:rPr>
              <w:drawing>
                <wp:inline distT="0" distB="0" distL="114300" distR="114300">
                  <wp:extent cx="4669790" cy="4289425"/>
                  <wp:effectExtent l="0" t="0" r="0" b="0"/>
                  <wp:docPr id="1" name="ECB019B1-382A-4266-B25C-5B523AA43C14-1" descr="C:/Users/Administrator/AppData/Local/Temp/wps.jGqZq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jGqZqBwps"/>
                          <pic:cNvPicPr>
                            <a:picLocks noChangeAspect="1"/>
                          </pic:cNvPicPr>
                        </pic:nvPicPr>
                        <pic:blipFill>
                          <a:blip r:embed="rId8"/>
                          <a:stretch>
                            <a:fillRect/>
                          </a:stretch>
                        </pic:blipFill>
                        <pic:spPr>
                          <a:xfrm>
                            <a:off x="0" y="0"/>
                            <a:ext cx="4669790" cy="4289425"/>
                          </a:xfrm>
                          <a:prstGeom prst="rect">
                            <a:avLst/>
                          </a:prstGeom>
                          <a:noFill/>
                          <a:ln>
                            <a:noFill/>
                          </a:ln>
                        </pic:spPr>
                      </pic:pic>
                    </a:graphicData>
                  </a:graphic>
                </wp:inline>
              </w:drawing>
            </w:r>
          </w:p>
          <w:p>
            <w:pPr>
              <w:pStyle w:val="25"/>
              <w:spacing w:line="360" w:lineRule="auto"/>
              <w:jc w:val="center"/>
              <w:rPr>
                <w:b/>
                <w:bCs/>
                <w:color w:val="auto"/>
                <w:lang w:bidi="ar"/>
              </w:rPr>
            </w:pPr>
            <w:r>
              <w:rPr>
                <w:b/>
                <w:bCs/>
                <w:color w:val="auto"/>
              </w:rPr>
              <w:t xml:space="preserve">图2-1  </w:t>
            </w:r>
            <w:r>
              <w:rPr>
                <w:rFonts w:hint="eastAsia"/>
                <w:b/>
                <w:bCs/>
                <w:color w:val="auto"/>
                <w:lang w:val="en-US" w:eastAsia="zh-CN"/>
              </w:rPr>
              <w:t>PET塑料瓶</w:t>
            </w:r>
            <w:r>
              <w:rPr>
                <w:b/>
                <w:bCs/>
                <w:color w:val="auto"/>
              </w:rPr>
              <w:t>生产工艺流程及产污环节图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hAnsi="宋体"/>
                <w:color w:val="000000"/>
                <w:spacing w:val="6"/>
                <w:sz w:val="24"/>
                <w:lang w:eastAsia="zh-CN"/>
              </w:rPr>
            </w:pPr>
            <w:r>
              <w:rPr>
                <w:rFonts w:hint="eastAsia" w:hAnsi="宋体"/>
                <w:color w:val="000000"/>
                <w:spacing w:val="6"/>
                <w:sz w:val="21"/>
                <w:szCs w:val="21"/>
              </w:rPr>
              <w:t>注：N：噪声，G1：</w:t>
            </w:r>
            <w:r>
              <w:rPr>
                <w:rFonts w:hint="eastAsia" w:hAnsi="宋体"/>
                <w:color w:val="000000"/>
                <w:spacing w:val="6"/>
                <w:sz w:val="21"/>
                <w:szCs w:val="21"/>
                <w:lang w:eastAsia="zh-CN"/>
              </w:rPr>
              <w:t>有机废气（以</w:t>
            </w:r>
            <w:r>
              <w:rPr>
                <w:rFonts w:hint="eastAsia" w:hAnsi="宋体"/>
                <w:color w:val="000000"/>
                <w:spacing w:val="6"/>
                <w:sz w:val="21"/>
                <w:szCs w:val="21"/>
              </w:rPr>
              <w:t>非甲烷总烃</w:t>
            </w:r>
            <w:r>
              <w:rPr>
                <w:rFonts w:hint="eastAsia" w:hAnsi="宋体"/>
                <w:color w:val="000000"/>
                <w:spacing w:val="6"/>
                <w:sz w:val="21"/>
                <w:szCs w:val="21"/>
                <w:lang w:eastAsia="zh-CN"/>
              </w:rPr>
              <w:t>计）</w:t>
            </w:r>
            <w:r>
              <w:rPr>
                <w:rFonts w:hint="eastAsia" w:hAnsi="宋体"/>
                <w:color w:val="000000"/>
                <w:spacing w:val="6"/>
                <w:sz w:val="21"/>
                <w:szCs w:val="21"/>
              </w:rPr>
              <w:t>，S：</w:t>
            </w:r>
            <w:r>
              <w:rPr>
                <w:rFonts w:hint="eastAsia" w:hAnsi="宋体"/>
                <w:color w:val="000000"/>
                <w:spacing w:val="6"/>
                <w:sz w:val="21"/>
                <w:szCs w:val="21"/>
                <w:lang w:eastAsia="zh-CN"/>
              </w:rPr>
              <w:t>边角料</w:t>
            </w:r>
          </w:p>
          <w:p>
            <w:pPr>
              <w:pStyle w:val="25"/>
              <w:snapToGrid w:val="0"/>
              <w:spacing w:line="360" w:lineRule="auto"/>
              <w:ind w:firstLine="482" w:firstLineChars="200"/>
              <w:jc w:val="both"/>
              <w:rPr>
                <w:b/>
                <w:bCs/>
                <w:color w:val="auto"/>
                <w:lang w:bidi="ar"/>
              </w:rPr>
            </w:pPr>
            <w:r>
              <w:rPr>
                <w:b/>
                <w:bCs/>
                <w:color w:val="auto"/>
                <w:lang w:bidi="ar"/>
              </w:rPr>
              <w:t>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szCs w:val="24"/>
              </w:rPr>
            </w:pPr>
            <w:r>
              <w:rPr>
                <w:rFonts w:hAnsi="宋体"/>
                <w:b/>
                <w:bCs/>
                <w:color w:val="000000"/>
                <w:sz w:val="24"/>
                <w:szCs w:val="24"/>
              </w:rPr>
              <w:t>混合：</w:t>
            </w:r>
            <w:r>
              <w:rPr>
                <w:rFonts w:hAnsi="宋体"/>
                <w:color w:val="000000"/>
                <w:sz w:val="24"/>
                <w:szCs w:val="24"/>
              </w:rPr>
              <w:t>将外购</w:t>
            </w:r>
            <w:r>
              <w:rPr>
                <w:rFonts w:hAnsi="宋体"/>
                <w:color w:val="auto"/>
                <w:sz w:val="24"/>
                <w:szCs w:val="24"/>
              </w:rPr>
              <w:t>的</w:t>
            </w:r>
            <w:r>
              <w:rPr>
                <w:rFonts w:hint="eastAsia" w:hAnsi="宋体"/>
                <w:color w:val="auto"/>
                <w:sz w:val="24"/>
                <w:szCs w:val="24"/>
                <w:lang w:val="en-US" w:eastAsia="zh-CN"/>
              </w:rPr>
              <w:t>PET</w:t>
            </w:r>
            <w:r>
              <w:rPr>
                <w:rFonts w:hAnsi="宋体"/>
                <w:color w:val="auto"/>
                <w:sz w:val="24"/>
                <w:szCs w:val="24"/>
              </w:rPr>
              <w:t>热塑性树脂</w:t>
            </w:r>
            <w:r>
              <w:rPr>
                <w:rFonts w:hint="eastAsia" w:hAnsi="宋体"/>
                <w:color w:val="auto"/>
                <w:sz w:val="24"/>
                <w:szCs w:val="24"/>
                <w:lang w:eastAsia="zh-CN"/>
              </w:rPr>
              <w:t>、聚乙烯热塑性树脂</w:t>
            </w:r>
            <w:r>
              <w:rPr>
                <w:rFonts w:hAnsi="宋体"/>
                <w:color w:val="auto"/>
                <w:sz w:val="24"/>
                <w:szCs w:val="24"/>
              </w:rPr>
              <w:t>经混合</w:t>
            </w:r>
            <w:r>
              <w:rPr>
                <w:rFonts w:hint="eastAsia" w:hAnsi="宋体"/>
                <w:color w:val="auto"/>
                <w:sz w:val="24"/>
                <w:szCs w:val="24"/>
                <w:lang w:eastAsia="zh-CN"/>
              </w:rPr>
              <w:t>后</w:t>
            </w:r>
            <w:r>
              <w:rPr>
                <w:rFonts w:hAnsi="宋体"/>
                <w:color w:val="auto"/>
                <w:sz w:val="24"/>
                <w:szCs w:val="24"/>
              </w:rPr>
              <w:t>加入色母粒</w:t>
            </w:r>
            <w:r>
              <w:rPr>
                <w:rFonts w:hint="eastAsia" w:hAnsi="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olor w:val="000000"/>
                <w:sz w:val="24"/>
                <w:szCs w:val="24"/>
                <w:lang w:eastAsia="zh-CN"/>
              </w:rPr>
            </w:pPr>
            <w:r>
              <w:rPr>
                <w:rFonts w:hAnsi="宋体"/>
                <w:b/>
                <w:bCs/>
                <w:color w:val="auto"/>
                <w:sz w:val="24"/>
                <w:szCs w:val="24"/>
              </w:rPr>
              <w:t>注塑：</w:t>
            </w:r>
            <w:r>
              <w:rPr>
                <w:rFonts w:hAnsi="宋体"/>
                <w:color w:val="auto"/>
                <w:sz w:val="24"/>
                <w:szCs w:val="24"/>
              </w:rPr>
              <w:t>将</w:t>
            </w:r>
            <w:r>
              <w:rPr>
                <w:rFonts w:hint="eastAsia" w:hAnsi="宋体"/>
                <w:color w:val="auto"/>
                <w:sz w:val="24"/>
                <w:szCs w:val="24"/>
              </w:rPr>
              <w:t>混合</w:t>
            </w:r>
            <w:r>
              <w:rPr>
                <w:rFonts w:hint="eastAsia" w:hAnsi="宋体"/>
                <w:color w:val="auto"/>
                <w:sz w:val="24"/>
                <w:szCs w:val="24"/>
                <w:lang w:eastAsia="zh-CN"/>
              </w:rPr>
              <w:t>后</w:t>
            </w:r>
            <w:r>
              <w:rPr>
                <w:rFonts w:hint="eastAsia" w:hAnsi="宋体"/>
                <w:color w:val="auto"/>
                <w:sz w:val="24"/>
                <w:szCs w:val="24"/>
              </w:rPr>
              <w:t>的</w:t>
            </w:r>
            <w:r>
              <w:rPr>
                <w:rFonts w:hAnsi="宋体"/>
                <w:color w:val="auto"/>
                <w:sz w:val="24"/>
                <w:szCs w:val="24"/>
              </w:rPr>
              <w:t>原材料</w:t>
            </w:r>
            <w:r>
              <w:rPr>
                <w:rFonts w:hint="eastAsia" w:hAnsi="宋体"/>
                <w:color w:val="auto"/>
                <w:sz w:val="24"/>
                <w:szCs w:val="24"/>
              </w:rPr>
              <w:t>通过管道流</w:t>
            </w:r>
            <w:r>
              <w:rPr>
                <w:rFonts w:hAnsi="宋体"/>
                <w:color w:val="auto"/>
                <w:sz w:val="24"/>
                <w:szCs w:val="24"/>
              </w:rPr>
              <w:t>入一体式注塑机中</w:t>
            </w:r>
            <w:r>
              <w:rPr>
                <w:rFonts w:hint="eastAsia" w:hAnsi="宋体"/>
                <w:color w:val="auto"/>
                <w:sz w:val="24"/>
                <w:szCs w:val="24"/>
                <w:lang w:eastAsia="zh-CN"/>
              </w:rPr>
              <w:t>，</w:t>
            </w:r>
            <w:r>
              <w:rPr>
                <w:rFonts w:hAnsi="宋体"/>
                <w:color w:val="auto"/>
                <w:sz w:val="24"/>
                <w:szCs w:val="24"/>
              </w:rPr>
              <w:t>经高温加热成</w:t>
            </w:r>
            <w:r>
              <w:rPr>
                <w:rFonts w:hint="eastAsia" w:hAnsi="宋体"/>
                <w:color w:val="auto"/>
                <w:sz w:val="24"/>
                <w:szCs w:val="24"/>
              </w:rPr>
              <w:t>熔融状态</w:t>
            </w:r>
            <w:r>
              <w:rPr>
                <w:rFonts w:hAnsi="宋体"/>
                <w:color w:val="auto"/>
                <w:sz w:val="24"/>
                <w:szCs w:val="24"/>
              </w:rPr>
              <w:t>，</w:t>
            </w:r>
            <w:r>
              <w:rPr>
                <w:rFonts w:hint="eastAsia" w:hAnsi="宋体"/>
                <w:color w:val="auto"/>
                <w:sz w:val="24"/>
                <w:szCs w:val="24"/>
              </w:rPr>
              <w:t>加热采用电加热，</w:t>
            </w:r>
            <w:r>
              <w:rPr>
                <w:rFonts w:hint="eastAsia" w:hAnsi="宋体"/>
                <w:color w:val="auto"/>
                <w:sz w:val="24"/>
                <w:szCs w:val="24"/>
                <w:lang w:val="en-US" w:eastAsia="zh-CN"/>
              </w:rPr>
              <w:t>PET塑料</w:t>
            </w:r>
            <w:r>
              <w:rPr>
                <w:rFonts w:hint="eastAsia" w:hAnsi="宋体"/>
                <w:color w:val="auto"/>
                <w:sz w:val="24"/>
                <w:szCs w:val="24"/>
              </w:rPr>
              <w:t>加热</w:t>
            </w:r>
            <w:r>
              <w:rPr>
                <w:rFonts w:hAnsi="宋体"/>
                <w:color w:val="auto"/>
                <w:sz w:val="24"/>
                <w:szCs w:val="24"/>
              </w:rPr>
              <w:t>温度在</w:t>
            </w:r>
            <w:r>
              <w:rPr>
                <w:rFonts w:hint="eastAsia"/>
                <w:color w:val="auto"/>
                <w:sz w:val="24"/>
                <w:szCs w:val="24"/>
                <w:lang w:val="en-US" w:eastAsia="zh-CN"/>
              </w:rPr>
              <w:t>260~280</w:t>
            </w:r>
            <w:r>
              <w:rPr>
                <w:rFonts w:ascii="宋体" w:hAnsi="宋体"/>
                <w:color w:val="auto"/>
                <w:sz w:val="24"/>
                <w:szCs w:val="24"/>
              </w:rPr>
              <w:t>℃</w:t>
            </w:r>
            <w:r>
              <w:rPr>
                <w:rFonts w:hAnsi="宋体"/>
                <w:color w:val="auto"/>
                <w:sz w:val="24"/>
                <w:szCs w:val="24"/>
              </w:rPr>
              <w:t>之间</w:t>
            </w:r>
            <w:r>
              <w:rPr>
                <w:rFonts w:hint="eastAsia" w:hAnsi="宋体"/>
                <w:color w:val="auto"/>
                <w:sz w:val="24"/>
                <w:szCs w:val="24"/>
                <w:lang w:eastAsia="zh-CN"/>
              </w:rPr>
              <w:t>。</w:t>
            </w:r>
            <w:r>
              <w:rPr>
                <w:rFonts w:hint="eastAsia" w:hAnsi="宋体"/>
                <w:color w:val="auto"/>
                <w:sz w:val="24"/>
                <w:szCs w:val="24"/>
              </w:rPr>
              <w:t>将熔融状态的材料通过管道加到注塑机时会经过冷却水冷却原材料使之温度降低，便于成型，此过程</w:t>
            </w:r>
            <w:r>
              <w:rPr>
                <w:rFonts w:hint="eastAsia" w:hAnsi="宋体"/>
                <w:b w:val="0"/>
                <w:bCs w:val="0"/>
                <w:color w:val="auto"/>
                <w:sz w:val="24"/>
                <w:szCs w:val="24"/>
                <w:lang w:eastAsia="zh-CN"/>
              </w:rPr>
              <w:t>为</w:t>
            </w:r>
            <w:r>
              <w:rPr>
                <w:rFonts w:hint="eastAsia" w:hAnsi="宋体"/>
                <w:b/>
                <w:bCs/>
                <w:color w:val="auto"/>
                <w:sz w:val="24"/>
                <w:szCs w:val="24"/>
                <w:lang w:eastAsia="zh-CN"/>
              </w:rPr>
              <w:t>间接冷却</w:t>
            </w:r>
            <w:r>
              <w:rPr>
                <w:rFonts w:hint="eastAsia" w:hAnsi="宋体"/>
                <w:b w:val="0"/>
                <w:bCs w:val="0"/>
                <w:color w:val="auto"/>
                <w:sz w:val="24"/>
                <w:szCs w:val="24"/>
                <w:lang w:eastAsia="zh-CN"/>
              </w:rPr>
              <w:t>，</w:t>
            </w:r>
            <w:r>
              <w:rPr>
                <w:rFonts w:hint="eastAsia" w:hAnsi="宋体"/>
                <w:color w:val="auto"/>
                <w:sz w:val="24"/>
                <w:szCs w:val="24"/>
              </w:rPr>
              <w:t>产生的冷却</w:t>
            </w:r>
            <w:r>
              <w:rPr>
                <w:rFonts w:hint="eastAsia" w:hAnsi="宋体"/>
                <w:color w:val="000000"/>
                <w:sz w:val="24"/>
                <w:szCs w:val="24"/>
              </w:rPr>
              <w:t>水回流</w:t>
            </w:r>
            <w:r>
              <w:rPr>
                <w:rFonts w:hint="eastAsia" w:ascii="Times New Roman" w:hAnsi="宋体" w:cs="Times New Roman"/>
                <w:color w:val="000000"/>
                <w:sz w:val="24"/>
                <w:szCs w:val="24"/>
                <w:lang w:val="en-US" w:eastAsia="zh-CN"/>
              </w:rPr>
              <w:t>冷水塔和冷却水池中，循环使用。注塑后形成瓶坯，需进行存放，后续</w:t>
            </w:r>
            <w:r>
              <w:rPr>
                <w:rFonts w:hint="eastAsia" w:hAnsi="宋体"/>
                <w:color w:val="000000"/>
                <w:sz w:val="24"/>
                <w:szCs w:val="24"/>
                <w:lang w:eastAsia="zh-CN"/>
              </w:rPr>
              <w:t>可进行加热、吹塑过程。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eastAsia="宋体"/>
                <w:b/>
                <w:bCs/>
                <w:color w:val="000000"/>
                <w:sz w:val="24"/>
                <w:szCs w:val="24"/>
                <w:lang w:eastAsia="zh-CN"/>
              </w:rPr>
            </w:pPr>
            <w:r>
              <w:rPr>
                <w:rFonts w:hAnsi="宋体"/>
                <w:b/>
                <w:bCs/>
                <w:color w:val="000000"/>
                <w:sz w:val="24"/>
                <w:szCs w:val="24"/>
              </w:rPr>
              <w:t>瓶坯加热</w:t>
            </w:r>
            <w:r>
              <w:rPr>
                <w:rFonts w:hint="eastAsia" w:hAnsi="宋体"/>
                <w:b/>
                <w:bCs/>
                <w:color w:val="000000"/>
                <w:sz w:val="24"/>
                <w:szCs w:val="24"/>
                <w:lang w:eastAsia="zh-CN"/>
              </w:rPr>
              <w:t>：</w:t>
            </w:r>
            <w:r>
              <w:rPr>
                <w:rFonts w:ascii="宋体" w:hAnsi="宋体" w:eastAsia="宋体" w:cs="宋体"/>
                <w:sz w:val="24"/>
                <w:szCs w:val="24"/>
              </w:rPr>
              <w:t>瓶坯的加热由加热烘箱来完成，其温度由人工设定，自动调节。烘箱中由远红外灯管发出远红外线对瓶坯辐射加热，由烘箱底部风机进行热循环，使烘箱内温度均匀</w:t>
            </w:r>
            <w:r>
              <w:rPr>
                <w:rFonts w:hint="eastAsia" w:ascii="宋体" w:hAnsi="宋体" w:eastAsia="宋体" w:cs="宋体"/>
                <w:sz w:val="24"/>
                <w:szCs w:val="24"/>
                <w:lang w:eastAsia="zh-CN"/>
              </w:rPr>
              <w:t>，</w:t>
            </w:r>
            <w:r>
              <w:rPr>
                <w:rFonts w:ascii="宋体" w:hAnsi="宋体" w:eastAsia="宋体" w:cs="宋体"/>
                <w:sz w:val="24"/>
                <w:szCs w:val="24"/>
              </w:rPr>
              <w:t>瓶坯在烘箱中向前运动的同时自转，使瓶坯壁受热均匀</w:t>
            </w:r>
            <w:r>
              <w:rPr>
                <w:rFonts w:hint="eastAsia" w:ascii="宋体" w:hAnsi="宋体" w:eastAsia="宋体" w:cs="宋体"/>
                <w:sz w:val="24"/>
                <w:szCs w:val="24"/>
                <w:lang w:eastAsia="zh-CN"/>
              </w:rPr>
              <w:t>，方便下一步吹坯成瓶</w:t>
            </w:r>
            <w:r>
              <w:rPr>
                <w:rFonts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eastAsia="zh-CN"/>
              </w:rPr>
            </w:pPr>
            <w:r>
              <w:rPr>
                <w:rFonts w:hAnsi="宋体"/>
                <w:b/>
                <w:bCs/>
                <w:color w:val="000000"/>
                <w:sz w:val="24"/>
                <w:szCs w:val="24"/>
              </w:rPr>
              <w:t>吹塑：</w:t>
            </w:r>
            <w:r>
              <w:rPr>
                <w:rFonts w:ascii="宋体" w:hAnsi="宋体" w:eastAsia="宋体" w:cs="宋体"/>
                <w:sz w:val="24"/>
                <w:szCs w:val="24"/>
                <w:u w:val="single"/>
              </w:rPr>
              <w:t>注塑成型后的瓶坯或加热后再用的瓶坯必须冷却48h以上，而且使用的瓶坯存放时间不能超过6个月，不同生产日期，特别是间隔过长的瓶坯不能混用，主要原因是瓶坯所用原料型号、混入的二次料比例和瓶坯内残余应力不同所致</w:t>
            </w:r>
            <w:r>
              <w:rPr>
                <w:rFonts w:ascii="宋体" w:hAnsi="宋体" w:eastAsia="宋体" w:cs="宋体"/>
                <w:color w:val="auto"/>
                <w:sz w:val="24"/>
                <w:szCs w:val="24"/>
                <w:u w:val="single"/>
              </w:rPr>
              <w:t>，而这些因素对吹瓶的成型工艺都有重大影响，应根据实际情况具体对待</w:t>
            </w:r>
            <w:r>
              <w:rPr>
                <w:rFonts w:hint="eastAsia" w:ascii="宋体" w:hAnsi="宋体" w:eastAsia="宋体" w:cs="宋体"/>
                <w:color w:val="auto"/>
                <w:sz w:val="24"/>
                <w:szCs w:val="24"/>
                <w:lang w:eastAsia="zh-CN"/>
              </w:rPr>
              <w:t>。吹塑过程是一个双向拉伸的过程，在此过程中，PET链呈双向延伸、取向和排列</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从而增</w:t>
            </w:r>
            <w:r>
              <w:rPr>
                <w:rFonts w:hint="eastAsia" w:ascii="宋体" w:hAnsi="宋体" w:eastAsia="宋体" w:cs="宋体"/>
                <w:sz w:val="24"/>
                <w:szCs w:val="24"/>
                <w:lang w:eastAsia="zh-CN"/>
              </w:rPr>
              <w:t>加了瓶壁的机械性能，提高了拉伸、抗张、抗冲强度，并有很好的气密性。虽然拉伸有助于提高强度，但也不能过分拉伸，要控制好拉伸吹胀数比：径向不要超过3.5～4.2倍，轴向不要超过2.8～3.1倍。瓶胚的壁厚不要超过4.3mm。</w:t>
            </w:r>
            <w:r>
              <w:rPr>
                <w:rFonts w:ascii="宋体" w:hAnsi="宋体" w:eastAsia="宋体" w:cs="宋体"/>
                <w:sz w:val="24"/>
                <w:szCs w:val="24"/>
              </w:rPr>
              <w:t>吹瓶是在玻璃化温度和结晶温度之间进行的，一般控制在90～110度之间。在此区间PET表现为高弹态，快速吹塑、冷却定形后成为透明的瓶子</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hAnsi="宋体"/>
                <w:b/>
                <w:bCs/>
                <w:color w:val="auto"/>
                <w:sz w:val="24"/>
                <w:szCs w:val="24"/>
                <w:lang w:val="en-US" w:eastAsia="zh-CN"/>
              </w:rPr>
              <w:t>空压机：</w:t>
            </w:r>
            <w:r>
              <w:rPr>
                <w:rFonts w:hint="eastAsia" w:ascii="宋体" w:hAnsi="宋体" w:eastAsia="宋体" w:cs="宋体"/>
                <w:color w:val="auto"/>
                <w:sz w:val="24"/>
                <w:szCs w:val="24"/>
                <w:u w:val="single"/>
                <w:lang w:val="en-US" w:eastAsia="zh-CN"/>
              </w:rPr>
              <w:t>压缩气体体积，使单位体积内气体分子的密度增加以提高压缩空气的能力。储气</w:t>
            </w:r>
            <w:r>
              <w:rPr>
                <w:rFonts w:hint="eastAsia" w:ascii="宋体" w:hAnsi="宋体" w:eastAsia="宋体" w:cs="宋体"/>
                <w:sz w:val="24"/>
                <w:szCs w:val="24"/>
                <w:u w:val="single"/>
                <w:lang w:val="en-US" w:eastAsia="zh-CN"/>
              </w:rPr>
              <w:t>罐不仅可以给压缩空气提供一个缓冲和储气的空间，还可以起到给压缩空气降温的作用。当压缩空气通过储气罐时，高速的气流撞击到储气罐壁使其产生汇流，在储气罐内使温度快速下降，使大量的水蒸气液化，形成冷凝水</w:t>
            </w:r>
            <w:r>
              <w:rPr>
                <w:rFonts w:hint="eastAsia" w:ascii="宋体" w:hAnsi="宋体" w:cs="宋体"/>
                <w:sz w:val="24"/>
                <w:szCs w:val="24"/>
                <w:u w:val="single"/>
                <w:lang w:val="en-US" w:eastAsia="zh-CN"/>
              </w:rPr>
              <w:t>。冷凝水作为清下水，定期通过设备自带的自动排水器排入下水道</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eastAsia="宋体"/>
                <w:color w:val="000000"/>
                <w:sz w:val="24"/>
                <w:szCs w:val="24"/>
                <w:lang w:eastAsia="zh-CN"/>
              </w:rPr>
            </w:pPr>
            <w:r>
              <w:rPr>
                <w:rFonts w:hint="eastAsia" w:ascii="Times New Roman" w:hAnsi="宋体" w:cs="Times New Roman"/>
                <w:b/>
                <w:bCs/>
                <w:color w:val="000000"/>
                <w:sz w:val="24"/>
                <w:szCs w:val="24"/>
                <w:lang w:eastAsia="zh-CN"/>
              </w:rPr>
              <w:t>冷水塔和冷却水池：</w:t>
            </w:r>
            <w:r>
              <w:rPr>
                <w:rFonts w:hAnsi="宋体"/>
                <w:color w:val="000000"/>
                <w:sz w:val="24"/>
                <w:szCs w:val="24"/>
              </w:rPr>
              <w:t>注塑、吹塑过程中间接对材料进行降温、冷却，冷却时产生的生产用水循环使用，</w:t>
            </w:r>
            <w:r>
              <w:rPr>
                <w:rFonts w:hint="eastAsia" w:hAnsi="宋体"/>
                <w:color w:val="000000"/>
                <w:sz w:val="24"/>
                <w:szCs w:val="24"/>
                <w:lang w:eastAsia="zh-CN"/>
              </w:rPr>
              <w:t>不外排。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lang w:val="en-US" w:eastAsia="zh-CN" w:bidi="ar"/>
              </w:rPr>
            </w:pPr>
            <w:r>
              <w:rPr>
                <w:rFonts w:hint="eastAsia" w:hAnsi="宋体"/>
                <w:b/>
                <w:bCs/>
                <w:color w:val="000000"/>
                <w:sz w:val="24"/>
                <w:szCs w:val="24"/>
                <w:lang w:eastAsia="zh-CN"/>
              </w:rPr>
              <w:t>检验</w:t>
            </w:r>
            <w:r>
              <w:rPr>
                <w:rFonts w:hAnsi="宋体"/>
                <w:b/>
                <w:bCs/>
                <w:color w:val="000000"/>
                <w:sz w:val="24"/>
                <w:szCs w:val="24"/>
              </w:rPr>
              <w:t>：</w:t>
            </w:r>
            <w:r>
              <w:rPr>
                <w:rFonts w:hAnsi="宋体"/>
                <w:color w:val="000000"/>
                <w:sz w:val="24"/>
                <w:szCs w:val="24"/>
              </w:rPr>
              <w:t>吹塑成型的成品经检验、测试合格后运至成品存放区，待售</w:t>
            </w:r>
            <w:r>
              <w:rPr>
                <w:rFonts w:hint="eastAsia" w:hAnsi="宋体"/>
                <w:color w:val="000000"/>
                <w:sz w:val="24"/>
                <w:szCs w:val="24"/>
                <w:lang w:eastAsia="zh-CN"/>
              </w:rPr>
              <w:t>。</w:t>
            </w: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p>
          <w:p>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200"/>
              <w:jc w:val="both"/>
              <w:textAlignment w:val="auto"/>
              <w:rPr>
                <w:rFonts w:hint="eastAsia"/>
                <w:b/>
                <w:bCs/>
                <w:color w:val="auto"/>
                <w:lang w:val="en-US" w:eastAsia="zh-CN" w:bidi="ar"/>
              </w:rPr>
            </w:pPr>
            <w:r>
              <w:rPr>
                <w:rFonts w:hint="eastAsia"/>
                <w:b/>
                <w:bCs/>
                <w:color w:val="auto"/>
                <w:lang w:val="en-US" w:eastAsia="zh-CN" w:bidi="ar"/>
              </w:rPr>
              <w:t>2、HDPE塑料瓶</w:t>
            </w:r>
          </w:p>
          <w:p>
            <w:pPr>
              <w:pStyle w:val="25"/>
              <w:numPr>
                <w:ilvl w:val="0"/>
                <w:numId w:val="0"/>
              </w:numPr>
              <w:snapToGrid w:val="0"/>
              <w:spacing w:line="360" w:lineRule="auto"/>
              <w:jc w:val="center"/>
              <w:rPr>
                <w:rFonts w:hint="default"/>
                <w:b/>
                <w:bCs/>
                <w:color w:val="auto"/>
                <w:lang w:val="en-US" w:eastAsia="zh-CN" w:bidi="ar"/>
              </w:rPr>
            </w:pPr>
            <w:r>
              <w:rPr>
                <w:rFonts w:hint="eastAsia"/>
                <w:b/>
                <w:bCs/>
                <w:color w:val="auto"/>
                <w:lang w:val="en-US" w:eastAsia="zh-CN" w:bidi="ar"/>
              </w:rPr>
              <w:drawing>
                <wp:inline distT="0" distB="0" distL="114300" distR="114300">
                  <wp:extent cx="4365625" cy="2676525"/>
                  <wp:effectExtent l="0" t="0" r="0" b="0"/>
                  <wp:docPr id="1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2" descr="wps"/>
                          <pic:cNvPicPr>
                            <a:picLocks noChangeAspect="1"/>
                          </pic:cNvPicPr>
                        </pic:nvPicPr>
                        <pic:blipFill>
                          <a:blip r:embed="rId9"/>
                          <a:stretch>
                            <a:fillRect/>
                          </a:stretch>
                        </pic:blipFill>
                        <pic:spPr>
                          <a:xfrm>
                            <a:off x="0" y="0"/>
                            <a:ext cx="4365625" cy="2676525"/>
                          </a:xfrm>
                          <a:prstGeom prst="rect">
                            <a:avLst/>
                          </a:prstGeom>
                        </pic:spPr>
                      </pic:pic>
                    </a:graphicData>
                  </a:graphic>
                </wp:inline>
              </w:drawing>
            </w:r>
          </w:p>
          <w:p>
            <w:pPr>
              <w:pStyle w:val="25"/>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b/>
                <w:bCs/>
                <w:color w:val="auto"/>
              </w:rPr>
            </w:pPr>
            <w:r>
              <w:rPr>
                <w:b/>
                <w:bCs/>
                <w:color w:val="auto"/>
              </w:rPr>
              <w:t>图2-</w:t>
            </w:r>
            <w:r>
              <w:rPr>
                <w:rFonts w:hint="eastAsia"/>
                <w:b/>
                <w:bCs/>
                <w:color w:val="auto"/>
                <w:lang w:val="en-US" w:eastAsia="zh-CN"/>
              </w:rPr>
              <w:t>2</w:t>
            </w:r>
            <w:r>
              <w:rPr>
                <w:b/>
                <w:bCs/>
                <w:color w:val="auto"/>
              </w:rPr>
              <w:t xml:space="preserve">  </w:t>
            </w:r>
            <w:r>
              <w:rPr>
                <w:rFonts w:hint="eastAsia"/>
                <w:b/>
                <w:bCs/>
                <w:color w:val="auto"/>
                <w:lang w:val="en-US" w:eastAsia="zh-CN"/>
              </w:rPr>
              <w:t>HDPE塑料瓶</w:t>
            </w:r>
            <w:r>
              <w:rPr>
                <w:b/>
                <w:bCs/>
                <w:color w:val="auto"/>
              </w:rPr>
              <w:t>生产工艺流程及产污环节图</w:t>
            </w:r>
          </w:p>
          <w:p>
            <w:pPr>
              <w:pStyle w:val="25"/>
              <w:snapToGrid w:val="0"/>
              <w:spacing w:line="360" w:lineRule="auto"/>
              <w:jc w:val="center"/>
              <w:rPr>
                <w:rFonts w:hint="eastAsia" w:hAnsi="宋体" w:eastAsia="宋体"/>
                <w:color w:val="000000"/>
                <w:spacing w:val="6"/>
                <w:sz w:val="24"/>
                <w:lang w:eastAsia="zh-CN"/>
              </w:rPr>
            </w:pPr>
            <w:r>
              <w:rPr>
                <w:rFonts w:hint="eastAsia" w:hAnsi="宋体"/>
                <w:color w:val="000000"/>
                <w:spacing w:val="6"/>
                <w:sz w:val="21"/>
                <w:szCs w:val="21"/>
              </w:rPr>
              <w:t>注：N：噪声，G1：</w:t>
            </w:r>
            <w:r>
              <w:rPr>
                <w:rFonts w:hint="eastAsia" w:hAnsi="宋体"/>
                <w:color w:val="000000"/>
                <w:spacing w:val="6"/>
                <w:sz w:val="21"/>
                <w:szCs w:val="21"/>
                <w:lang w:eastAsia="zh-CN"/>
              </w:rPr>
              <w:t>有机废气（以</w:t>
            </w:r>
            <w:r>
              <w:rPr>
                <w:rFonts w:hint="eastAsia" w:hAnsi="宋体"/>
                <w:color w:val="000000"/>
                <w:spacing w:val="6"/>
                <w:sz w:val="21"/>
                <w:szCs w:val="21"/>
              </w:rPr>
              <w:t>非甲烷总烃</w:t>
            </w:r>
            <w:r>
              <w:rPr>
                <w:rFonts w:hint="eastAsia" w:hAnsi="宋体"/>
                <w:color w:val="000000"/>
                <w:spacing w:val="6"/>
                <w:sz w:val="21"/>
                <w:szCs w:val="21"/>
                <w:lang w:eastAsia="zh-CN"/>
              </w:rPr>
              <w:t>计）</w:t>
            </w:r>
            <w:r>
              <w:rPr>
                <w:rFonts w:hint="eastAsia" w:hAnsi="宋体"/>
                <w:color w:val="000000"/>
                <w:spacing w:val="6"/>
                <w:sz w:val="21"/>
                <w:szCs w:val="21"/>
              </w:rPr>
              <w:t>，S：</w:t>
            </w:r>
            <w:r>
              <w:rPr>
                <w:rFonts w:hint="eastAsia" w:hAnsi="宋体"/>
                <w:color w:val="000000"/>
                <w:spacing w:val="6"/>
                <w:sz w:val="21"/>
                <w:szCs w:val="21"/>
                <w:lang w:eastAsia="zh-CN"/>
              </w:rPr>
              <w:t>边角料</w:t>
            </w:r>
          </w:p>
          <w:p>
            <w:pPr>
              <w:pStyle w:val="25"/>
              <w:snapToGrid w:val="0"/>
              <w:spacing w:line="360" w:lineRule="auto"/>
              <w:ind w:firstLine="482" w:firstLineChars="200"/>
              <w:jc w:val="both"/>
              <w:rPr>
                <w:b/>
                <w:bCs/>
                <w:color w:val="auto"/>
                <w:lang w:bidi="ar"/>
              </w:rPr>
            </w:pPr>
            <w:r>
              <w:rPr>
                <w:b/>
                <w:bCs/>
                <w:color w:val="auto"/>
                <w:lang w:bidi="ar"/>
              </w:rPr>
              <w:t>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szCs w:val="24"/>
              </w:rPr>
            </w:pPr>
            <w:r>
              <w:rPr>
                <w:rFonts w:hAnsi="宋体"/>
                <w:b/>
                <w:bCs/>
                <w:color w:val="000000"/>
                <w:sz w:val="24"/>
                <w:szCs w:val="24"/>
              </w:rPr>
              <w:t>混合：</w:t>
            </w:r>
            <w:r>
              <w:rPr>
                <w:rFonts w:hAnsi="宋体"/>
                <w:color w:val="000000"/>
                <w:sz w:val="24"/>
                <w:szCs w:val="24"/>
              </w:rPr>
              <w:t>将外</w:t>
            </w:r>
            <w:r>
              <w:rPr>
                <w:rFonts w:hAnsi="宋体"/>
                <w:color w:val="auto"/>
                <w:sz w:val="24"/>
                <w:szCs w:val="24"/>
              </w:rPr>
              <w:t>购的</w:t>
            </w:r>
            <w:r>
              <w:rPr>
                <w:rFonts w:hint="eastAsia" w:hAnsi="宋体"/>
                <w:color w:val="auto"/>
                <w:sz w:val="24"/>
                <w:szCs w:val="24"/>
                <w:lang w:val="en-US" w:eastAsia="zh-CN"/>
              </w:rPr>
              <w:t>HDPE</w:t>
            </w:r>
            <w:r>
              <w:rPr>
                <w:rFonts w:hAnsi="宋体"/>
                <w:color w:val="auto"/>
                <w:sz w:val="24"/>
                <w:szCs w:val="24"/>
              </w:rPr>
              <w:t>热塑性树脂</w:t>
            </w:r>
            <w:r>
              <w:rPr>
                <w:rFonts w:hint="eastAsia" w:hAnsi="宋体"/>
                <w:color w:val="auto"/>
                <w:sz w:val="24"/>
                <w:szCs w:val="24"/>
                <w:lang w:eastAsia="zh-CN"/>
              </w:rPr>
              <w:t>、聚丙烯热塑性树脂</w:t>
            </w:r>
            <w:r>
              <w:rPr>
                <w:rFonts w:hAnsi="宋体"/>
                <w:color w:val="auto"/>
                <w:sz w:val="24"/>
                <w:szCs w:val="24"/>
              </w:rPr>
              <w:t>经混合</w:t>
            </w:r>
            <w:r>
              <w:rPr>
                <w:rFonts w:hint="eastAsia" w:hAnsi="宋体"/>
                <w:color w:val="auto"/>
                <w:sz w:val="24"/>
                <w:szCs w:val="24"/>
                <w:lang w:eastAsia="zh-CN"/>
              </w:rPr>
              <w:t>后</w:t>
            </w:r>
            <w:r>
              <w:rPr>
                <w:rFonts w:hAnsi="宋体"/>
                <w:color w:val="auto"/>
                <w:sz w:val="24"/>
                <w:szCs w:val="24"/>
              </w:rPr>
              <w:t>加入色母粒</w:t>
            </w:r>
            <w:r>
              <w:rPr>
                <w:rFonts w:hint="eastAsia" w:hAnsi="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宋体" w:cs="Times New Roman"/>
                <w:color w:val="000000"/>
                <w:sz w:val="24"/>
                <w:szCs w:val="24"/>
                <w:lang w:eastAsia="zh-CN"/>
              </w:rPr>
            </w:pPr>
            <w:r>
              <w:rPr>
                <w:rFonts w:hAnsi="宋体"/>
                <w:b/>
                <w:bCs/>
                <w:color w:val="auto"/>
                <w:sz w:val="24"/>
                <w:szCs w:val="24"/>
              </w:rPr>
              <w:t>注塑：</w:t>
            </w:r>
            <w:r>
              <w:rPr>
                <w:rFonts w:hAnsi="宋体"/>
                <w:color w:val="auto"/>
                <w:sz w:val="24"/>
                <w:szCs w:val="24"/>
              </w:rPr>
              <w:t>将</w:t>
            </w:r>
            <w:r>
              <w:rPr>
                <w:rFonts w:hint="eastAsia" w:hAnsi="宋体"/>
                <w:color w:val="auto"/>
                <w:sz w:val="24"/>
                <w:szCs w:val="24"/>
              </w:rPr>
              <w:t>混合</w:t>
            </w:r>
            <w:r>
              <w:rPr>
                <w:rFonts w:hint="eastAsia" w:hAnsi="宋体"/>
                <w:color w:val="auto"/>
                <w:sz w:val="24"/>
                <w:szCs w:val="24"/>
                <w:lang w:eastAsia="zh-CN"/>
              </w:rPr>
              <w:t>后</w:t>
            </w:r>
            <w:r>
              <w:rPr>
                <w:rFonts w:hint="eastAsia" w:hAnsi="宋体"/>
                <w:color w:val="auto"/>
                <w:sz w:val="24"/>
                <w:szCs w:val="24"/>
              </w:rPr>
              <w:t>的</w:t>
            </w:r>
            <w:r>
              <w:rPr>
                <w:rFonts w:hAnsi="宋体"/>
                <w:color w:val="auto"/>
                <w:sz w:val="24"/>
                <w:szCs w:val="24"/>
              </w:rPr>
              <w:t>原</w:t>
            </w:r>
            <w:r>
              <w:rPr>
                <w:rFonts w:hAnsi="宋体"/>
                <w:color w:val="000000"/>
                <w:sz w:val="24"/>
                <w:szCs w:val="24"/>
              </w:rPr>
              <w:t>材料</w:t>
            </w:r>
            <w:r>
              <w:rPr>
                <w:rFonts w:hint="eastAsia" w:hAnsi="宋体"/>
                <w:color w:val="000000"/>
                <w:sz w:val="24"/>
                <w:szCs w:val="24"/>
              </w:rPr>
              <w:t>通过管道流</w:t>
            </w:r>
            <w:r>
              <w:rPr>
                <w:rFonts w:hAnsi="宋体"/>
                <w:color w:val="000000"/>
                <w:sz w:val="24"/>
                <w:szCs w:val="24"/>
              </w:rPr>
              <w:t>入一体式注塑机中</w:t>
            </w:r>
            <w:r>
              <w:rPr>
                <w:rFonts w:hint="eastAsia" w:hAnsi="宋体"/>
                <w:color w:val="000000"/>
                <w:sz w:val="24"/>
                <w:szCs w:val="24"/>
                <w:lang w:eastAsia="zh-CN"/>
              </w:rPr>
              <w:t>，</w:t>
            </w:r>
            <w:r>
              <w:rPr>
                <w:rFonts w:hAnsi="宋体"/>
                <w:color w:val="000000"/>
                <w:sz w:val="24"/>
                <w:szCs w:val="24"/>
              </w:rPr>
              <w:t>经高温加热成</w:t>
            </w:r>
            <w:r>
              <w:rPr>
                <w:rFonts w:hint="eastAsia" w:hAnsi="宋体"/>
                <w:color w:val="000000"/>
                <w:sz w:val="24"/>
                <w:szCs w:val="24"/>
              </w:rPr>
              <w:t>熔融状态</w:t>
            </w:r>
            <w:r>
              <w:rPr>
                <w:rFonts w:hAnsi="宋体"/>
                <w:color w:val="000000"/>
                <w:sz w:val="24"/>
                <w:szCs w:val="24"/>
              </w:rPr>
              <w:t>，</w:t>
            </w:r>
            <w:r>
              <w:rPr>
                <w:rFonts w:hint="eastAsia" w:hAnsi="宋体"/>
                <w:color w:val="000000"/>
                <w:sz w:val="24"/>
                <w:szCs w:val="24"/>
              </w:rPr>
              <w:t>加热采用电加热，</w:t>
            </w:r>
            <w:r>
              <w:rPr>
                <w:rFonts w:hint="eastAsia" w:hAnsi="宋体"/>
                <w:color w:val="000000"/>
                <w:sz w:val="24"/>
                <w:szCs w:val="24"/>
                <w:lang w:val="en-US" w:eastAsia="zh-CN"/>
              </w:rPr>
              <w:t>HDPE塑料</w:t>
            </w:r>
            <w:r>
              <w:rPr>
                <w:rFonts w:hint="eastAsia" w:hAnsi="宋体"/>
                <w:color w:val="000000"/>
                <w:sz w:val="24"/>
                <w:szCs w:val="24"/>
              </w:rPr>
              <w:t>加热</w:t>
            </w:r>
            <w:r>
              <w:rPr>
                <w:rFonts w:hAnsi="宋体"/>
                <w:color w:val="000000"/>
                <w:sz w:val="24"/>
                <w:szCs w:val="24"/>
              </w:rPr>
              <w:t>温度在</w:t>
            </w:r>
            <w:r>
              <w:rPr>
                <w:rFonts w:hint="eastAsia"/>
                <w:color w:val="000000"/>
                <w:sz w:val="24"/>
                <w:szCs w:val="24"/>
                <w:lang w:val="en-US" w:eastAsia="zh-CN"/>
              </w:rPr>
              <w:t>140</w:t>
            </w:r>
            <w:r>
              <w:rPr>
                <w:color w:val="000000"/>
                <w:sz w:val="24"/>
                <w:szCs w:val="24"/>
              </w:rPr>
              <w:t>~</w:t>
            </w:r>
            <w:r>
              <w:rPr>
                <w:rFonts w:hint="eastAsia"/>
                <w:color w:val="000000"/>
                <w:sz w:val="24"/>
                <w:szCs w:val="24"/>
                <w:lang w:val="en-US" w:eastAsia="zh-CN"/>
              </w:rPr>
              <w:t>220</w:t>
            </w:r>
            <w:r>
              <w:rPr>
                <w:rFonts w:ascii="宋体" w:hAnsi="宋体"/>
                <w:color w:val="000000"/>
                <w:sz w:val="24"/>
                <w:szCs w:val="24"/>
              </w:rPr>
              <w:t>℃</w:t>
            </w:r>
            <w:r>
              <w:rPr>
                <w:rFonts w:hAnsi="宋体"/>
                <w:color w:val="000000"/>
                <w:sz w:val="24"/>
                <w:szCs w:val="24"/>
              </w:rPr>
              <w:t>之间</w:t>
            </w:r>
            <w:r>
              <w:rPr>
                <w:rFonts w:hint="eastAsia" w:hAnsi="宋体"/>
                <w:color w:val="000000"/>
                <w:sz w:val="24"/>
                <w:szCs w:val="24"/>
                <w:lang w:eastAsia="zh-CN"/>
              </w:rPr>
              <w:t>。</w:t>
            </w:r>
            <w:r>
              <w:rPr>
                <w:rFonts w:hint="eastAsia" w:hAnsi="宋体"/>
                <w:color w:val="000000"/>
                <w:sz w:val="24"/>
                <w:szCs w:val="24"/>
              </w:rPr>
              <w:t>将熔融状态的材料通过管道加到注塑机时会经过冷却水冷却原材料使之温度降低，便于成型</w:t>
            </w:r>
            <w:r>
              <w:rPr>
                <w:rFonts w:hint="eastAsia" w:hAnsi="宋体"/>
                <w:color w:val="000000"/>
                <w:sz w:val="24"/>
                <w:szCs w:val="24"/>
                <w:lang w:eastAsia="zh-CN"/>
              </w:rPr>
              <w:t>，</w:t>
            </w:r>
            <w:r>
              <w:rPr>
                <w:rFonts w:hAnsi="宋体"/>
                <w:color w:val="000000"/>
                <w:sz w:val="24"/>
                <w:szCs w:val="24"/>
              </w:rPr>
              <w:t>产生成品</w:t>
            </w:r>
            <w:r>
              <w:rPr>
                <w:rFonts w:hint="eastAsia" w:hAnsi="宋体"/>
                <w:color w:val="000000"/>
                <w:sz w:val="24"/>
                <w:szCs w:val="24"/>
                <w:lang w:eastAsia="zh-CN"/>
              </w:rPr>
              <w:t>，</w:t>
            </w:r>
            <w:r>
              <w:rPr>
                <w:rFonts w:hAnsi="宋体"/>
                <w:color w:val="000000"/>
                <w:sz w:val="24"/>
                <w:szCs w:val="24"/>
              </w:rPr>
              <w:t>通过传送机传出</w:t>
            </w:r>
            <w:r>
              <w:rPr>
                <w:rFonts w:hint="eastAsia" w:hAnsi="宋体"/>
                <w:color w:val="000000"/>
                <w:sz w:val="24"/>
                <w:szCs w:val="24"/>
                <w:lang w:eastAsia="zh-CN"/>
              </w:rPr>
              <w:t>。</w:t>
            </w:r>
            <w:r>
              <w:rPr>
                <w:rFonts w:hint="eastAsia" w:hAnsi="宋体"/>
                <w:color w:val="000000"/>
                <w:sz w:val="24"/>
                <w:szCs w:val="24"/>
              </w:rPr>
              <w:t>此</w:t>
            </w:r>
            <w:r>
              <w:rPr>
                <w:rFonts w:hint="eastAsia" w:ascii="Times New Roman" w:hAnsi="宋体" w:cs="Times New Roman"/>
                <w:color w:val="000000"/>
                <w:sz w:val="24"/>
                <w:szCs w:val="24"/>
              </w:rPr>
              <w:t>过程产生的冷却水回流</w:t>
            </w:r>
            <w:r>
              <w:rPr>
                <w:rFonts w:hint="eastAsia" w:ascii="Times New Roman" w:hAnsi="宋体" w:cs="Times New Roman"/>
                <w:color w:val="000000"/>
                <w:sz w:val="24"/>
                <w:szCs w:val="24"/>
                <w:lang w:eastAsia="zh-CN"/>
              </w:rPr>
              <w:t>冷水塔和冷却水池</w:t>
            </w:r>
            <w:r>
              <w:rPr>
                <w:rFonts w:hint="eastAsia" w:ascii="Times New Roman" w:hAnsi="宋体" w:cs="Times New Roman"/>
                <w:color w:val="000000"/>
                <w:sz w:val="24"/>
                <w:szCs w:val="24"/>
              </w:rPr>
              <w:t>中，循环使用</w:t>
            </w:r>
            <w:r>
              <w:rPr>
                <w:rFonts w:hint="eastAsia" w:ascii="Times New Roman" w:hAnsi="宋体" w:cs="Times New Roman"/>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olor w:val="000000"/>
                <w:sz w:val="24"/>
                <w:szCs w:val="24"/>
                <w:lang w:eastAsia="zh-CN"/>
              </w:rPr>
            </w:pPr>
            <w:r>
              <w:rPr>
                <w:rFonts w:hint="eastAsia" w:hAnsi="宋体"/>
                <w:b/>
                <w:bCs/>
                <w:color w:val="000000"/>
                <w:sz w:val="24"/>
                <w:szCs w:val="24"/>
                <w:lang w:eastAsia="zh-CN"/>
              </w:rPr>
              <w:t>检验</w:t>
            </w:r>
            <w:r>
              <w:rPr>
                <w:rFonts w:hAnsi="宋体"/>
                <w:b/>
                <w:bCs/>
                <w:color w:val="000000"/>
                <w:sz w:val="24"/>
                <w:szCs w:val="24"/>
              </w:rPr>
              <w:t>：</w:t>
            </w:r>
            <w:r>
              <w:rPr>
                <w:rFonts w:hint="eastAsia" w:hAnsi="宋体"/>
                <w:color w:val="000000"/>
                <w:sz w:val="24"/>
                <w:szCs w:val="24"/>
                <w:lang w:eastAsia="zh-CN"/>
              </w:rPr>
              <w:t>注</w:t>
            </w:r>
            <w:r>
              <w:rPr>
                <w:rFonts w:hAnsi="宋体"/>
                <w:color w:val="000000"/>
                <w:sz w:val="24"/>
                <w:szCs w:val="24"/>
              </w:rPr>
              <w:t>塑成型的成品经检验、测试合格后运至成品存放区，待售</w:t>
            </w:r>
            <w:r>
              <w:rPr>
                <w:rFonts w:hint="eastAsia" w:hAnsi="宋体"/>
                <w:color w:val="000000"/>
                <w:sz w:val="24"/>
                <w:szCs w:val="24"/>
                <w:lang w:eastAsia="zh-CN"/>
              </w:rPr>
              <w:t>。</w:t>
            </w:r>
          </w:p>
          <w:p>
            <w:pPr>
              <w:pStyle w:val="25"/>
              <w:rPr>
                <w:rFonts w:hint="eastAsia"/>
                <w:lang w:val="en-US" w:eastAsia="zh-CN"/>
              </w:rPr>
            </w:pPr>
          </w:p>
          <w:p>
            <w:pPr>
              <w:pStyle w:val="25"/>
              <w:spacing w:before="120" w:beforeLines="50" w:line="360" w:lineRule="auto"/>
              <w:rPr>
                <w:rFonts w:hint="eastAsia"/>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23" w:type="dxa"/>
            <w:noWrap w:val="0"/>
            <w:vAlign w:val="center"/>
          </w:tcPr>
          <w:p>
            <w:pPr>
              <w:pStyle w:val="17"/>
              <w:adjustRightInd w:val="0"/>
              <w:snapToGrid w:val="0"/>
              <w:spacing w:before="0" w:beforeAutospacing="0" w:after="0" w:afterAutospacing="0"/>
              <w:jc w:val="both"/>
              <w:rPr>
                <w:rFonts w:ascii="Times New Roman" w:hAnsi="Times New Roman"/>
                <w:color w:val="auto"/>
                <w:szCs w:val="24"/>
                <w:lang w:val="en-US" w:eastAsia="zh-CN"/>
              </w:rPr>
            </w:pPr>
            <w:r>
              <w:rPr>
                <w:rFonts w:ascii="Times New Roman" w:hAnsi="Times New Roman"/>
                <w:bCs/>
                <w:color w:val="auto"/>
                <w:kern w:val="2"/>
                <w:szCs w:val="24"/>
                <w:lang w:val="en-US" w:eastAsia="zh-CN"/>
              </w:rPr>
              <w:t>与项目有关的原有环境污染问题</w:t>
            </w:r>
          </w:p>
        </w:tc>
        <w:tc>
          <w:tcPr>
            <w:tcW w:w="8161" w:type="dxa"/>
            <w:noWrap w:val="0"/>
            <w:vAlign w:val="top"/>
          </w:tcPr>
          <w:p>
            <w:pPr>
              <w:adjustRightInd w:val="0"/>
              <w:snapToGrid w:val="0"/>
              <w:jc w:val="both"/>
              <w:rPr>
                <w:color w:val="auto"/>
              </w:rPr>
            </w:pPr>
          </w:p>
          <w:p>
            <w:pPr>
              <w:bidi w:val="0"/>
              <w:rPr>
                <w:color w:val="auto"/>
                <w:lang w:val="en-US" w:eastAsia="zh-CN"/>
              </w:rPr>
            </w:pPr>
          </w:p>
          <w:p>
            <w:pPr>
              <w:bidi w:val="0"/>
              <w:rPr>
                <w:color w:val="auto"/>
                <w:lang w:val="en-US" w:eastAsia="zh-CN"/>
              </w:rPr>
            </w:pPr>
          </w:p>
          <w:p>
            <w:pPr>
              <w:pStyle w:val="25"/>
              <w:spacing w:before="120" w:beforeLines="50" w:line="360" w:lineRule="auto"/>
              <w:ind w:firstLine="480" w:firstLineChars="200"/>
              <w:rPr>
                <w:rFonts w:hint="eastAsia" w:ascii="Times New Roman" w:hAnsi="Times New Roman" w:eastAsia="宋体" w:cs="Times New Roman"/>
                <w:color w:val="auto"/>
                <w:kern w:val="0"/>
                <w:sz w:val="24"/>
                <w:szCs w:val="24"/>
                <w:lang w:val="en-US" w:eastAsia="zh-CN" w:bidi="ar-SA"/>
              </w:rPr>
            </w:pPr>
          </w:p>
          <w:p>
            <w:pPr>
              <w:pStyle w:val="25"/>
              <w:spacing w:before="120" w:beforeLines="50"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本项目为</w:t>
            </w:r>
            <w:r>
              <w:rPr>
                <w:rFonts w:hint="eastAsia" w:ascii="Times New Roman" w:hAnsi="Times New Roman" w:eastAsia="宋体" w:cs="Times New Roman"/>
                <w:color w:val="auto"/>
                <w:lang w:val="en-US" w:eastAsia="zh-CN"/>
              </w:rPr>
              <w:t>新建</w:t>
            </w:r>
            <w:r>
              <w:rPr>
                <w:rFonts w:hint="eastAsia" w:ascii="Times New Roman" w:hAnsi="Times New Roman" w:eastAsia="宋体" w:cs="Times New Roman"/>
                <w:color w:val="auto"/>
                <w:kern w:val="0"/>
                <w:sz w:val="24"/>
                <w:szCs w:val="24"/>
                <w:lang w:val="en-US" w:eastAsia="zh-CN" w:bidi="ar-SA"/>
              </w:rPr>
              <w:t>项目，无现有环境污染问题。</w:t>
            </w:r>
          </w:p>
          <w:p>
            <w:pPr>
              <w:pStyle w:val="25"/>
              <w:spacing w:before="120" w:beforeLines="50" w:line="360" w:lineRule="auto"/>
              <w:ind w:firstLine="480" w:firstLineChars="200"/>
              <w:rPr>
                <w:rFonts w:hint="eastAsia" w:ascii="Times New Roman" w:hAnsi="Times New Roman" w:eastAsia="宋体" w:cs="Times New Roman"/>
                <w:color w:val="auto"/>
                <w:kern w:val="0"/>
                <w:sz w:val="24"/>
                <w:szCs w:val="24"/>
                <w:lang w:val="en-US" w:eastAsia="zh-CN" w:bidi="ar-SA"/>
              </w:rPr>
            </w:pPr>
          </w:p>
          <w:p>
            <w:pPr>
              <w:tabs>
                <w:tab w:val="left" w:pos="1017"/>
              </w:tabs>
              <w:bidi w:val="0"/>
              <w:jc w:val="left"/>
              <w:rPr>
                <w:rFonts w:hint="eastAsia" w:ascii="Times New Roman" w:hAnsi="Times New Roman" w:eastAsia="宋体" w:cs="Times New Roman"/>
                <w:color w:val="auto"/>
                <w:kern w:val="0"/>
                <w:sz w:val="24"/>
                <w:szCs w:val="24"/>
                <w:lang w:val="en-US" w:eastAsia="zh-CN" w:bidi="ar-SA"/>
              </w:rPr>
            </w:pPr>
          </w:p>
          <w:p>
            <w:pPr>
              <w:tabs>
                <w:tab w:val="left" w:pos="1017"/>
              </w:tabs>
              <w:bidi w:val="0"/>
              <w:jc w:val="left"/>
              <w:rPr>
                <w:rFonts w:hint="default"/>
                <w:color w:val="auto"/>
                <w:lang w:val="en-US" w:eastAsia="zh-CN"/>
              </w:rPr>
            </w:pPr>
          </w:p>
        </w:tc>
      </w:tr>
    </w:tbl>
    <w:p>
      <w:pPr>
        <w:pStyle w:val="17"/>
        <w:jc w:val="center"/>
        <w:rPr>
          <w:rFonts w:ascii="黑体" w:hAnsi="黑体" w:eastAsia="黑体"/>
          <w:snapToGrid w:val="0"/>
          <w:color w:val="auto"/>
          <w:sz w:val="36"/>
          <w:szCs w:val="36"/>
        </w:rPr>
        <w:sectPr>
          <w:footerReference r:id="rId4" w:type="default"/>
          <w:pgSz w:w="11906" w:h="16838"/>
          <w:pgMar w:top="128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7" w:hRule="atLeast"/>
          <w:jc w:val="center"/>
        </w:trPr>
        <w:tc>
          <w:tcPr>
            <w:tcW w:w="800" w:type="dxa"/>
            <w:noWrap w:val="0"/>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 w:val="24"/>
              </w:rPr>
            </w:pPr>
            <w:r>
              <w:rPr>
                <w:color w:val="auto"/>
                <w:kern w:val="0"/>
                <w:sz w:val="24"/>
              </w:rPr>
              <w:t>现状</w:t>
            </w:r>
          </w:p>
        </w:tc>
        <w:tc>
          <w:tcPr>
            <w:tcW w:w="8190" w:type="dxa"/>
            <w:noWrap w:val="0"/>
            <w:vAlign w:val="top"/>
          </w:tcPr>
          <w:p>
            <w:pPr>
              <w:adjustRightInd w:val="0"/>
              <w:spacing w:before="120" w:beforeLines="50" w:line="360" w:lineRule="auto"/>
              <w:ind w:firstLine="482" w:firstLineChars="200"/>
              <w:rPr>
                <w:b/>
                <w:bCs/>
                <w:color w:val="auto"/>
                <w:sz w:val="24"/>
              </w:rPr>
            </w:pPr>
            <w:r>
              <w:rPr>
                <w:rFonts w:hint="eastAsia"/>
                <w:b/>
                <w:bCs/>
                <w:color w:val="auto"/>
                <w:sz w:val="24"/>
                <w:lang w:eastAsia="zh-CN"/>
              </w:rPr>
              <w:t>（一）</w:t>
            </w:r>
            <w:r>
              <w:rPr>
                <w:b/>
                <w:bCs/>
                <w:color w:val="auto"/>
                <w:sz w:val="24"/>
              </w:rPr>
              <w:t>大气环境质量现状</w:t>
            </w:r>
          </w:p>
          <w:p>
            <w:pPr>
              <w:snapToGrid w:val="0"/>
              <w:spacing w:line="360" w:lineRule="auto"/>
              <w:ind w:firstLine="444"/>
              <w:rPr>
                <w:color w:val="auto"/>
                <w:sz w:val="24"/>
              </w:rPr>
            </w:pPr>
            <w:r>
              <w:rPr>
                <w:rFonts w:hint="eastAsia"/>
                <w:b/>
                <w:bCs/>
                <w:color w:val="auto"/>
                <w:sz w:val="24"/>
                <w:lang w:val="en-US" w:eastAsia="zh-CN"/>
              </w:rPr>
              <w:t>1、</w:t>
            </w:r>
            <w:r>
              <w:rPr>
                <w:b/>
                <w:bCs/>
                <w:color w:val="auto"/>
                <w:sz w:val="24"/>
              </w:rPr>
              <w:t>区域环境质量达标情况</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b/>
                <w:bCs/>
                <w:color w:val="auto"/>
                <w:sz w:val="24"/>
              </w:rPr>
              <w:t>基本污染物环境质量现状评价</w:t>
            </w:r>
          </w:p>
          <w:p>
            <w:pPr>
              <w:adjustRightInd w:val="0"/>
              <w:snapToGrid w:val="0"/>
              <w:spacing w:line="360" w:lineRule="auto"/>
              <w:ind w:firstLine="480" w:firstLineChars="200"/>
              <w:rPr>
                <w:rFonts w:hint="eastAsia"/>
                <w:sz w:val="24"/>
                <w:vertAlign w:val="baseline"/>
                <w:lang w:val="en-US" w:eastAsia="zh-CN"/>
              </w:rPr>
            </w:pPr>
            <w:r>
              <w:rPr>
                <w:rFonts w:hint="eastAsia"/>
                <w:color w:val="auto"/>
                <w:sz w:val="24"/>
              </w:rPr>
              <w:t>项目选址属于</w:t>
            </w:r>
            <w:r>
              <w:rPr>
                <w:rFonts w:hint="eastAsia"/>
                <w:color w:val="auto"/>
                <w:sz w:val="24"/>
                <w:lang w:eastAsia="zh-CN"/>
              </w:rPr>
              <w:t>舒城县</w:t>
            </w:r>
            <w:r>
              <w:rPr>
                <w:rFonts w:hint="eastAsia"/>
                <w:color w:val="auto"/>
                <w:sz w:val="24"/>
              </w:rPr>
              <w:t>经济开</w:t>
            </w:r>
            <w:r>
              <w:rPr>
                <w:rFonts w:hint="eastAsia" w:ascii="Times New Roman" w:hAnsi="Times New Roman" w:eastAsia="宋体" w:cs="Times New Roman"/>
                <w:color w:val="auto"/>
                <w:sz w:val="24"/>
              </w:rPr>
              <w:t>发区</w:t>
            </w:r>
            <w:r>
              <w:rPr>
                <w:rFonts w:hint="eastAsia" w:ascii="Times New Roman" w:hAnsi="Times New Roman" w:eastAsia="宋体" w:cs="Times New Roman"/>
                <w:color w:val="auto"/>
                <w:sz w:val="24"/>
                <w:lang w:eastAsia="zh-CN"/>
              </w:rPr>
              <w:t>经三路与公麟路交叉口</w:t>
            </w:r>
            <w:r>
              <w:rPr>
                <w:rFonts w:hint="eastAsia"/>
                <w:color w:val="auto"/>
                <w:sz w:val="24"/>
              </w:rPr>
              <w:t>，</w:t>
            </w:r>
            <w:r>
              <w:rPr>
                <w:rFonts w:hAnsi="宋体"/>
                <w:color w:val="000000"/>
                <w:sz w:val="24"/>
              </w:rPr>
              <w:t>为了解项目区域大气环境现状</w:t>
            </w:r>
            <w:r>
              <w:rPr>
                <w:rFonts w:hint="eastAsia" w:hAnsi="宋体"/>
                <w:color w:val="000000"/>
                <w:sz w:val="24"/>
                <w:lang w:eastAsia="zh-CN"/>
              </w:rPr>
              <w:t>，</w:t>
            </w:r>
            <w:r>
              <w:rPr>
                <w:rFonts w:hint="eastAsia" w:ascii="Times New Roman" w:hAnsi="Times New Roman" w:eastAsia="宋体" w:cs="Times New Roman"/>
                <w:color w:val="000000"/>
                <w:sz w:val="24"/>
                <w:lang w:val="en-US" w:eastAsia="zh-CN"/>
              </w:rPr>
              <w:t>根</w:t>
            </w:r>
            <w:r>
              <w:rPr>
                <w:rFonts w:hint="default" w:ascii="Times New Roman" w:hAnsi="Times New Roman" w:eastAsia="宋体" w:cs="Times New Roman"/>
                <w:color w:val="000000"/>
                <w:sz w:val="24"/>
                <w:lang w:val="en-US" w:eastAsia="zh-CN"/>
              </w:rPr>
              <w:t>据</w:t>
            </w:r>
            <w:r>
              <w:rPr>
                <w:rFonts w:hint="default" w:ascii="Times New Roman" w:hAnsi="Times New Roman" w:cs="Times New Roman"/>
                <w:sz w:val="24"/>
              </w:rPr>
              <w:t>2020年11月公布的《安徽舒城经济开发区环境影响区域评估报告》</w:t>
            </w:r>
            <w:r>
              <w:rPr>
                <w:rFonts w:hint="default" w:ascii="Times New Roman" w:hAnsi="Times New Roman" w:cs="Times New Roman"/>
                <w:sz w:val="24"/>
                <w:lang w:eastAsia="zh-CN"/>
              </w:rPr>
              <w:t>对</w:t>
            </w:r>
            <w:r>
              <w:rPr>
                <w:rFonts w:hint="default" w:ascii="Times New Roman" w:hAnsi="Times New Roman" w:eastAsia="宋体" w:cs="Times New Roman"/>
                <w:color w:val="000000"/>
                <w:sz w:val="24"/>
                <w:lang w:val="en-US" w:eastAsia="zh-CN"/>
              </w:rPr>
              <w:t>城关园区环境质量监测数据分析，评估区域内各监测点 PM</w:t>
            </w:r>
            <w:r>
              <w:rPr>
                <w:rFonts w:hint="default" w:ascii="Times New Roman" w:hAnsi="Times New Roman" w:eastAsia="宋体" w:cs="Times New Roman"/>
                <w:color w:val="000000"/>
                <w:sz w:val="24"/>
                <w:vertAlign w:val="subscript"/>
                <w:lang w:val="en-US" w:eastAsia="zh-CN"/>
              </w:rPr>
              <w:t>2.5</w:t>
            </w:r>
            <w:r>
              <w:rPr>
                <w:rFonts w:hint="default" w:ascii="Times New Roman" w:hAnsi="Times New Roman" w:eastAsia="宋体" w:cs="Times New Roman"/>
                <w:color w:val="000000"/>
                <w:sz w:val="24"/>
                <w:lang w:val="en-US" w:eastAsia="zh-CN"/>
              </w:rPr>
              <w:t>、PM</w:t>
            </w:r>
            <w:r>
              <w:rPr>
                <w:rFonts w:hint="default" w:ascii="Times New Roman" w:hAnsi="Times New Roman" w:eastAsia="宋体" w:cs="Times New Roman"/>
                <w:color w:val="000000"/>
                <w:sz w:val="24"/>
                <w:vertAlign w:val="subscript"/>
                <w:lang w:val="en-US" w:eastAsia="zh-CN"/>
              </w:rPr>
              <w:t>10</w:t>
            </w:r>
            <w:r>
              <w:rPr>
                <w:rFonts w:hint="default" w:ascii="Times New Roman" w:hAnsi="Times New Roman" w:eastAsia="宋体" w:cs="Times New Roman"/>
                <w:color w:val="000000"/>
                <w:sz w:val="24"/>
                <w:lang w:val="en-US" w:eastAsia="zh-CN"/>
              </w:rPr>
              <w:t>、SO</w:t>
            </w:r>
            <w:r>
              <w:rPr>
                <w:rFonts w:hint="default" w:ascii="Times New Roman" w:hAnsi="Times New Roman" w:eastAsia="宋体" w:cs="Times New Roman"/>
                <w:color w:val="000000"/>
                <w:sz w:val="24"/>
                <w:vertAlign w:val="subscript"/>
                <w:lang w:val="en-US" w:eastAsia="zh-CN"/>
              </w:rPr>
              <w:t>2</w:t>
            </w:r>
            <w:r>
              <w:rPr>
                <w:rFonts w:hint="default" w:ascii="Times New Roman" w:hAnsi="Times New Roman" w:eastAsia="宋体" w:cs="Times New Roman"/>
                <w:color w:val="000000"/>
                <w:sz w:val="24"/>
                <w:lang w:val="en-US" w:eastAsia="zh-CN"/>
              </w:rPr>
              <w:t>、NO</w:t>
            </w:r>
            <w:r>
              <w:rPr>
                <w:rFonts w:hint="default" w:ascii="Times New Roman" w:hAnsi="Times New Roman" w:eastAsia="宋体" w:cs="Times New Roman"/>
                <w:color w:val="000000"/>
                <w:sz w:val="24"/>
                <w:vertAlign w:val="subscript"/>
                <w:lang w:val="en-US" w:eastAsia="zh-CN"/>
              </w:rPr>
              <w:t>2</w:t>
            </w:r>
            <w:r>
              <w:rPr>
                <w:rFonts w:hint="default" w:ascii="Times New Roman" w:hAnsi="Times New Roman" w:eastAsia="宋体" w:cs="Times New Roman"/>
                <w:color w:val="000000"/>
                <w:sz w:val="24"/>
                <w:lang w:val="en-US" w:eastAsia="zh-CN"/>
              </w:rPr>
              <w:t>、CO、O</w:t>
            </w:r>
            <w:r>
              <w:rPr>
                <w:rFonts w:hint="default" w:ascii="Times New Roman" w:hAnsi="Times New Roman" w:eastAsia="宋体" w:cs="Times New Roman"/>
                <w:color w:val="000000"/>
                <w:sz w:val="24"/>
                <w:vertAlign w:val="subscript"/>
                <w:lang w:val="en-US" w:eastAsia="zh-CN"/>
              </w:rPr>
              <w:t>3</w:t>
            </w:r>
            <w:r>
              <w:rPr>
                <w:rFonts w:hint="default" w:ascii="Times New Roman" w:hAnsi="Times New Roman" w:eastAsia="宋体" w:cs="Times New Roman"/>
                <w:color w:val="000000"/>
                <w:sz w:val="24"/>
                <w:lang w:val="en-US" w:eastAsia="zh-CN"/>
              </w:rPr>
              <w:t>监测结果均满足《环境空气质量标准》（GB3095-2012）二级标准</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园区环境空气质量良好</w:t>
            </w:r>
            <w:r>
              <w:rPr>
                <w:rFonts w:hint="eastAsia" w:cs="Times New Roman"/>
                <w:color w:val="000000"/>
                <w:sz w:val="24"/>
                <w:lang w:val="en-US" w:eastAsia="zh-CN"/>
              </w:rPr>
              <w:t>。具体监测结果如下</w:t>
            </w:r>
            <w:r>
              <w:rPr>
                <w:rFonts w:hint="eastAsia"/>
                <w:sz w:val="24"/>
                <w:vertAlign w:val="baseline"/>
                <w:lang w:val="en-US" w:eastAsia="zh-CN"/>
              </w:rPr>
              <w:t>。</w:t>
            </w:r>
          </w:p>
          <w:p>
            <w:pPr>
              <w:pStyle w:val="9"/>
              <w:jc w:val="center"/>
              <w:rPr>
                <w:rFonts w:hint="default"/>
                <w:b/>
                <w:bCs/>
                <w:lang w:val="en-US"/>
              </w:rPr>
            </w:pPr>
            <w:r>
              <w:rPr>
                <w:rFonts w:hint="eastAsia"/>
                <w:b/>
                <w:bCs/>
                <w:sz w:val="24"/>
                <w:vertAlign w:val="baseline"/>
                <w:lang w:val="en-US" w:eastAsia="zh-CN"/>
              </w:rPr>
              <w:t>表3-1 环境质量现状监测结果一览表</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auto"/>
                <w:sz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1473200</wp:posOffset>
                      </wp:positionH>
                      <wp:positionV relativeFrom="paragraph">
                        <wp:posOffset>8890</wp:posOffset>
                      </wp:positionV>
                      <wp:extent cx="2237740" cy="154305"/>
                      <wp:effectExtent l="0" t="0" r="10160" b="17145"/>
                      <wp:wrapNone/>
                      <wp:docPr id="7" name="文本框 7"/>
                      <wp:cNvGraphicFramePr/>
                      <a:graphic xmlns:a="http://schemas.openxmlformats.org/drawingml/2006/main">
                        <a:graphicData uri="http://schemas.microsoft.com/office/word/2010/wordprocessingShape">
                          <wps:wsp>
                            <wps:cNvSpPr txBox="1"/>
                            <wps:spPr>
                              <a:xfrm>
                                <a:off x="2951480" y="4287520"/>
                                <a:ext cx="2237740" cy="154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pt;margin-top:0.7pt;height:12.15pt;width:176.2pt;z-index:251659264;mso-width-relative:page;mso-height-relative:page;" fillcolor="#FFFFFF [3201]" filled="t" stroked="f" coordsize="21600,21600" o:gfxdata="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vvY4dMAAAAI&#10;AQAADwAAAAAAAAABACAAAAAiAAAAZHJzL2Rvd25yZXYueG1sUEsBAhQAFAAAAAgAh07iQHMBAHxa&#10;AgAAmwQAAA4AAAAAAAAAAQAgAAAAIgEAAGRycy9lMm9Eb2MueG1sUEsFBgAAAAAGAAYAWQEAAO4F&#10;AAAAAA==&#10;">
                      <v:fill on="t" focussize="0,0"/>
                      <v:stroke on="f" weight="0.5pt"/>
                      <v:imagedata o:title=""/>
                      <o:lock v:ext="edit" aspectratio="f"/>
                      <v:textbox>
                        <w:txbxContent>
                          <w:p/>
                        </w:txbxContent>
                      </v:textbox>
                    </v:shape>
                  </w:pict>
                </mc:Fallback>
              </mc:AlternateContent>
            </w:r>
            <w:r>
              <w:rPr>
                <w:rFonts w:hint="eastAsia" w:ascii="Times New Roman" w:hAnsi="Times New Roman" w:eastAsia="宋体" w:cs="Times New Roman"/>
                <w:b/>
                <w:bCs/>
                <w:color w:val="auto"/>
                <w:sz w:val="24"/>
                <w:lang w:eastAsia="zh-CN"/>
              </w:rPr>
              <w:drawing>
                <wp:inline distT="0" distB="0" distL="114300" distR="114300">
                  <wp:extent cx="5060315" cy="3366135"/>
                  <wp:effectExtent l="0" t="0" r="6985" b="5715"/>
                  <wp:docPr id="2" name="图片 2" descr="T_C]]Z}X[4WR1W0X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_C]]Z}X[4WR1W0XTR0$0(3"/>
                          <pic:cNvPicPr>
                            <a:picLocks noChangeAspect="1"/>
                          </pic:cNvPicPr>
                        </pic:nvPicPr>
                        <pic:blipFill>
                          <a:blip r:embed="rId10"/>
                          <a:stretch>
                            <a:fillRect/>
                          </a:stretch>
                        </pic:blipFill>
                        <pic:spPr>
                          <a:xfrm>
                            <a:off x="0" y="0"/>
                            <a:ext cx="5060315" cy="3366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auto"/>
                <w:sz w:val="24"/>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1147445</wp:posOffset>
                      </wp:positionH>
                      <wp:positionV relativeFrom="paragraph">
                        <wp:posOffset>3289300</wp:posOffset>
                      </wp:positionV>
                      <wp:extent cx="2817495" cy="209550"/>
                      <wp:effectExtent l="0" t="0" r="1905" b="0"/>
                      <wp:wrapNone/>
                      <wp:docPr id="17" name="文本框 17"/>
                      <wp:cNvGraphicFramePr/>
                      <a:graphic xmlns:a="http://schemas.openxmlformats.org/drawingml/2006/main">
                        <a:graphicData uri="http://schemas.microsoft.com/office/word/2010/wordprocessingShape">
                          <wps:wsp>
                            <wps:cNvSpPr txBox="1"/>
                            <wps:spPr>
                              <a:xfrm>
                                <a:off x="2649855" y="4382135"/>
                                <a:ext cx="281749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259pt;height:16.5pt;width:221.85pt;z-index:251661312;mso-width-relative:page;mso-height-relative:page;" fillcolor="#FFFFFF [3201]" filled="t" stroked="f" coordsize="21600,21600" o:gfxdata="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VO1&#10;SdUAAAALAQAADwAAAAAAAAABACAAAAAiAAAAZHJzL2Rvd25yZXYueG1sUEsBAhQAFAAAAAgAh07i&#10;QIrcwSNeAgAAnQQAAA4AAAAAAAAAAQAgAAAAJAEAAGRycy9lMm9Eb2MueG1sUEsFBgAAAAAGAAYA&#10;WQEAAPQFA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1417320</wp:posOffset>
                      </wp:positionH>
                      <wp:positionV relativeFrom="paragraph">
                        <wp:posOffset>25400</wp:posOffset>
                      </wp:positionV>
                      <wp:extent cx="2317750" cy="146685"/>
                      <wp:effectExtent l="0" t="0" r="6350" b="5715"/>
                      <wp:wrapNone/>
                      <wp:docPr id="16" name="文本框 16"/>
                      <wp:cNvGraphicFramePr/>
                      <a:graphic xmlns:a="http://schemas.openxmlformats.org/drawingml/2006/main">
                        <a:graphicData uri="http://schemas.microsoft.com/office/word/2010/wordprocessingShape">
                          <wps:wsp>
                            <wps:cNvSpPr txBox="1"/>
                            <wps:spPr>
                              <a:xfrm>
                                <a:off x="2919730" y="1078865"/>
                                <a:ext cx="2317750" cy="146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2pt;height:11.55pt;width:182.5pt;z-index:251660288;mso-width-relative:page;mso-height-relative:page;" fillcolor="#FFFFFF [3201]" filled="t" stroked="f" coordsize="21600,21600" o:gfxdata="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SOB0NIAAAAI&#10;AQAADwAAAAAAAAABACAAAAAiAAAAZHJzL2Rvd25yZXYueG1sUEsBAhQAFAAAAAgAh07iQEiprbdb&#10;AgAAnQQAAA4AAAAAAAAAAQAgAAAAIQEAAGRycy9lMm9Eb2MueG1sUEsFBgAAAAAGAAYAWQEAAO4F&#10;AAAAAA==&#10;">
                      <v:fill on="t" focussize="0,0"/>
                      <v:stroke on="f" weight="0.5pt"/>
                      <v:imagedata o:title=""/>
                      <o:lock v:ext="edit" aspectratio="f"/>
                      <v:textbox>
                        <w:txbxContent>
                          <w:p/>
                        </w:txbxContent>
                      </v:textbox>
                    </v:shape>
                  </w:pict>
                </mc:Fallback>
              </mc:AlternateContent>
            </w:r>
            <w:r>
              <w:rPr>
                <w:rFonts w:hint="eastAsia" w:ascii="Times New Roman" w:hAnsi="Times New Roman" w:eastAsia="宋体" w:cs="Times New Roman"/>
                <w:b/>
                <w:bCs/>
                <w:color w:val="auto"/>
                <w:sz w:val="24"/>
                <w:lang w:eastAsia="zh-CN"/>
              </w:rPr>
              <w:drawing>
                <wp:inline distT="0" distB="0" distL="114300" distR="114300">
                  <wp:extent cx="5060315" cy="3221355"/>
                  <wp:effectExtent l="0" t="0" r="6985" b="17145"/>
                  <wp:docPr id="3" name="图片 3" descr="AQDYS~UE)N%O_)6[~Q)B9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QDYS~UE)N%O_)6[~Q)B9YQ"/>
                          <pic:cNvPicPr>
                            <a:picLocks noChangeAspect="1"/>
                          </pic:cNvPicPr>
                        </pic:nvPicPr>
                        <pic:blipFill>
                          <a:blip r:embed="rId11"/>
                          <a:stretch>
                            <a:fillRect/>
                          </a:stretch>
                        </pic:blipFill>
                        <pic:spPr>
                          <a:xfrm>
                            <a:off x="0" y="0"/>
                            <a:ext cx="5060315" cy="3221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auto"/>
                <w:sz w:val="24"/>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1195070</wp:posOffset>
                      </wp:positionH>
                      <wp:positionV relativeFrom="paragraph">
                        <wp:posOffset>1492250</wp:posOffset>
                      </wp:positionV>
                      <wp:extent cx="2658745" cy="193675"/>
                      <wp:effectExtent l="0" t="0" r="8255" b="15875"/>
                      <wp:wrapNone/>
                      <wp:docPr id="18" name="文本框 18"/>
                      <wp:cNvGraphicFramePr/>
                      <a:graphic xmlns:a="http://schemas.openxmlformats.org/drawingml/2006/main">
                        <a:graphicData uri="http://schemas.microsoft.com/office/word/2010/wordprocessingShape">
                          <wps:wsp>
                            <wps:cNvSpPr txBox="1"/>
                            <wps:spPr>
                              <a:xfrm>
                                <a:off x="2697480" y="5910580"/>
                                <a:ext cx="2658745" cy="193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1pt;margin-top:117.5pt;height:15.25pt;width:209.35pt;z-index:251662336;mso-width-relative:page;mso-height-relative:page;" fillcolor="#FFFFFF [3201]" filled="t" stroked="f" coordsize="21600,21600" o:gfxdata="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qbUM9YA&#10;AAALAQAADwAAAAAAAAABACAAAAAiAAAAZHJzL2Rvd25yZXYueG1sUEsBAhQAFAAAAAgAh07iQLoD&#10;OehaAgAAnQQAAA4AAAAAAAAAAQAgAAAAJQEAAGRycy9lMm9Eb2MueG1sUEsFBgAAAAAGAAYAWQEA&#10;APEFAAAAAA==&#10;">
                      <v:fill on="t" focussize="0,0"/>
                      <v:stroke on="f" weight="0.5pt"/>
                      <v:imagedata o:title=""/>
                      <o:lock v:ext="edit" aspectratio="f"/>
                      <v:textbox>
                        <w:txbxContent>
                          <w:p/>
                        </w:txbxContent>
                      </v:textbox>
                    </v:shape>
                  </w:pict>
                </mc:Fallback>
              </mc:AlternateContent>
            </w:r>
            <w:r>
              <w:rPr>
                <w:rFonts w:hint="eastAsia" w:ascii="Times New Roman" w:hAnsi="Times New Roman" w:eastAsia="宋体" w:cs="Times New Roman"/>
                <w:b/>
                <w:bCs/>
                <w:color w:val="auto"/>
                <w:sz w:val="24"/>
                <w:lang w:eastAsia="zh-CN"/>
              </w:rPr>
              <w:drawing>
                <wp:inline distT="0" distB="0" distL="114300" distR="114300">
                  <wp:extent cx="5061585" cy="2980690"/>
                  <wp:effectExtent l="0" t="0" r="5715" b="10160"/>
                  <wp:docPr id="4" name="图片 4" descr="{25H$7P69$(TP%EI8X84S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H$7P69$(TP%EI8X84STH"/>
                          <pic:cNvPicPr>
                            <a:picLocks noChangeAspect="1"/>
                          </pic:cNvPicPr>
                        </pic:nvPicPr>
                        <pic:blipFill>
                          <a:blip r:embed="rId12"/>
                          <a:stretch>
                            <a:fillRect/>
                          </a:stretch>
                        </pic:blipFill>
                        <pic:spPr>
                          <a:xfrm>
                            <a:off x="0" y="0"/>
                            <a:ext cx="5061585" cy="2980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auto"/>
                <w:sz w:val="24"/>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1472565</wp:posOffset>
                      </wp:positionH>
                      <wp:positionV relativeFrom="paragraph">
                        <wp:posOffset>6350</wp:posOffset>
                      </wp:positionV>
                      <wp:extent cx="2254250" cy="138430"/>
                      <wp:effectExtent l="0" t="0" r="12700" b="13970"/>
                      <wp:wrapNone/>
                      <wp:docPr id="19" name="文本框 19"/>
                      <wp:cNvGraphicFramePr/>
                      <a:graphic xmlns:a="http://schemas.openxmlformats.org/drawingml/2006/main">
                        <a:graphicData uri="http://schemas.microsoft.com/office/word/2010/wordprocessingShape">
                          <wps:wsp>
                            <wps:cNvSpPr txBox="1"/>
                            <wps:spPr>
                              <a:xfrm>
                                <a:off x="2974975" y="1035685"/>
                                <a:ext cx="2254250" cy="1384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95pt;margin-top:0.5pt;height:10.9pt;width:177.5pt;z-index:251663360;mso-width-relative:page;mso-height-relative:page;" fillcolor="#FFFFFF [3201]" filled="t" stroked="f" coordsize="21600,21600" o:gfxdata="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2zBDZ0QAAAAgB&#10;AAAPAAAAAAAAAAEAIAAAACIAAABkcnMvZG93bnJldi54bWxQSwECFAAUAAAACACHTuJAOvz+C1sC&#10;AACdBAAADgAAAAAAAAABACAAAAAgAQAAZHJzL2Uyb0RvYy54bWxQSwUGAAAAAAYABgBZAQAA7QUA&#10;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1504315</wp:posOffset>
                      </wp:positionH>
                      <wp:positionV relativeFrom="paragraph">
                        <wp:posOffset>3373755</wp:posOffset>
                      </wp:positionV>
                      <wp:extent cx="2167255" cy="233680"/>
                      <wp:effectExtent l="0" t="0" r="4445" b="13970"/>
                      <wp:wrapNone/>
                      <wp:docPr id="20" name="文本框 20"/>
                      <wp:cNvGraphicFramePr/>
                      <a:graphic xmlns:a="http://schemas.openxmlformats.org/drawingml/2006/main">
                        <a:graphicData uri="http://schemas.microsoft.com/office/word/2010/wordprocessingShape">
                          <wps:wsp>
                            <wps:cNvSpPr txBox="1"/>
                            <wps:spPr>
                              <a:xfrm>
                                <a:off x="3006725" y="4466590"/>
                                <a:ext cx="2167255" cy="233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45pt;margin-top:265.65pt;height:18.4pt;width:170.65pt;z-index:251664384;mso-width-relative:page;mso-height-relative:page;" fillcolor="#FFFFFF [3201]" filled="t" stroked="f" coordsize="21600,21600" o:gfxdata="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BLH&#10;1wAAAAsBAAAPAAAAAAAAAAEAIAAAACIAAABkcnMvZG93bnJldi54bWxQSwECFAAUAAAACACHTuJA&#10;iEAGaVsCAACdBAAADgAAAAAAAAABACAAAAAmAQAAZHJzL2Uyb0RvYy54bWxQSwUGAAAAAAYABgBZ&#10;AQAA8wUAAAAA&#10;">
                      <v:fill on="t" focussize="0,0"/>
                      <v:stroke on="f" weight="0.5pt"/>
                      <v:imagedata o:title=""/>
                      <o:lock v:ext="edit" aspectratio="f"/>
                      <v:textbox>
                        <w:txbxContent>
                          <w:p/>
                        </w:txbxContent>
                      </v:textbox>
                    </v:shape>
                  </w:pict>
                </mc:Fallback>
              </mc:AlternateContent>
            </w:r>
            <w:r>
              <w:rPr>
                <w:rFonts w:hint="eastAsia" w:ascii="Times New Roman" w:hAnsi="Times New Roman" w:eastAsia="宋体" w:cs="Times New Roman"/>
                <w:b/>
                <w:bCs/>
                <w:color w:val="auto"/>
                <w:sz w:val="24"/>
                <w:lang w:eastAsia="zh-CN"/>
              </w:rPr>
              <w:drawing>
                <wp:inline distT="0" distB="0" distL="114300" distR="114300">
                  <wp:extent cx="5061585" cy="3282315"/>
                  <wp:effectExtent l="0" t="0" r="5715" b="13335"/>
                  <wp:docPr id="5" name="图片 5" descr="Y315)25986%~H3YP`Z{R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Y315)25986%~H3YP`Z{R30A"/>
                          <pic:cNvPicPr>
                            <a:picLocks noChangeAspect="1"/>
                          </pic:cNvPicPr>
                        </pic:nvPicPr>
                        <pic:blipFill>
                          <a:blip r:embed="rId13"/>
                          <a:stretch>
                            <a:fillRect/>
                          </a:stretch>
                        </pic:blipFill>
                        <pic:spPr>
                          <a:xfrm>
                            <a:off x="0" y="0"/>
                            <a:ext cx="5061585" cy="3282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drawing>
                <wp:inline distT="0" distB="0" distL="114300" distR="114300">
                  <wp:extent cx="5059680" cy="3260090"/>
                  <wp:effectExtent l="0" t="0" r="7620" b="16510"/>
                  <wp:docPr id="13" name="图片 13" descr="JSK)LANF3~8K7U7~7W9OB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SK)LANF3~8K7U7~7W9OB3G"/>
                          <pic:cNvPicPr>
                            <a:picLocks noChangeAspect="1"/>
                          </pic:cNvPicPr>
                        </pic:nvPicPr>
                        <pic:blipFill>
                          <a:blip r:embed="rId14"/>
                          <a:stretch>
                            <a:fillRect/>
                          </a:stretch>
                        </pic:blipFill>
                        <pic:spPr>
                          <a:xfrm>
                            <a:off x="0" y="0"/>
                            <a:ext cx="5059680" cy="3260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）其他</w:t>
            </w:r>
            <w:r>
              <w:rPr>
                <w:rFonts w:hint="eastAsia" w:ascii="Times New Roman" w:hAnsi="Times New Roman" w:eastAsia="宋体" w:cs="Times New Roman"/>
                <w:b/>
                <w:bCs/>
                <w:color w:val="auto"/>
                <w:sz w:val="24"/>
              </w:rPr>
              <w:t>特征</w:t>
            </w:r>
            <w:r>
              <w:rPr>
                <w:rFonts w:ascii="Times New Roman" w:hAnsi="Times New Roman" w:eastAsia="宋体" w:cs="Times New Roman"/>
                <w:b/>
                <w:bCs/>
                <w:color w:val="auto"/>
                <w:sz w:val="24"/>
              </w:rPr>
              <w:t>污染物环境质量现状评价</w:t>
            </w:r>
          </w:p>
          <w:p>
            <w:pPr>
              <w:adjustRightInd w:val="0"/>
              <w:snapToGrid w:val="0"/>
              <w:spacing w:line="360" w:lineRule="auto"/>
              <w:ind w:firstLine="480" w:firstLineChars="200"/>
              <w:rPr>
                <w:rFonts w:hint="eastAsia"/>
                <w:b/>
                <w:bCs/>
                <w:sz w:val="24"/>
                <w:vertAlign w:val="baseline"/>
                <w:lang w:val="en-US" w:eastAsia="zh-CN"/>
              </w:rPr>
            </w:pPr>
            <w:r>
              <w:rPr>
                <w:rFonts w:hint="eastAsia" w:hAnsi="宋体"/>
                <w:color w:val="000000"/>
                <w:sz w:val="24"/>
                <w:lang w:eastAsia="zh-CN"/>
              </w:rPr>
              <w:t>项目生产过程中排放的特征污染物</w:t>
            </w:r>
            <w:r>
              <w:rPr>
                <w:rFonts w:hint="eastAsia" w:hAnsi="宋体"/>
                <w:color w:val="000000"/>
                <w:sz w:val="24"/>
              </w:rPr>
              <w:t>为非甲烷总烃</w:t>
            </w:r>
            <w:r>
              <w:rPr>
                <w:rFonts w:hint="eastAsia" w:hAnsi="宋体"/>
                <w:color w:val="000000"/>
                <w:sz w:val="24"/>
                <w:lang w:eastAsia="zh-CN"/>
              </w:rPr>
              <w:t>，</w:t>
            </w:r>
            <w:r>
              <w:rPr>
                <w:rFonts w:hint="eastAsia" w:hAnsi="宋体"/>
                <w:color w:val="000000"/>
                <w:sz w:val="24"/>
                <w:lang w:val="en-US" w:eastAsia="zh-CN"/>
              </w:rPr>
              <w:t>根</w:t>
            </w:r>
            <w:r>
              <w:rPr>
                <w:rFonts w:hint="default" w:hAnsi="宋体"/>
                <w:color w:val="000000"/>
                <w:sz w:val="24"/>
                <w:lang w:val="en-US" w:eastAsia="zh-CN"/>
              </w:rPr>
              <w:t>据</w:t>
            </w:r>
            <w:r>
              <w:rPr>
                <w:rFonts w:hint="default" w:hAnsi="宋体"/>
                <w:color w:val="000000"/>
                <w:sz w:val="24"/>
              </w:rPr>
              <w:t>2020年11月公布的《安徽舒城经济开发区环境影响区域评估报告》</w:t>
            </w:r>
            <w:r>
              <w:rPr>
                <w:rFonts w:hint="default" w:hAnsi="宋体"/>
                <w:color w:val="000000"/>
                <w:sz w:val="24"/>
                <w:lang w:eastAsia="zh-CN"/>
              </w:rPr>
              <w:t>对</w:t>
            </w:r>
            <w:r>
              <w:rPr>
                <w:rFonts w:hint="default" w:hAnsi="宋体"/>
                <w:color w:val="000000"/>
                <w:sz w:val="24"/>
                <w:lang w:val="en-US" w:eastAsia="zh-CN"/>
              </w:rPr>
              <w:t>城关园区环境质量监测数据分析</w:t>
            </w:r>
            <w:r>
              <w:rPr>
                <w:rFonts w:hint="eastAsia" w:hAnsi="宋体"/>
                <w:color w:val="000000"/>
                <w:sz w:val="24"/>
                <w:lang w:val="en-US" w:eastAsia="zh-CN"/>
              </w:rPr>
              <w:t>，</w:t>
            </w:r>
            <w:r>
              <w:rPr>
                <w:rFonts w:hint="default" w:hAnsi="宋体"/>
                <w:color w:val="000000"/>
                <w:sz w:val="24"/>
                <w:lang w:val="en-US" w:eastAsia="zh-CN"/>
              </w:rPr>
              <w:t>评估区域内</w:t>
            </w:r>
            <w:r>
              <w:rPr>
                <w:rFonts w:hint="eastAsia" w:hAnsi="宋体"/>
                <w:color w:val="000000"/>
                <w:sz w:val="24"/>
                <w:lang w:val="en-US" w:eastAsia="zh-CN"/>
              </w:rPr>
              <w:t>非甲烷总烃达标，</w:t>
            </w:r>
            <w:r>
              <w:rPr>
                <w:rFonts w:hint="default" w:ascii="Times New Roman" w:hAnsi="Times New Roman" w:eastAsia="宋体" w:cs="Times New Roman"/>
                <w:color w:val="000000"/>
                <w:sz w:val="24"/>
                <w:lang w:val="en-US" w:eastAsia="zh-CN"/>
              </w:rPr>
              <w:t>园区环境空气质量良好</w:t>
            </w:r>
            <w:r>
              <w:rPr>
                <w:rFonts w:hint="eastAsia" w:cs="Times New Roman"/>
                <w:color w:val="000000"/>
                <w:sz w:val="24"/>
                <w:lang w:val="en-US" w:eastAsia="zh-CN"/>
              </w:rPr>
              <w:t>。具体监测结果如下。</w:t>
            </w:r>
          </w:p>
          <w:p>
            <w:pPr>
              <w:adjustRightInd w:val="0"/>
              <w:spacing w:line="360" w:lineRule="auto"/>
              <w:jc w:val="center"/>
              <w:rPr>
                <w:rFonts w:hint="eastAsia"/>
                <w:b/>
                <w:bCs/>
                <w:color w:val="auto"/>
                <w:sz w:val="24"/>
                <w:lang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1362075</wp:posOffset>
                      </wp:positionH>
                      <wp:positionV relativeFrom="paragraph">
                        <wp:posOffset>262255</wp:posOffset>
                      </wp:positionV>
                      <wp:extent cx="2381250" cy="209550"/>
                      <wp:effectExtent l="0" t="0" r="0" b="0"/>
                      <wp:wrapNone/>
                      <wp:docPr id="21" name="文本框 21"/>
                      <wp:cNvGraphicFramePr/>
                      <a:graphic xmlns:a="http://schemas.openxmlformats.org/drawingml/2006/main">
                        <a:graphicData uri="http://schemas.microsoft.com/office/word/2010/wordprocessingShape">
                          <wps:wsp>
                            <wps:cNvSpPr txBox="1"/>
                            <wps:spPr>
                              <a:xfrm>
                                <a:off x="2856230" y="1402715"/>
                                <a:ext cx="23812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5pt;margin-top:20.65pt;height:16.5pt;width:187.5pt;z-index:251665408;mso-width-relative:page;mso-height-relative:page;" fillcolor="#FFFFFF [3201]" filled="t" stroked="f" coordsize="21600,21600" o:gfxdata="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ka3itYA&#10;AAAJAQAADwAAAAAAAAABACAAAAAiAAAAZHJzL2Rvd25yZXYueG1sUEsBAhQAFAAAAAgAh07iQJFn&#10;MDNaAgAAnQQAAA4AAAAAAAAAAQAgAAAAJQEAAGRycy9lMm9Eb2MueG1sUEsFBgAAAAAGAAYAWQEA&#10;APEFAAAAAA==&#10;">
                      <v:fill on="t" focussize="0,0"/>
                      <v:stroke on="f" weight="0.5pt"/>
                      <v:imagedata o:title=""/>
                      <o:lock v:ext="edit" aspectratio="f"/>
                      <v:textbox>
                        <w:txbxContent>
                          <w:p/>
                        </w:txbxContent>
                      </v:textbox>
                    </v:shape>
                  </w:pict>
                </mc:Fallback>
              </mc:AlternateContent>
            </w:r>
            <w:r>
              <w:rPr>
                <w:rFonts w:hint="eastAsia"/>
                <w:b/>
                <w:bCs/>
                <w:sz w:val="24"/>
                <w:vertAlign w:val="baseline"/>
                <w:lang w:val="en-US" w:eastAsia="zh-CN"/>
              </w:rPr>
              <w:t>表3-2 环境质量现状监测结果一览表</w:t>
            </w:r>
          </w:p>
          <w:p>
            <w:pPr>
              <w:adjustRightInd w:val="0"/>
              <w:spacing w:line="360" w:lineRule="auto"/>
              <w:jc w:val="center"/>
              <w:rPr>
                <w:rFonts w:hint="eastAsia"/>
                <w:b/>
                <w:bCs/>
                <w:color w:val="auto"/>
                <w:sz w:val="24"/>
                <w:lang w:eastAsia="zh-CN"/>
              </w:rPr>
            </w:pPr>
            <w:r>
              <w:rPr>
                <w:rFonts w:hint="eastAsia"/>
                <w:b/>
                <w:bCs/>
                <w:color w:val="auto"/>
                <w:sz w:val="24"/>
                <w:lang w:eastAsia="zh-CN"/>
              </w:rPr>
              <w:drawing>
                <wp:inline distT="0" distB="0" distL="114300" distR="114300">
                  <wp:extent cx="5061585" cy="2733040"/>
                  <wp:effectExtent l="0" t="0" r="5715" b="10160"/>
                  <wp:docPr id="14" name="图片 14" descr="ZI__9A[6EJRZ[RAG83[XU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ZI__9A[6EJRZ[RAG83[XUGF"/>
                          <pic:cNvPicPr>
                            <a:picLocks noChangeAspect="1"/>
                          </pic:cNvPicPr>
                        </pic:nvPicPr>
                        <pic:blipFill>
                          <a:blip r:embed="rId15"/>
                          <a:stretch>
                            <a:fillRect/>
                          </a:stretch>
                        </pic:blipFill>
                        <pic:spPr>
                          <a:xfrm>
                            <a:off x="0" y="0"/>
                            <a:ext cx="5061585" cy="2733040"/>
                          </a:xfrm>
                          <a:prstGeom prst="rect">
                            <a:avLst/>
                          </a:prstGeom>
                        </pic:spPr>
                      </pic:pic>
                    </a:graphicData>
                  </a:graphic>
                </wp:inline>
              </w:drawing>
            </w:r>
          </w:p>
          <w:p>
            <w:pPr>
              <w:adjustRightInd w:val="0"/>
              <w:spacing w:line="360" w:lineRule="auto"/>
              <w:ind w:firstLine="482" w:firstLineChars="200"/>
              <w:rPr>
                <w:b/>
                <w:bCs/>
                <w:color w:val="auto"/>
                <w:sz w:val="24"/>
              </w:rPr>
            </w:pPr>
            <w:r>
              <w:rPr>
                <w:rFonts w:hint="eastAsia"/>
                <w:b/>
                <w:bCs/>
                <w:color w:val="auto"/>
                <w:sz w:val="24"/>
                <w:lang w:eastAsia="zh-CN"/>
              </w:rPr>
              <w:t>（二）</w:t>
            </w:r>
            <w:r>
              <w:rPr>
                <w:b/>
                <w:bCs/>
                <w:color w:val="auto"/>
                <w:sz w:val="24"/>
              </w:rPr>
              <w:t>地表水环境质量现状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baseline"/>
              <w:rPr>
                <w:rFonts w:hint="default" w:eastAsia="宋体"/>
                <w:color w:val="auto"/>
                <w:lang w:val="en-US" w:eastAsia="zh-CN"/>
              </w:rPr>
            </w:pPr>
            <w:r>
              <w:rPr>
                <w:color w:val="auto"/>
                <w:sz w:val="24"/>
              </w:rPr>
              <w:t xml:space="preserve"> </w:t>
            </w:r>
            <w:r>
              <w:rPr>
                <w:rFonts w:hint="default" w:ascii="Times New Roman" w:hAnsi="Times New Roman" w:eastAsia="宋体" w:cs="Times New Roman"/>
                <w:color w:val="000000"/>
                <w:sz w:val="24"/>
              </w:rPr>
              <w:t>项目</w:t>
            </w:r>
            <w:r>
              <w:rPr>
                <w:rFonts w:hint="eastAsia" w:cs="Times New Roman"/>
                <w:color w:val="000000"/>
                <w:sz w:val="24"/>
                <w:lang w:eastAsia="zh-CN"/>
              </w:rPr>
              <w:t>生活</w:t>
            </w:r>
            <w:r>
              <w:rPr>
                <w:rFonts w:hint="default" w:ascii="Times New Roman" w:hAnsi="Times New Roman" w:eastAsia="宋体" w:cs="Times New Roman"/>
                <w:color w:val="000000"/>
                <w:sz w:val="24"/>
              </w:rPr>
              <w:t>废水通过化粪池预处理后进入舒城经济开发区污水处理厂</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处理后经三里河排至朱槽沟</w:t>
            </w:r>
            <w:r>
              <w:rPr>
                <w:rFonts w:hint="eastAsia" w:cs="Times New Roman"/>
                <w:color w:val="000000"/>
                <w:sz w:val="24"/>
                <w:lang w:eastAsia="zh-CN"/>
              </w:rPr>
              <w:t>。</w:t>
            </w:r>
            <w:r>
              <w:rPr>
                <w:rFonts w:hint="default" w:ascii="Times New Roman" w:hAnsi="Times New Roman" w:eastAsia="宋体" w:cs="Times New Roman"/>
                <w:color w:val="000000"/>
                <w:sz w:val="24"/>
              </w:rPr>
              <w:t>根据</w:t>
            </w:r>
            <w:r>
              <w:rPr>
                <w:rFonts w:hint="default" w:ascii="Times New Roman" w:hAnsi="Times New Roman" w:cs="Times New Roman"/>
                <w:sz w:val="24"/>
              </w:rPr>
              <w:t>2020年11月公布的《安徽舒城经济开发区环境影响区域评估报告》</w:t>
            </w:r>
            <w:r>
              <w:rPr>
                <w:rFonts w:hint="eastAsia" w:cs="Times New Roman"/>
                <w:sz w:val="24"/>
                <w:lang w:eastAsia="zh-CN"/>
              </w:rPr>
              <w:t>对</w:t>
            </w:r>
            <w:r>
              <w:rPr>
                <w:rFonts w:hint="default" w:ascii="Times New Roman" w:hAnsi="Times New Roman" w:eastAsia="宋体" w:cs="Times New Roman"/>
                <w:color w:val="000000"/>
                <w:sz w:val="24"/>
              </w:rPr>
              <w:t>城关园区环境质量监测数据分析，城关园区所在区域三里河和朱槽沟各监测断面，各监测因子均满足《地表水环境质量标准》（GB3838-2002）中 IV 类水质标准的要求，水质状况良好</w:t>
            </w:r>
            <w:r>
              <w:rPr>
                <w:rFonts w:hint="eastAsia"/>
                <w:color w:val="auto"/>
                <w:sz w:val="24"/>
              </w:rPr>
              <w:t>。</w:t>
            </w:r>
            <w:r>
              <w:rPr>
                <w:rFonts w:hint="eastAsia"/>
                <w:color w:val="auto"/>
                <w:sz w:val="24"/>
                <w:lang w:val="en-US" w:eastAsia="zh-CN"/>
              </w:rPr>
              <w:t>具体监测结果见报告附件。</w:t>
            </w:r>
          </w:p>
          <w:p>
            <w:pPr>
              <w:adjustRightInd w:val="0"/>
              <w:spacing w:line="360" w:lineRule="auto"/>
              <w:ind w:firstLine="482" w:firstLineChars="200"/>
              <w:rPr>
                <w:b/>
                <w:bCs/>
                <w:color w:val="auto"/>
                <w:sz w:val="24"/>
              </w:rPr>
            </w:pPr>
            <w:r>
              <w:rPr>
                <w:rFonts w:hint="eastAsia"/>
                <w:b/>
                <w:bCs/>
                <w:color w:val="auto"/>
                <w:sz w:val="24"/>
                <w:lang w:eastAsia="zh-CN"/>
              </w:rPr>
              <w:t>（三）</w:t>
            </w:r>
            <w:r>
              <w:rPr>
                <w:b/>
                <w:bCs/>
                <w:color w:val="auto"/>
                <w:sz w:val="24"/>
              </w:rPr>
              <w:t>声环境质量现状</w:t>
            </w:r>
          </w:p>
          <w:p>
            <w:pPr>
              <w:spacing w:line="360" w:lineRule="auto"/>
              <w:ind w:firstLine="480" w:firstLineChars="200"/>
              <w:rPr>
                <w:b/>
                <w:color w:val="auto"/>
                <w:sz w:val="24"/>
              </w:rPr>
            </w:pPr>
            <w:r>
              <w:rPr>
                <w:color w:val="auto"/>
                <w:sz w:val="24"/>
              </w:rPr>
              <w:t>本次评价委托安徽</w:t>
            </w:r>
            <w:r>
              <w:rPr>
                <w:rFonts w:hint="eastAsia"/>
                <w:color w:val="auto"/>
                <w:sz w:val="24"/>
                <w:lang w:eastAsia="zh-CN"/>
              </w:rPr>
              <w:t>川达检测科技</w:t>
            </w:r>
            <w:r>
              <w:rPr>
                <w:color w:val="auto"/>
                <w:sz w:val="24"/>
              </w:rPr>
              <w:t>有限公司对项目</w:t>
            </w:r>
            <w:r>
              <w:rPr>
                <w:rFonts w:hAnsi="宋体"/>
                <w:color w:val="auto"/>
                <w:sz w:val="24"/>
              </w:rPr>
              <w:t>厂界周围声环境现状进行监测</w:t>
            </w:r>
            <w:r>
              <w:rPr>
                <w:color w:val="auto"/>
                <w:sz w:val="24"/>
              </w:rPr>
              <w:t>，监测时间为2021年</w:t>
            </w:r>
            <w:r>
              <w:rPr>
                <w:rFonts w:hint="eastAsia"/>
                <w:color w:val="auto"/>
                <w:sz w:val="24"/>
                <w:lang w:val="en-US" w:eastAsia="zh-CN"/>
              </w:rPr>
              <w:t>6</w:t>
            </w:r>
            <w:r>
              <w:rPr>
                <w:color w:val="auto"/>
                <w:sz w:val="24"/>
              </w:rPr>
              <w:t>月</w:t>
            </w:r>
            <w:r>
              <w:rPr>
                <w:rFonts w:hint="eastAsia"/>
                <w:color w:val="auto"/>
                <w:sz w:val="24"/>
                <w:lang w:val="en-US" w:eastAsia="zh-CN"/>
              </w:rPr>
              <w:t>07</w:t>
            </w:r>
            <w:r>
              <w:rPr>
                <w:color w:val="auto"/>
                <w:sz w:val="24"/>
              </w:rPr>
              <w:t>日</w:t>
            </w:r>
            <w:r>
              <w:rPr>
                <w:rFonts w:hint="eastAsia"/>
                <w:color w:val="auto"/>
                <w:sz w:val="24"/>
                <w:lang w:val="en-US" w:eastAsia="zh-CN"/>
              </w:rPr>
              <w:t>-08</w:t>
            </w:r>
            <w:r>
              <w:rPr>
                <w:color w:val="auto"/>
                <w:sz w:val="24"/>
              </w:rPr>
              <w:t>日，监测结果见下表。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b/>
                <w:color w:val="auto"/>
                <w:sz w:val="24"/>
                <w:lang w:val="en-US" w:eastAsia="zh-CN"/>
              </w:rPr>
            </w:pPr>
            <w:r>
              <w:rPr>
                <w:b/>
                <w:color w:val="auto"/>
                <w:sz w:val="24"/>
              </w:rPr>
              <w:t>表3-</w:t>
            </w:r>
            <w:r>
              <w:rPr>
                <w:rFonts w:hint="eastAsia"/>
                <w:b/>
                <w:color w:val="auto"/>
                <w:sz w:val="24"/>
                <w:lang w:val="en-US" w:eastAsia="zh-CN"/>
              </w:rPr>
              <w:t xml:space="preserve">1 </w:t>
            </w:r>
            <w:r>
              <w:rPr>
                <w:b/>
                <w:color w:val="auto"/>
                <w:sz w:val="24"/>
              </w:rPr>
              <w:t xml:space="preserve"> 声</w:t>
            </w:r>
            <w:r>
              <w:rPr>
                <w:rFonts w:hint="eastAsia"/>
                <w:b/>
                <w:color w:val="auto"/>
                <w:sz w:val="24"/>
                <w:lang w:eastAsia="zh-CN"/>
              </w:rPr>
              <w:t>环境</w:t>
            </w:r>
            <w:r>
              <w:rPr>
                <w:b/>
                <w:color w:val="auto"/>
                <w:sz w:val="24"/>
              </w:rPr>
              <w:t>现状监测结果</w:t>
            </w:r>
            <w:r>
              <w:rPr>
                <w:rFonts w:hint="eastAsia"/>
                <w:b/>
                <w:color w:val="auto"/>
                <w:sz w:val="24"/>
                <w:lang w:val="en-US" w:eastAsia="zh-CN"/>
              </w:rPr>
              <w:t xml:space="preserve">  单位：dB(A)</w:t>
            </w:r>
          </w:p>
          <w:tbl>
            <w:tblPr>
              <w:tblStyle w:val="20"/>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075"/>
              <w:gridCol w:w="1450"/>
              <w:gridCol w:w="1350"/>
              <w:gridCol w:w="700"/>
              <w:gridCol w:w="1387"/>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7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监测日期</w:t>
                  </w: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测点编号</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测点位置</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测试时间</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昼间</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测试时间</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177" w:type="dxa"/>
                  <w:vMerge w:val="restart"/>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2021.06.07</w:t>
                  </w: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N1</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东厂界外1m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09:24-09:34</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22:06-22:16</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77" w:type="dxa"/>
                  <w:vMerge w:val="continue"/>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N2</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南厂界外1m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09:44-09:54</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58</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22:21-22:31</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7" w:type="dxa"/>
                  <w:vMerge w:val="continue"/>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N3</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西厂界外1m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09:59-10:09</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22:37-22:47</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77" w:type="dxa"/>
                  <w:vMerge w:val="continue"/>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N4</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北厂界外1m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10:15-10:25</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22:52-23:02</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177" w:type="dxa"/>
                  <w:vMerge w:val="restart"/>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2021.06.08</w:t>
                  </w: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N1</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东厂界外1m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09:45-09:55</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22:11-22:21</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77" w:type="dxa"/>
                  <w:vMerge w:val="continue"/>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N2</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南厂界外1m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09:59-10:09</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59</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22:28-22:38</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177" w:type="dxa"/>
                  <w:vMerge w:val="continue"/>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N3</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西厂界外1m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10:16-10:26</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57</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22:44-22:54</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77" w:type="dxa"/>
                  <w:vMerge w:val="continue"/>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jc w:val="center"/>
                    <w:textAlignment w:val="auto"/>
                    <w:rPr>
                      <w:rFonts w:hint="default"/>
                      <w:sz w:val="21"/>
                      <w:szCs w:val="21"/>
                      <w:vertAlign w:val="baseline"/>
                      <w:lang w:val="en-US" w:eastAsia="zh-CN"/>
                    </w:rPr>
                  </w:pPr>
                </w:p>
              </w:tc>
              <w:tc>
                <w:tcPr>
                  <w:tcW w:w="107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N4</w:t>
                  </w:r>
                </w:p>
              </w:tc>
              <w:tc>
                <w:tcPr>
                  <w:tcW w:w="14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北厂界外1m</w:t>
                  </w:r>
                </w:p>
              </w:tc>
              <w:tc>
                <w:tcPr>
                  <w:tcW w:w="135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10:31-10:41</w:t>
                  </w:r>
                </w:p>
              </w:tc>
              <w:tc>
                <w:tcPr>
                  <w:tcW w:w="700"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1387"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22:59-23:09</w:t>
                  </w:r>
                </w:p>
              </w:tc>
              <w:tc>
                <w:tcPr>
                  <w:tcW w:w="835" w:type="dxa"/>
                  <w:vAlign w:val="center"/>
                </w:tcPr>
                <w:p>
                  <w:pPr>
                    <w:pStyle w:val="9"/>
                    <w:keepNext w:val="0"/>
                    <w:keepLines w:val="0"/>
                    <w:pageBreakBefore w:val="0"/>
                    <w:widowControl/>
                    <w:kinsoku/>
                    <w:wordWrap/>
                    <w:overflowPunct/>
                    <w:topLinePunct w:val="0"/>
                    <w:autoSpaceDE/>
                    <w:autoSpaceDN/>
                    <w:bidi w:val="0"/>
                    <w:adjustRightInd/>
                    <w:snapToGrid w:val="0"/>
                    <w:spacing w:before="0" w:after="0" w:line="0" w:lineRule="atLeast"/>
                    <w:ind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47</w:t>
                  </w:r>
                </w:p>
              </w:tc>
            </w:tr>
          </w:tbl>
          <w:p>
            <w:pPr>
              <w:widowControl/>
              <w:spacing w:before="120" w:beforeLines="50" w:line="360" w:lineRule="auto"/>
              <w:ind w:firstLine="480" w:firstLineChars="200"/>
              <w:jc w:val="left"/>
              <w:textAlignment w:val="baseline"/>
              <w:rPr>
                <w:rFonts w:hint="eastAsia"/>
                <w:color w:val="auto"/>
                <w:sz w:val="24"/>
              </w:rPr>
            </w:pPr>
            <w:r>
              <w:rPr>
                <w:color w:val="auto"/>
                <w:sz w:val="24"/>
              </w:rPr>
              <w:t>从上表噪声现状监测结果可以看出，项目所在地的声环境现状能满足能够满足《声环境质量标准》(GB3096-2008)中3类标准要求</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spacing w:line="240" w:lineRule="auto"/>
              <w:ind w:firstLine="482" w:firstLineChars="200"/>
              <w:textAlignment w:val="auto"/>
              <w:rPr>
                <w:b/>
                <w:bCs/>
                <w:sz w:val="24"/>
              </w:rPr>
            </w:pPr>
            <w:r>
              <w:rPr>
                <w:rFonts w:hint="eastAsia"/>
                <w:b/>
                <w:bCs/>
                <w:sz w:val="24"/>
                <w:lang w:eastAsia="zh-CN"/>
              </w:rPr>
              <w:t>（四）地下水</w:t>
            </w:r>
            <w:r>
              <w:rPr>
                <w:b/>
                <w:bCs/>
                <w:sz w:val="24"/>
              </w:rPr>
              <w:t>环境质量现状</w:t>
            </w:r>
          </w:p>
          <w:p>
            <w:pPr>
              <w:widowControl/>
              <w:spacing w:before="120" w:beforeLines="50" w:line="360" w:lineRule="auto"/>
              <w:ind w:firstLine="480" w:firstLineChars="200"/>
              <w:jc w:val="left"/>
              <w:textAlignment w:val="baseline"/>
              <w:rPr>
                <w:rFonts w:hint="eastAsia" w:eastAsia="宋体"/>
                <w:sz w:val="24"/>
                <w:lang w:eastAsia="zh-CN"/>
              </w:rPr>
            </w:pPr>
            <w:r>
              <w:rPr>
                <w:rFonts w:hint="default" w:ascii="Times New Roman" w:hAnsi="Times New Roman" w:eastAsia="宋体" w:cs="Times New Roman"/>
                <w:color w:val="000000"/>
                <w:sz w:val="24"/>
              </w:rPr>
              <w:t>根据</w:t>
            </w:r>
            <w:r>
              <w:rPr>
                <w:rFonts w:hint="default" w:ascii="Times New Roman" w:hAnsi="Times New Roman" w:cs="Times New Roman"/>
                <w:sz w:val="24"/>
              </w:rPr>
              <w:t>2020年11月公布的《安徽舒城经济开发区环境影响区域评估报告》</w:t>
            </w:r>
            <w:r>
              <w:rPr>
                <w:rFonts w:hint="eastAsia" w:cs="Times New Roman"/>
                <w:sz w:val="24"/>
                <w:lang w:eastAsia="zh-CN"/>
              </w:rPr>
              <w:t>从</w:t>
            </w:r>
            <w:r>
              <w:rPr>
                <w:rFonts w:hint="default" w:ascii="Times New Roman" w:hAnsi="Times New Roman" w:eastAsia="宋体" w:cs="Times New Roman"/>
                <w:color w:val="000000"/>
                <w:sz w:val="24"/>
              </w:rPr>
              <w:t>城关园区环境质量</w:t>
            </w:r>
            <w:r>
              <w:rPr>
                <w:rFonts w:hint="eastAsia"/>
                <w:sz w:val="24"/>
              </w:rPr>
              <w:t>现状监测结果来看，城关园区布设的</w:t>
            </w:r>
            <w:r>
              <w:rPr>
                <w:rFonts w:hint="eastAsia"/>
                <w:sz w:val="24"/>
                <w:lang w:eastAsia="zh-CN"/>
              </w:rPr>
              <w:t>青墩村农场组等</w:t>
            </w:r>
            <w:r>
              <w:rPr>
                <w:rFonts w:hint="eastAsia"/>
                <w:sz w:val="24"/>
              </w:rPr>
              <w:t>监测点位各监测因子监测结果均满足《地下水质量标准》（GB/T14848-2017）中III类标准要求，地下水水质良好</w:t>
            </w:r>
            <w:r>
              <w:rPr>
                <w:rFonts w:hint="eastAsia"/>
                <w:sz w:val="24"/>
                <w:lang w:eastAsia="zh-CN"/>
              </w:rPr>
              <w:t>。</w:t>
            </w:r>
          </w:p>
          <w:p>
            <w:pPr>
              <w:keepNext w:val="0"/>
              <w:keepLines w:val="0"/>
              <w:pageBreakBefore w:val="0"/>
              <w:widowControl w:val="0"/>
              <w:kinsoku/>
              <w:wordWrap/>
              <w:overflowPunct/>
              <w:topLinePunct w:val="0"/>
              <w:autoSpaceDE/>
              <w:autoSpaceDN/>
              <w:bidi w:val="0"/>
              <w:adjustRightInd w:val="0"/>
              <w:snapToGrid/>
              <w:spacing w:line="240" w:lineRule="auto"/>
              <w:ind w:firstLine="482" w:firstLineChars="200"/>
              <w:textAlignment w:val="auto"/>
              <w:rPr>
                <w:b/>
                <w:bCs/>
                <w:sz w:val="24"/>
              </w:rPr>
            </w:pPr>
            <w:r>
              <w:rPr>
                <w:rFonts w:hint="eastAsia"/>
                <w:b/>
                <w:bCs/>
                <w:sz w:val="24"/>
                <w:lang w:eastAsia="zh-CN"/>
              </w:rPr>
              <w:t>（五）土壤</w:t>
            </w:r>
            <w:r>
              <w:rPr>
                <w:b/>
                <w:bCs/>
                <w:sz w:val="24"/>
              </w:rPr>
              <w:t>环境质量现状</w:t>
            </w:r>
          </w:p>
          <w:p>
            <w:pPr>
              <w:widowControl/>
              <w:spacing w:before="120" w:beforeLines="50" w:line="360" w:lineRule="auto"/>
              <w:ind w:firstLine="480" w:firstLineChars="200"/>
              <w:jc w:val="left"/>
              <w:textAlignment w:val="baseline"/>
              <w:rPr>
                <w:rFonts w:hint="eastAsia" w:eastAsia="宋体"/>
                <w:color w:val="auto"/>
                <w:sz w:val="24"/>
                <w:lang w:eastAsia="zh-CN"/>
              </w:rPr>
            </w:pPr>
            <w:r>
              <w:rPr>
                <w:rFonts w:hint="default" w:ascii="Times New Roman" w:hAnsi="Times New Roman" w:eastAsia="宋体" w:cs="Times New Roman"/>
                <w:color w:val="000000"/>
                <w:sz w:val="24"/>
              </w:rPr>
              <w:t>根据</w:t>
            </w:r>
            <w:r>
              <w:rPr>
                <w:rFonts w:hint="default" w:ascii="Times New Roman" w:hAnsi="Times New Roman" w:cs="Times New Roman"/>
                <w:sz w:val="24"/>
              </w:rPr>
              <w:t>2020年11月公布的《安徽舒城经济开发区环境影响区域评估报告》</w:t>
            </w:r>
            <w:r>
              <w:rPr>
                <w:rFonts w:hint="eastAsia" w:cs="Times New Roman"/>
                <w:sz w:val="24"/>
                <w:lang w:eastAsia="zh-CN"/>
              </w:rPr>
              <w:t>从</w:t>
            </w:r>
            <w:r>
              <w:rPr>
                <w:rFonts w:hint="default" w:ascii="Times New Roman" w:hAnsi="Times New Roman" w:eastAsia="宋体" w:cs="Times New Roman"/>
                <w:color w:val="000000"/>
                <w:sz w:val="24"/>
              </w:rPr>
              <w:t>城关园区环境质量</w:t>
            </w:r>
            <w:r>
              <w:rPr>
                <w:rFonts w:hint="eastAsia"/>
                <w:sz w:val="24"/>
              </w:rPr>
              <w:t>现状监测结果来看，城关园区布设的</w:t>
            </w:r>
            <w:r>
              <w:rPr>
                <w:rFonts w:hint="eastAsia"/>
                <w:sz w:val="24"/>
                <w:lang w:val="en-US" w:eastAsia="zh-CN"/>
              </w:rPr>
              <w:t>公麟路与古城北路交口东北侧空地等</w:t>
            </w:r>
            <w:r>
              <w:rPr>
                <w:rFonts w:hint="eastAsia"/>
                <w:sz w:val="24"/>
              </w:rPr>
              <w:t>监测点位各监测因子监测结果均低于《土壤环境质量标准建设用地土壤风险管控标准（试行）》（GB36600-2018）中第二类用地土壤污染风险筛选值</w:t>
            </w:r>
            <w:r>
              <w:rPr>
                <w:rFonts w:hint="eastAsia"/>
                <w:sz w:val="24"/>
                <w:lang w:eastAsia="zh-CN"/>
              </w:rPr>
              <w:t>，</w:t>
            </w:r>
            <w:r>
              <w:rPr>
                <w:rFonts w:hint="eastAsia"/>
                <w:sz w:val="24"/>
              </w:rPr>
              <w:t>土壤环境质量较好</w:t>
            </w:r>
            <w:r>
              <w:rPr>
                <w:rFonts w:hint="eastAsia"/>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 w:val="24"/>
              </w:rPr>
            </w:pPr>
            <w:r>
              <w:rPr>
                <w:color w:val="auto"/>
                <w:kern w:val="0"/>
                <w:sz w:val="24"/>
              </w:rPr>
              <w:t>目标</w:t>
            </w:r>
          </w:p>
        </w:tc>
        <w:tc>
          <w:tcPr>
            <w:tcW w:w="8190" w:type="dxa"/>
            <w:noWrap w:val="0"/>
            <w:vAlign w:val="top"/>
          </w:tcPr>
          <w:p>
            <w:pPr>
              <w:pStyle w:val="11"/>
              <w:numPr>
                <w:ilvl w:val="0"/>
                <w:numId w:val="4"/>
              </w:numPr>
              <w:spacing w:beforeLines="50" w:line="360" w:lineRule="auto"/>
              <w:ind w:firstLine="472" w:firstLineChars="200"/>
              <w:rPr>
                <w:rFonts w:hint="eastAsia" w:ascii="Times New Roman" w:hAnsi="Times New Roman"/>
                <w:color w:val="auto"/>
                <w:sz w:val="24"/>
                <w:szCs w:val="24"/>
              </w:rPr>
            </w:pPr>
            <w:r>
              <w:rPr>
                <w:rFonts w:hint="eastAsia" w:ascii="Times New Roman" w:hAnsi="Times New Roman"/>
                <w:color w:val="auto"/>
                <w:sz w:val="24"/>
                <w:szCs w:val="24"/>
              </w:rPr>
              <w:t>大气环境。厂界外500米范围内无自然保护区、风景名胜区、文化区等保护目标。</w:t>
            </w:r>
            <w:r>
              <w:rPr>
                <w:rFonts w:hint="eastAsia" w:ascii="Times New Roman" w:hAnsi="Times New Roman"/>
                <w:sz w:val="24"/>
                <w:szCs w:val="24"/>
                <w:lang w:eastAsia="zh-CN"/>
              </w:rPr>
              <w:t>主要环境保护目标为附近的居民</w:t>
            </w:r>
            <w:r>
              <w:rPr>
                <w:rFonts w:hint="eastAsia" w:ascii="Times New Roman" w:hAnsi="Times New Roman"/>
                <w:color w:val="auto"/>
                <w:sz w:val="24"/>
                <w:szCs w:val="24"/>
                <w:lang w:eastAsia="zh-CN"/>
              </w:rPr>
              <w:t>区。</w:t>
            </w:r>
          </w:p>
          <w:p>
            <w:pPr>
              <w:jc w:val="center"/>
              <w:rPr>
                <w:rFonts w:ascii="Calibri" w:hAnsi="Calibri"/>
                <w:b/>
                <w:bCs/>
                <w:color w:val="auto"/>
                <w:sz w:val="24"/>
                <w:szCs w:val="21"/>
              </w:rPr>
            </w:pPr>
            <w:r>
              <w:rPr>
                <w:rFonts w:ascii="Calibri" w:hAnsi="Calibri"/>
                <w:b/>
                <w:bCs/>
                <w:color w:val="auto"/>
                <w:sz w:val="24"/>
                <w:szCs w:val="21"/>
              </w:rPr>
              <w:t>表</w:t>
            </w:r>
            <w:r>
              <w:rPr>
                <w:rFonts w:hint="eastAsia" w:ascii="Calibri" w:hAnsi="Calibri"/>
                <w:b/>
                <w:bCs/>
                <w:color w:val="auto"/>
                <w:sz w:val="24"/>
                <w:szCs w:val="21"/>
                <w:lang w:val="en-US" w:eastAsia="zh-CN"/>
              </w:rPr>
              <w:t>3-2</w:t>
            </w:r>
            <w:r>
              <w:rPr>
                <w:rFonts w:ascii="Calibri" w:hAnsi="Calibri"/>
                <w:b/>
                <w:bCs/>
                <w:color w:val="auto"/>
                <w:sz w:val="24"/>
                <w:szCs w:val="21"/>
              </w:rPr>
              <w:t xml:space="preserve">  </w:t>
            </w:r>
            <w:r>
              <w:rPr>
                <w:rFonts w:hint="eastAsia" w:ascii="Calibri" w:hAnsi="Calibri"/>
                <w:b/>
                <w:bCs/>
                <w:color w:val="auto"/>
                <w:sz w:val="24"/>
                <w:szCs w:val="21"/>
              </w:rPr>
              <w:t>厂界外500米范围内</w:t>
            </w:r>
            <w:r>
              <w:rPr>
                <w:rFonts w:hint="eastAsia" w:ascii="Calibri" w:hAnsi="Calibri"/>
                <w:b/>
                <w:bCs/>
                <w:color w:val="auto"/>
                <w:sz w:val="24"/>
                <w:szCs w:val="21"/>
                <w:lang w:eastAsia="zh-CN"/>
              </w:rPr>
              <w:t>大气</w:t>
            </w:r>
            <w:r>
              <w:rPr>
                <w:rFonts w:ascii="Calibri" w:hAnsi="Calibri"/>
                <w:b/>
                <w:bCs/>
                <w:color w:val="auto"/>
                <w:sz w:val="24"/>
                <w:szCs w:val="21"/>
              </w:rPr>
              <w:t>主要环境保护目标</w:t>
            </w:r>
          </w:p>
          <w:tbl>
            <w:tblPr>
              <w:tblStyle w:val="19"/>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
              <w:gridCol w:w="642"/>
              <w:gridCol w:w="615"/>
              <w:gridCol w:w="1218"/>
              <w:gridCol w:w="988"/>
              <w:gridCol w:w="861"/>
              <w:gridCol w:w="1547"/>
              <w:gridCol w:w="705"/>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76" w:type="dxa"/>
                  <w:vMerge w:val="restart"/>
                  <w:noWrap w:val="0"/>
                  <w:vAlign w:val="center"/>
                </w:tcPr>
                <w:p>
                  <w:pPr>
                    <w:jc w:val="center"/>
                    <w:rPr>
                      <w:rFonts w:ascii="Calibri" w:hAnsi="Calibri"/>
                      <w:b/>
                      <w:bCs/>
                      <w:color w:val="auto"/>
                      <w:szCs w:val="21"/>
                    </w:rPr>
                  </w:pPr>
                  <w:r>
                    <w:rPr>
                      <w:rFonts w:hint="eastAsia"/>
                      <w:b/>
                      <w:color w:val="auto"/>
                    </w:rPr>
                    <w:t>名称</w:t>
                  </w:r>
                </w:p>
              </w:tc>
              <w:tc>
                <w:tcPr>
                  <w:tcW w:w="1257" w:type="dxa"/>
                  <w:gridSpan w:val="2"/>
                  <w:noWrap w:val="0"/>
                  <w:vAlign w:val="center"/>
                </w:tcPr>
                <w:p>
                  <w:pPr>
                    <w:jc w:val="center"/>
                    <w:rPr>
                      <w:rFonts w:ascii="Calibri" w:hAnsi="Calibri"/>
                      <w:b/>
                      <w:bCs/>
                      <w:color w:val="auto"/>
                      <w:szCs w:val="21"/>
                    </w:rPr>
                  </w:pPr>
                  <w:r>
                    <w:rPr>
                      <w:rFonts w:hint="eastAsia"/>
                      <w:b/>
                      <w:color w:val="auto"/>
                    </w:rPr>
                    <w:t>坐标/m</w:t>
                  </w:r>
                </w:p>
              </w:tc>
              <w:tc>
                <w:tcPr>
                  <w:tcW w:w="1218" w:type="dxa"/>
                  <w:vMerge w:val="restart"/>
                  <w:noWrap w:val="0"/>
                  <w:vAlign w:val="center"/>
                </w:tcPr>
                <w:p>
                  <w:pPr>
                    <w:jc w:val="center"/>
                    <w:rPr>
                      <w:rFonts w:hint="eastAsia" w:eastAsia="宋体"/>
                      <w:b/>
                      <w:color w:val="auto"/>
                      <w:lang w:eastAsia="zh-CN"/>
                    </w:rPr>
                  </w:pPr>
                  <w:r>
                    <w:rPr>
                      <w:rFonts w:hint="eastAsia"/>
                      <w:b/>
                      <w:color w:val="auto"/>
                      <w:lang w:eastAsia="zh-CN"/>
                    </w:rPr>
                    <w:t>名称</w:t>
                  </w:r>
                </w:p>
              </w:tc>
              <w:tc>
                <w:tcPr>
                  <w:tcW w:w="988" w:type="dxa"/>
                  <w:vMerge w:val="restart"/>
                  <w:noWrap w:val="0"/>
                  <w:vAlign w:val="center"/>
                </w:tcPr>
                <w:p>
                  <w:pPr>
                    <w:jc w:val="center"/>
                    <w:rPr>
                      <w:rFonts w:ascii="Calibri" w:hAnsi="Calibri"/>
                      <w:b/>
                      <w:bCs/>
                      <w:color w:val="auto"/>
                      <w:szCs w:val="21"/>
                    </w:rPr>
                  </w:pPr>
                  <w:r>
                    <w:rPr>
                      <w:rFonts w:hint="eastAsia"/>
                      <w:b/>
                      <w:color w:val="auto"/>
                    </w:rPr>
                    <w:t>保护对象</w:t>
                  </w:r>
                </w:p>
              </w:tc>
              <w:tc>
                <w:tcPr>
                  <w:tcW w:w="861" w:type="dxa"/>
                  <w:vMerge w:val="restart"/>
                  <w:noWrap w:val="0"/>
                  <w:vAlign w:val="center"/>
                </w:tcPr>
                <w:p>
                  <w:pPr>
                    <w:jc w:val="center"/>
                    <w:rPr>
                      <w:rFonts w:ascii="Calibri" w:hAnsi="Calibri"/>
                      <w:b/>
                      <w:bCs/>
                      <w:color w:val="auto"/>
                      <w:szCs w:val="21"/>
                    </w:rPr>
                  </w:pPr>
                  <w:r>
                    <w:rPr>
                      <w:rFonts w:hint="eastAsia"/>
                      <w:b/>
                      <w:color w:val="auto"/>
                    </w:rPr>
                    <w:t>保护内容</w:t>
                  </w:r>
                </w:p>
              </w:tc>
              <w:tc>
                <w:tcPr>
                  <w:tcW w:w="1547" w:type="dxa"/>
                  <w:vMerge w:val="restart"/>
                  <w:noWrap w:val="0"/>
                  <w:vAlign w:val="center"/>
                </w:tcPr>
                <w:p>
                  <w:pPr>
                    <w:jc w:val="center"/>
                    <w:rPr>
                      <w:rFonts w:ascii="Calibri" w:hAnsi="Calibri"/>
                      <w:b/>
                      <w:bCs/>
                      <w:color w:val="auto"/>
                      <w:szCs w:val="21"/>
                    </w:rPr>
                  </w:pPr>
                  <w:r>
                    <w:rPr>
                      <w:b/>
                      <w:color w:val="auto"/>
                    </w:rPr>
                    <w:t>环境功能</w:t>
                  </w:r>
                </w:p>
              </w:tc>
              <w:tc>
                <w:tcPr>
                  <w:tcW w:w="705" w:type="dxa"/>
                  <w:vMerge w:val="restart"/>
                  <w:noWrap w:val="0"/>
                  <w:vAlign w:val="center"/>
                </w:tcPr>
                <w:p>
                  <w:pPr>
                    <w:jc w:val="center"/>
                    <w:rPr>
                      <w:rFonts w:ascii="Calibri" w:hAnsi="Calibri"/>
                      <w:b/>
                      <w:bCs/>
                      <w:color w:val="auto"/>
                      <w:szCs w:val="21"/>
                    </w:rPr>
                  </w:pPr>
                  <w:r>
                    <w:rPr>
                      <w:rFonts w:hint="eastAsia"/>
                      <w:b/>
                      <w:color w:val="auto"/>
                    </w:rPr>
                    <w:t>相对厂址方位</w:t>
                  </w:r>
                </w:p>
              </w:tc>
              <w:tc>
                <w:tcPr>
                  <w:tcW w:w="885" w:type="dxa"/>
                  <w:vMerge w:val="restart"/>
                  <w:noWrap w:val="0"/>
                  <w:vAlign w:val="center"/>
                </w:tcPr>
                <w:p>
                  <w:pPr>
                    <w:jc w:val="center"/>
                    <w:rPr>
                      <w:rFonts w:ascii="Calibri" w:hAnsi="Calibri"/>
                      <w:b/>
                      <w:bCs/>
                      <w:color w:val="auto"/>
                      <w:szCs w:val="21"/>
                    </w:rPr>
                  </w:pPr>
                  <w:r>
                    <w:rPr>
                      <w:rFonts w:hint="eastAsia"/>
                      <w:b/>
                      <w:color w:val="auto"/>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76" w:type="dxa"/>
                  <w:vMerge w:val="continue"/>
                  <w:noWrap w:val="0"/>
                  <w:vAlign w:val="center"/>
                </w:tcPr>
                <w:p>
                  <w:pPr>
                    <w:jc w:val="center"/>
                    <w:rPr>
                      <w:color w:val="auto"/>
                    </w:rPr>
                  </w:pPr>
                </w:p>
              </w:tc>
              <w:tc>
                <w:tcPr>
                  <w:tcW w:w="642" w:type="dxa"/>
                  <w:noWrap w:val="0"/>
                  <w:vAlign w:val="center"/>
                </w:tcPr>
                <w:p>
                  <w:pPr>
                    <w:jc w:val="center"/>
                    <w:rPr>
                      <w:rFonts w:ascii="Calibri" w:hAnsi="Calibri"/>
                      <w:b/>
                      <w:bCs/>
                      <w:color w:val="auto"/>
                      <w:szCs w:val="21"/>
                    </w:rPr>
                  </w:pPr>
                  <w:r>
                    <w:rPr>
                      <w:rFonts w:hint="eastAsia"/>
                      <w:b/>
                      <w:color w:val="auto"/>
                    </w:rPr>
                    <w:t>X</w:t>
                  </w:r>
                </w:p>
              </w:tc>
              <w:tc>
                <w:tcPr>
                  <w:tcW w:w="615" w:type="dxa"/>
                  <w:noWrap w:val="0"/>
                  <w:vAlign w:val="center"/>
                </w:tcPr>
                <w:p>
                  <w:pPr>
                    <w:jc w:val="center"/>
                    <w:rPr>
                      <w:color w:val="auto"/>
                    </w:rPr>
                  </w:pPr>
                  <w:r>
                    <w:rPr>
                      <w:rFonts w:hint="eastAsia"/>
                      <w:b/>
                      <w:color w:val="auto"/>
                    </w:rPr>
                    <w:t>Y</w:t>
                  </w:r>
                </w:p>
              </w:tc>
              <w:tc>
                <w:tcPr>
                  <w:tcW w:w="1218" w:type="dxa"/>
                  <w:vMerge w:val="continue"/>
                  <w:noWrap w:val="0"/>
                  <w:vAlign w:val="center"/>
                </w:tcPr>
                <w:p>
                  <w:pPr>
                    <w:jc w:val="center"/>
                    <w:rPr>
                      <w:rFonts w:ascii="Calibri" w:hAnsi="Calibri"/>
                      <w:b/>
                      <w:bCs/>
                      <w:color w:val="auto"/>
                      <w:szCs w:val="21"/>
                    </w:rPr>
                  </w:pPr>
                </w:p>
              </w:tc>
              <w:tc>
                <w:tcPr>
                  <w:tcW w:w="988" w:type="dxa"/>
                  <w:vMerge w:val="continue"/>
                  <w:noWrap w:val="0"/>
                  <w:vAlign w:val="center"/>
                </w:tcPr>
                <w:p>
                  <w:pPr>
                    <w:jc w:val="center"/>
                    <w:rPr>
                      <w:rFonts w:ascii="Calibri" w:hAnsi="Calibri"/>
                      <w:b/>
                      <w:bCs/>
                      <w:color w:val="auto"/>
                      <w:szCs w:val="21"/>
                    </w:rPr>
                  </w:pPr>
                </w:p>
              </w:tc>
              <w:tc>
                <w:tcPr>
                  <w:tcW w:w="861" w:type="dxa"/>
                  <w:vMerge w:val="continue"/>
                  <w:noWrap w:val="0"/>
                  <w:vAlign w:val="center"/>
                </w:tcPr>
                <w:p>
                  <w:pPr>
                    <w:jc w:val="center"/>
                    <w:rPr>
                      <w:rFonts w:ascii="Calibri" w:hAnsi="Calibri"/>
                      <w:b/>
                      <w:bCs/>
                      <w:color w:val="auto"/>
                      <w:szCs w:val="21"/>
                    </w:rPr>
                  </w:pPr>
                </w:p>
              </w:tc>
              <w:tc>
                <w:tcPr>
                  <w:tcW w:w="1547" w:type="dxa"/>
                  <w:vMerge w:val="continue"/>
                  <w:noWrap w:val="0"/>
                  <w:vAlign w:val="center"/>
                </w:tcPr>
                <w:p>
                  <w:pPr>
                    <w:jc w:val="center"/>
                    <w:rPr>
                      <w:rFonts w:ascii="Calibri" w:hAnsi="Calibri"/>
                      <w:b/>
                      <w:bCs/>
                      <w:color w:val="auto"/>
                      <w:szCs w:val="21"/>
                    </w:rPr>
                  </w:pPr>
                </w:p>
              </w:tc>
              <w:tc>
                <w:tcPr>
                  <w:tcW w:w="705" w:type="dxa"/>
                  <w:vMerge w:val="continue"/>
                  <w:noWrap w:val="0"/>
                  <w:vAlign w:val="center"/>
                </w:tcPr>
                <w:p>
                  <w:pPr>
                    <w:jc w:val="center"/>
                    <w:rPr>
                      <w:rFonts w:ascii="Calibri" w:hAnsi="Calibri"/>
                      <w:b/>
                      <w:bCs/>
                      <w:color w:val="auto"/>
                      <w:szCs w:val="21"/>
                    </w:rPr>
                  </w:pPr>
                </w:p>
              </w:tc>
              <w:tc>
                <w:tcPr>
                  <w:tcW w:w="885" w:type="dxa"/>
                  <w:vMerge w:val="continue"/>
                  <w:noWrap w:val="0"/>
                  <w:vAlign w:val="center"/>
                </w:tcPr>
                <w:p>
                  <w:pPr>
                    <w:jc w:val="center"/>
                    <w:rPr>
                      <w:rFonts w:ascii="Calibri" w:hAnsi="Calibri"/>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76" w:type="dxa"/>
                  <w:vMerge w:val="restart"/>
                  <w:noWrap w:val="0"/>
                  <w:vAlign w:val="center"/>
                </w:tcPr>
                <w:p>
                  <w:pPr>
                    <w:jc w:val="center"/>
                    <w:rPr>
                      <w:rFonts w:ascii="Calibri" w:hAnsi="Calibri"/>
                      <w:color w:val="auto"/>
                      <w:szCs w:val="21"/>
                    </w:rPr>
                  </w:pPr>
                  <w:r>
                    <w:rPr>
                      <w:rFonts w:ascii="Calibri" w:hAnsi="Calibri"/>
                      <w:color w:val="auto"/>
                      <w:szCs w:val="21"/>
                    </w:rPr>
                    <w:t>环境空气</w:t>
                  </w:r>
                </w:p>
              </w:tc>
              <w:tc>
                <w:tcPr>
                  <w:tcW w:w="642"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-408</w:t>
                  </w:r>
                </w:p>
              </w:tc>
              <w:tc>
                <w:tcPr>
                  <w:tcW w:w="615"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68</w:t>
                  </w:r>
                </w:p>
              </w:tc>
              <w:tc>
                <w:tcPr>
                  <w:tcW w:w="1218" w:type="dxa"/>
                  <w:noWrap w:val="0"/>
                  <w:vAlign w:val="center"/>
                </w:tcPr>
                <w:p>
                  <w:pPr>
                    <w:jc w:val="center"/>
                    <w:rPr>
                      <w:rFonts w:hint="eastAsia" w:ascii="Calibri" w:hAnsi="Calibri"/>
                      <w:color w:val="auto"/>
                      <w:szCs w:val="21"/>
                      <w:lang w:val="en-US" w:eastAsia="zh-CN"/>
                    </w:rPr>
                  </w:pPr>
                  <w:r>
                    <w:rPr>
                      <w:rFonts w:hint="eastAsia" w:ascii="Calibri" w:hAnsi="Calibri"/>
                      <w:color w:val="auto"/>
                      <w:szCs w:val="21"/>
                      <w:lang w:val="en-US" w:eastAsia="zh-CN"/>
                    </w:rPr>
                    <w:t>祁庄</w:t>
                  </w:r>
                </w:p>
              </w:tc>
              <w:tc>
                <w:tcPr>
                  <w:tcW w:w="988"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eastAsia="zh-CN"/>
                    </w:rPr>
                    <w:t>居民区</w:t>
                  </w:r>
                </w:p>
              </w:tc>
              <w:tc>
                <w:tcPr>
                  <w:tcW w:w="861" w:type="dxa"/>
                  <w:noWrap w:val="0"/>
                  <w:vAlign w:val="center"/>
                </w:tcPr>
                <w:p>
                  <w:pPr>
                    <w:jc w:val="center"/>
                    <w:rPr>
                      <w:rFonts w:hint="eastAsia" w:ascii="Calibri" w:hAnsi="Calibri" w:eastAsia="宋体"/>
                      <w:color w:val="auto"/>
                      <w:szCs w:val="21"/>
                      <w:lang w:eastAsia="zh-CN"/>
                    </w:rPr>
                  </w:pPr>
                  <w:r>
                    <w:rPr>
                      <w:rFonts w:hint="eastAsia" w:ascii="Calibri" w:hAnsi="Calibri"/>
                      <w:color w:val="auto"/>
                      <w:szCs w:val="21"/>
                      <w:lang w:eastAsia="zh-CN"/>
                    </w:rPr>
                    <w:t>人群</w:t>
                  </w:r>
                </w:p>
              </w:tc>
              <w:tc>
                <w:tcPr>
                  <w:tcW w:w="1547" w:type="dxa"/>
                  <w:vMerge w:val="restart"/>
                  <w:noWrap w:val="0"/>
                  <w:vAlign w:val="center"/>
                </w:tcPr>
                <w:p>
                  <w:pPr>
                    <w:jc w:val="center"/>
                    <w:rPr>
                      <w:rFonts w:ascii="Calibri" w:hAnsi="Calibri"/>
                      <w:color w:val="auto"/>
                      <w:szCs w:val="21"/>
                    </w:rPr>
                  </w:pPr>
                  <w:r>
                    <w:rPr>
                      <w:rFonts w:ascii="Calibri" w:hAnsi="Calibri"/>
                      <w:color w:val="auto"/>
                      <w:szCs w:val="21"/>
                    </w:rPr>
                    <w:t>《环境空气质量标准》（GB3095-2012）二类</w:t>
                  </w:r>
                </w:p>
              </w:tc>
              <w:tc>
                <w:tcPr>
                  <w:tcW w:w="705"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NW</w:t>
                  </w:r>
                </w:p>
              </w:tc>
              <w:tc>
                <w:tcPr>
                  <w:tcW w:w="885"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436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dxa"/>
                  <w:vMerge w:val="continue"/>
                  <w:noWrap w:val="0"/>
                  <w:vAlign w:val="center"/>
                </w:tcPr>
                <w:p>
                  <w:pPr>
                    <w:jc w:val="center"/>
                    <w:rPr>
                      <w:rFonts w:ascii="Calibri" w:hAnsi="Calibri"/>
                      <w:color w:val="auto"/>
                      <w:szCs w:val="21"/>
                    </w:rPr>
                  </w:pPr>
                </w:p>
              </w:tc>
              <w:tc>
                <w:tcPr>
                  <w:tcW w:w="642"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336</w:t>
                  </w:r>
                </w:p>
              </w:tc>
              <w:tc>
                <w:tcPr>
                  <w:tcW w:w="615"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-350</w:t>
                  </w:r>
                </w:p>
              </w:tc>
              <w:tc>
                <w:tcPr>
                  <w:tcW w:w="1218" w:type="dxa"/>
                  <w:noWrap w:val="0"/>
                  <w:vAlign w:val="center"/>
                </w:tcPr>
                <w:p>
                  <w:pPr>
                    <w:jc w:val="center"/>
                    <w:rPr>
                      <w:rFonts w:hint="eastAsia" w:ascii="Calibri" w:hAnsi="Calibri"/>
                      <w:color w:val="auto"/>
                      <w:szCs w:val="21"/>
                      <w:lang w:eastAsia="zh-CN"/>
                    </w:rPr>
                  </w:pPr>
                  <w:r>
                    <w:rPr>
                      <w:rFonts w:hint="eastAsia" w:ascii="Calibri" w:hAnsi="Calibri"/>
                      <w:color w:val="auto"/>
                      <w:szCs w:val="21"/>
                      <w:lang w:eastAsia="zh-CN"/>
                    </w:rPr>
                    <w:t>林家大庄</w:t>
                  </w:r>
                </w:p>
              </w:tc>
              <w:tc>
                <w:tcPr>
                  <w:tcW w:w="988" w:type="dxa"/>
                  <w:noWrap w:val="0"/>
                  <w:vAlign w:val="center"/>
                </w:tcPr>
                <w:p>
                  <w:pPr>
                    <w:jc w:val="center"/>
                    <w:rPr>
                      <w:rFonts w:hint="eastAsia" w:ascii="Calibri" w:hAnsi="Calibri" w:eastAsia="宋体"/>
                      <w:color w:val="auto"/>
                      <w:szCs w:val="21"/>
                      <w:lang w:eastAsia="zh-CN"/>
                    </w:rPr>
                  </w:pPr>
                  <w:r>
                    <w:rPr>
                      <w:rFonts w:hint="eastAsia" w:ascii="Calibri" w:hAnsi="Calibri"/>
                      <w:color w:val="auto"/>
                      <w:szCs w:val="21"/>
                      <w:lang w:eastAsia="zh-CN"/>
                    </w:rPr>
                    <w:t>居民区</w:t>
                  </w:r>
                </w:p>
              </w:tc>
              <w:tc>
                <w:tcPr>
                  <w:tcW w:w="861" w:type="dxa"/>
                  <w:noWrap w:val="0"/>
                  <w:vAlign w:val="center"/>
                </w:tcPr>
                <w:p>
                  <w:pPr>
                    <w:jc w:val="center"/>
                    <w:rPr>
                      <w:rFonts w:hint="eastAsia" w:ascii="Calibri" w:hAnsi="Calibri" w:eastAsia="宋体"/>
                      <w:color w:val="auto"/>
                      <w:szCs w:val="21"/>
                      <w:lang w:eastAsia="zh-CN"/>
                    </w:rPr>
                  </w:pPr>
                  <w:r>
                    <w:rPr>
                      <w:rFonts w:hint="eastAsia" w:ascii="Calibri" w:hAnsi="Calibri"/>
                      <w:color w:val="auto"/>
                      <w:szCs w:val="21"/>
                      <w:lang w:eastAsia="zh-CN"/>
                    </w:rPr>
                    <w:t>人群</w:t>
                  </w:r>
                </w:p>
              </w:tc>
              <w:tc>
                <w:tcPr>
                  <w:tcW w:w="1547" w:type="dxa"/>
                  <w:vMerge w:val="continue"/>
                  <w:noWrap w:val="0"/>
                  <w:vAlign w:val="center"/>
                </w:tcPr>
                <w:p>
                  <w:pPr>
                    <w:jc w:val="center"/>
                    <w:rPr>
                      <w:rFonts w:ascii="Calibri" w:hAnsi="Calibri"/>
                      <w:color w:val="auto"/>
                      <w:szCs w:val="21"/>
                    </w:rPr>
                  </w:pPr>
                </w:p>
              </w:tc>
              <w:tc>
                <w:tcPr>
                  <w:tcW w:w="705"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SE</w:t>
                  </w:r>
                </w:p>
              </w:tc>
              <w:tc>
                <w:tcPr>
                  <w:tcW w:w="885" w:type="dxa"/>
                  <w:noWrap w:val="0"/>
                  <w:vAlign w:val="center"/>
                </w:tcPr>
                <w:p>
                  <w:pPr>
                    <w:jc w:val="center"/>
                    <w:rPr>
                      <w:rFonts w:hint="default" w:ascii="Calibri" w:hAnsi="Calibri" w:eastAsia="宋体"/>
                      <w:color w:val="auto"/>
                      <w:szCs w:val="21"/>
                      <w:lang w:val="en-US" w:eastAsia="zh-CN"/>
                    </w:rPr>
                  </w:pPr>
                  <w:r>
                    <w:rPr>
                      <w:rFonts w:hint="eastAsia" w:ascii="Calibri" w:hAnsi="Calibri" w:eastAsia="宋体"/>
                      <w:color w:val="auto"/>
                      <w:szCs w:val="21"/>
                      <w:lang w:val="en-US" w:eastAsia="zh-CN"/>
                    </w:rPr>
                    <w:t>467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dxa"/>
                  <w:vMerge w:val="continue"/>
                  <w:noWrap w:val="0"/>
                  <w:vAlign w:val="center"/>
                </w:tcPr>
                <w:p>
                  <w:pPr>
                    <w:jc w:val="center"/>
                    <w:rPr>
                      <w:rFonts w:ascii="Calibri" w:hAnsi="Calibri"/>
                      <w:color w:val="auto"/>
                      <w:szCs w:val="21"/>
                    </w:rPr>
                  </w:pPr>
                </w:p>
              </w:tc>
              <w:tc>
                <w:tcPr>
                  <w:tcW w:w="642" w:type="dxa"/>
                  <w:noWrap w:val="0"/>
                  <w:vAlign w:val="center"/>
                </w:tcPr>
                <w:p>
                  <w:pPr>
                    <w:jc w:val="center"/>
                    <w:rPr>
                      <w:rFonts w:hint="default" w:ascii="Calibri" w:hAnsi="Calibri"/>
                      <w:color w:val="auto"/>
                      <w:szCs w:val="21"/>
                      <w:lang w:val="en-US" w:eastAsia="zh-CN"/>
                    </w:rPr>
                  </w:pPr>
                  <w:r>
                    <w:rPr>
                      <w:rFonts w:hint="eastAsia" w:ascii="Calibri" w:hAnsi="Calibri"/>
                      <w:color w:val="auto"/>
                      <w:szCs w:val="21"/>
                      <w:lang w:val="en-US" w:eastAsia="zh-CN"/>
                    </w:rPr>
                    <w:t>-88</w:t>
                  </w:r>
                </w:p>
              </w:tc>
              <w:tc>
                <w:tcPr>
                  <w:tcW w:w="615" w:type="dxa"/>
                  <w:noWrap w:val="0"/>
                  <w:vAlign w:val="center"/>
                </w:tcPr>
                <w:p>
                  <w:pPr>
                    <w:jc w:val="center"/>
                    <w:rPr>
                      <w:rFonts w:hint="default" w:ascii="Calibri" w:hAnsi="Calibri"/>
                      <w:color w:val="auto"/>
                      <w:szCs w:val="21"/>
                      <w:lang w:val="en-US" w:eastAsia="zh-CN"/>
                    </w:rPr>
                  </w:pPr>
                  <w:r>
                    <w:rPr>
                      <w:rFonts w:hint="eastAsia" w:ascii="Calibri" w:hAnsi="Calibri"/>
                      <w:color w:val="auto"/>
                      <w:szCs w:val="21"/>
                      <w:lang w:val="en-US" w:eastAsia="zh-CN"/>
                    </w:rPr>
                    <w:t>290</w:t>
                  </w:r>
                </w:p>
              </w:tc>
              <w:tc>
                <w:tcPr>
                  <w:tcW w:w="1218" w:type="dxa"/>
                  <w:noWrap w:val="0"/>
                  <w:vAlign w:val="center"/>
                </w:tcPr>
                <w:p>
                  <w:pPr>
                    <w:jc w:val="center"/>
                    <w:rPr>
                      <w:rFonts w:hint="eastAsia" w:ascii="Calibri" w:hAnsi="Calibri"/>
                      <w:color w:val="auto"/>
                      <w:szCs w:val="21"/>
                      <w:lang w:eastAsia="zh-CN"/>
                    </w:rPr>
                  </w:pPr>
                  <w:r>
                    <w:rPr>
                      <w:rFonts w:hint="eastAsia" w:ascii="Calibri" w:hAnsi="Calibri"/>
                      <w:color w:val="auto"/>
                      <w:szCs w:val="21"/>
                      <w:lang w:eastAsia="zh-CN"/>
                    </w:rPr>
                    <w:t>西北侧居民点</w:t>
                  </w:r>
                </w:p>
              </w:tc>
              <w:tc>
                <w:tcPr>
                  <w:tcW w:w="988" w:type="dxa"/>
                  <w:noWrap w:val="0"/>
                  <w:vAlign w:val="center"/>
                </w:tcPr>
                <w:p>
                  <w:pPr>
                    <w:jc w:val="center"/>
                    <w:rPr>
                      <w:rFonts w:hint="eastAsia" w:ascii="Calibri" w:hAnsi="Calibri" w:eastAsia="宋体"/>
                      <w:color w:val="auto"/>
                      <w:szCs w:val="21"/>
                      <w:lang w:eastAsia="zh-CN"/>
                    </w:rPr>
                  </w:pPr>
                  <w:r>
                    <w:rPr>
                      <w:rFonts w:hint="eastAsia" w:ascii="Calibri" w:hAnsi="Calibri"/>
                      <w:color w:val="auto"/>
                      <w:szCs w:val="21"/>
                      <w:lang w:eastAsia="zh-CN"/>
                    </w:rPr>
                    <w:t>居民区</w:t>
                  </w:r>
                </w:p>
              </w:tc>
              <w:tc>
                <w:tcPr>
                  <w:tcW w:w="861" w:type="dxa"/>
                  <w:noWrap w:val="0"/>
                  <w:vAlign w:val="center"/>
                </w:tcPr>
                <w:p>
                  <w:pPr>
                    <w:jc w:val="center"/>
                    <w:rPr>
                      <w:rFonts w:hint="eastAsia" w:ascii="Calibri" w:hAnsi="Calibri"/>
                      <w:color w:val="auto"/>
                      <w:szCs w:val="21"/>
                    </w:rPr>
                  </w:pPr>
                  <w:r>
                    <w:rPr>
                      <w:rFonts w:hint="eastAsia" w:ascii="Calibri" w:hAnsi="Calibri"/>
                      <w:color w:val="auto"/>
                      <w:szCs w:val="21"/>
                      <w:lang w:eastAsia="zh-CN"/>
                    </w:rPr>
                    <w:t>人群</w:t>
                  </w:r>
                </w:p>
              </w:tc>
              <w:tc>
                <w:tcPr>
                  <w:tcW w:w="1547" w:type="dxa"/>
                  <w:vMerge w:val="continue"/>
                  <w:noWrap w:val="0"/>
                  <w:vAlign w:val="center"/>
                </w:tcPr>
                <w:p>
                  <w:pPr>
                    <w:jc w:val="center"/>
                    <w:rPr>
                      <w:rFonts w:ascii="Calibri" w:hAnsi="Calibri"/>
                      <w:color w:val="auto"/>
                      <w:szCs w:val="21"/>
                    </w:rPr>
                  </w:pPr>
                </w:p>
              </w:tc>
              <w:tc>
                <w:tcPr>
                  <w:tcW w:w="705" w:type="dxa"/>
                  <w:noWrap w:val="0"/>
                  <w:vAlign w:val="center"/>
                </w:tcPr>
                <w:p>
                  <w:pPr>
                    <w:jc w:val="center"/>
                    <w:rPr>
                      <w:rFonts w:hint="default" w:ascii="Calibri" w:hAnsi="Calibri"/>
                      <w:color w:val="auto"/>
                      <w:szCs w:val="21"/>
                      <w:lang w:val="en-US" w:eastAsia="zh-CN"/>
                    </w:rPr>
                  </w:pPr>
                  <w:r>
                    <w:rPr>
                      <w:rFonts w:hint="eastAsia" w:ascii="Calibri" w:hAnsi="Calibri"/>
                      <w:color w:val="auto"/>
                      <w:szCs w:val="21"/>
                      <w:lang w:val="en-US" w:eastAsia="zh-CN"/>
                    </w:rPr>
                    <w:t>NW</w:t>
                  </w:r>
                </w:p>
              </w:tc>
              <w:tc>
                <w:tcPr>
                  <w:tcW w:w="885" w:type="dxa"/>
                  <w:noWrap w:val="0"/>
                  <w:vAlign w:val="center"/>
                </w:tcPr>
                <w:p>
                  <w:pPr>
                    <w:jc w:val="center"/>
                    <w:rPr>
                      <w:rFonts w:hint="default" w:ascii="Calibri" w:hAnsi="Calibri" w:eastAsia="宋体"/>
                      <w:color w:val="auto"/>
                      <w:szCs w:val="21"/>
                      <w:lang w:val="en-US" w:eastAsia="zh-CN"/>
                    </w:rPr>
                  </w:pPr>
                  <w:r>
                    <w:rPr>
                      <w:rFonts w:hint="eastAsia" w:ascii="Calibri" w:hAnsi="Calibri"/>
                      <w:color w:val="auto"/>
                      <w:szCs w:val="21"/>
                      <w:lang w:val="en-US" w:eastAsia="zh-CN"/>
                    </w:rPr>
                    <w:t>310</w:t>
                  </w:r>
                </w:p>
              </w:tc>
            </w:tr>
          </w:tbl>
          <w:p>
            <w:pPr>
              <w:pStyle w:val="11"/>
              <w:spacing w:before="0" w:line="360" w:lineRule="auto"/>
              <w:ind w:firstLine="472" w:firstLineChars="200"/>
              <w:rPr>
                <w:rFonts w:hint="eastAsia" w:ascii="Times New Roman" w:hAnsi="Times New Roman"/>
                <w:color w:val="auto"/>
                <w:sz w:val="24"/>
                <w:szCs w:val="24"/>
              </w:rPr>
            </w:pPr>
            <w:r>
              <w:rPr>
                <w:rFonts w:hint="eastAsia" w:ascii="Times New Roman" w:hAnsi="Times New Roman"/>
                <w:color w:val="auto"/>
                <w:sz w:val="24"/>
                <w:szCs w:val="24"/>
                <w:lang w:eastAsia="zh-CN"/>
              </w:rPr>
              <w:t>（二）</w:t>
            </w:r>
            <w:r>
              <w:rPr>
                <w:rFonts w:hint="eastAsia" w:ascii="Times New Roman" w:hAnsi="Times New Roman"/>
                <w:color w:val="auto"/>
                <w:sz w:val="24"/>
                <w:szCs w:val="24"/>
              </w:rPr>
              <w:t>声环境。厂界外50米范围内无声环境保护目标。</w:t>
            </w:r>
          </w:p>
          <w:p>
            <w:pPr>
              <w:pStyle w:val="11"/>
              <w:spacing w:before="0" w:line="360" w:lineRule="auto"/>
              <w:ind w:firstLine="472" w:firstLineChars="200"/>
              <w:rPr>
                <w:rFonts w:hint="eastAsia" w:ascii="Times New Roman" w:hAnsi="Times New Roman"/>
                <w:color w:val="auto"/>
                <w:sz w:val="24"/>
                <w:szCs w:val="24"/>
              </w:rPr>
            </w:pPr>
            <w:r>
              <w:rPr>
                <w:rFonts w:hint="eastAsia" w:ascii="Times New Roman" w:hAnsi="Times New Roman"/>
                <w:color w:val="auto"/>
                <w:sz w:val="24"/>
                <w:szCs w:val="24"/>
                <w:lang w:eastAsia="zh-CN"/>
              </w:rPr>
              <w:t>（三）</w:t>
            </w:r>
            <w:r>
              <w:rPr>
                <w:rFonts w:hint="eastAsia" w:ascii="Times New Roman" w:hAnsi="Times New Roman"/>
                <w:color w:val="auto"/>
                <w:sz w:val="24"/>
                <w:szCs w:val="24"/>
              </w:rPr>
              <w:t>地下水环境。厂界外500米范围内无地下水集中式饮用水水源和热水、矿泉水、温泉等特殊地下水资源。</w:t>
            </w:r>
          </w:p>
          <w:p>
            <w:pPr>
              <w:pStyle w:val="11"/>
              <w:spacing w:before="0" w:line="360" w:lineRule="auto"/>
              <w:ind w:firstLine="472" w:firstLineChars="200"/>
              <w:rPr>
                <w:rFonts w:hint="eastAsia" w:ascii="Times New Roman" w:hAnsi="Times New Roman"/>
                <w:color w:val="auto"/>
                <w:sz w:val="24"/>
                <w:szCs w:val="24"/>
              </w:rPr>
            </w:pPr>
            <w:r>
              <w:rPr>
                <w:rFonts w:hint="eastAsia" w:ascii="Times New Roman" w:hAnsi="Times New Roman"/>
                <w:color w:val="auto"/>
                <w:sz w:val="24"/>
                <w:szCs w:val="24"/>
                <w:lang w:eastAsia="zh-CN"/>
              </w:rPr>
              <w:t>（四）</w:t>
            </w:r>
            <w:r>
              <w:rPr>
                <w:rFonts w:hint="eastAsia" w:ascii="Times New Roman" w:hAnsi="Times New Roman"/>
                <w:color w:val="auto"/>
                <w:sz w:val="24"/>
                <w:szCs w:val="24"/>
              </w:rPr>
              <w:t>生态环境。建设项目不新增用地，无新增用地范围内生态环境保护目标。</w:t>
            </w:r>
          </w:p>
          <w:p>
            <w:pPr>
              <w:adjustRightInd w:val="0"/>
              <w:snapToGrid w:val="0"/>
              <w:spacing w:before="120" w:beforeLines="50"/>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4" w:hRule="atLeast"/>
          <w:jc w:val="center"/>
        </w:trPr>
        <w:tc>
          <w:tcPr>
            <w:tcW w:w="800" w:type="dxa"/>
            <w:noWrap w:val="0"/>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 w:val="24"/>
              </w:rPr>
            </w:pPr>
            <w:r>
              <w:rPr>
                <w:color w:val="auto"/>
                <w:kern w:val="0"/>
                <w:sz w:val="24"/>
              </w:rPr>
              <w:t>准</w:t>
            </w:r>
          </w:p>
        </w:tc>
        <w:tc>
          <w:tcPr>
            <w:tcW w:w="8190" w:type="dxa"/>
            <w:noWrap w:val="0"/>
            <w:vAlign w:val="top"/>
          </w:tcPr>
          <w:p>
            <w:pPr>
              <w:snapToGrid w:val="0"/>
              <w:spacing w:before="120" w:beforeLines="50" w:line="360" w:lineRule="auto"/>
              <w:ind w:firstLine="482" w:firstLineChars="200"/>
              <w:rPr>
                <w:b/>
                <w:bCs/>
                <w:color w:val="auto"/>
                <w:sz w:val="24"/>
              </w:rPr>
            </w:pPr>
            <w:r>
              <w:rPr>
                <w:rFonts w:hint="eastAsia"/>
                <w:b/>
                <w:bCs/>
                <w:color w:val="auto"/>
                <w:sz w:val="24"/>
                <w:lang w:eastAsia="zh-CN"/>
              </w:rPr>
              <w:t>（一）</w:t>
            </w:r>
            <w:r>
              <w:rPr>
                <w:b/>
                <w:bCs/>
                <w:color w:val="auto"/>
                <w:sz w:val="24"/>
              </w:rPr>
              <w:t>废气</w:t>
            </w:r>
          </w:p>
          <w:p>
            <w:pPr>
              <w:spacing w:line="360" w:lineRule="auto"/>
              <w:ind w:firstLine="480" w:firstLineChars="200"/>
              <w:rPr>
                <w:rFonts w:hint="default" w:ascii="Times New Roman" w:hAnsi="Times New Roman"/>
                <w:sz w:val="24"/>
                <w:lang w:val="en-US" w:eastAsia="zh-CN"/>
              </w:rPr>
            </w:pPr>
            <w:r>
              <w:rPr>
                <w:rFonts w:ascii="Times New Roman" w:hAnsi="Times New Roman"/>
                <w:color w:val="000000"/>
                <w:sz w:val="24"/>
              </w:rPr>
              <w:t>项目运营期</w:t>
            </w:r>
            <w:r>
              <w:rPr>
                <w:rFonts w:hint="eastAsia" w:ascii="Times New Roman" w:hAnsi="Times New Roman"/>
                <w:color w:val="000000"/>
                <w:sz w:val="24"/>
                <w:lang w:eastAsia="zh-CN"/>
              </w:rPr>
              <w:t>注塑、吹塑</w:t>
            </w:r>
            <w:r>
              <w:rPr>
                <w:rFonts w:hint="eastAsia" w:ascii="Times New Roman" w:hAnsi="Times New Roman"/>
                <w:color w:val="000000"/>
                <w:sz w:val="24"/>
              </w:rPr>
              <w:t>产生的</w:t>
            </w:r>
            <w:r>
              <w:rPr>
                <w:rFonts w:hint="eastAsia" w:ascii="Times New Roman" w:hAnsi="Times New Roman"/>
                <w:sz w:val="24"/>
              </w:rPr>
              <w:t>VOCs（以非甲烷总烃计）</w:t>
            </w:r>
            <w:r>
              <w:rPr>
                <w:rFonts w:hint="eastAsia" w:ascii="Times New Roman" w:hAnsi="Times New Roman"/>
                <w:color w:val="000000"/>
                <w:sz w:val="24"/>
              </w:rPr>
              <w:t>排放执行</w:t>
            </w:r>
            <w:r>
              <w:rPr>
                <w:rFonts w:hint="eastAsia" w:ascii="宋体" w:hAnsi="宋体" w:eastAsia="宋体" w:cs="宋体"/>
                <w:color w:val="auto"/>
                <w:sz w:val="24"/>
              </w:rPr>
              <w:t>《</w:t>
            </w:r>
            <w:r>
              <w:rPr>
                <w:rFonts w:hint="eastAsia" w:ascii="宋体" w:hAnsi="宋体" w:eastAsia="宋体" w:cs="宋体"/>
                <w:color w:val="auto"/>
                <w:sz w:val="24"/>
                <w:szCs w:val="28"/>
              </w:rPr>
              <w:t>合成树脂工业污染物排放标准</w:t>
            </w:r>
            <w:r>
              <w:rPr>
                <w:rFonts w:hint="eastAsia" w:ascii="宋体" w:hAnsi="宋体" w:eastAsia="宋体" w:cs="宋体"/>
                <w:color w:val="auto"/>
                <w:sz w:val="24"/>
              </w:rPr>
              <w:t>》（GB</w:t>
            </w:r>
            <w:r>
              <w:rPr>
                <w:rFonts w:ascii="Times New Roman" w:hAnsi="Times New Roman" w:eastAsia="宋体"/>
                <w:color w:val="auto"/>
                <w:sz w:val="24"/>
              </w:rPr>
              <w:t>31572</w:t>
            </w:r>
            <w:r>
              <w:rPr>
                <w:rFonts w:hint="eastAsia" w:ascii="宋体" w:hAnsi="宋体" w:eastAsia="宋体" w:cs="宋体"/>
                <w:color w:val="auto"/>
                <w:sz w:val="24"/>
              </w:rPr>
              <w:t>-</w:t>
            </w:r>
            <w:r>
              <w:rPr>
                <w:rFonts w:ascii="Times New Roman" w:hAnsi="Times New Roman" w:eastAsia="宋体"/>
                <w:color w:val="auto"/>
                <w:sz w:val="24"/>
              </w:rPr>
              <w:t>2015</w:t>
            </w:r>
            <w:r>
              <w:rPr>
                <w:rFonts w:hint="eastAsia" w:ascii="宋体" w:hAnsi="宋体" w:eastAsia="宋体" w:cs="宋体"/>
                <w:color w:val="auto"/>
                <w:sz w:val="24"/>
              </w:rPr>
              <w:t>）表</w:t>
            </w:r>
            <w:r>
              <w:rPr>
                <w:rFonts w:hint="eastAsia"/>
                <w:color w:val="auto"/>
                <w:sz w:val="24"/>
                <w:lang w:val="en-US" w:eastAsia="zh-CN"/>
              </w:rPr>
              <w:t>5</w:t>
            </w:r>
            <w:r>
              <w:rPr>
                <w:rFonts w:hint="eastAsia" w:ascii="宋体" w:hAnsi="宋体" w:eastAsia="宋体" w:cs="宋体"/>
                <w:color w:val="auto"/>
                <w:sz w:val="24"/>
              </w:rPr>
              <w:t>中大气污染物</w:t>
            </w:r>
            <w:r>
              <w:rPr>
                <w:rFonts w:hint="eastAsia" w:ascii="宋体" w:hAnsi="宋体" w:cs="宋体"/>
                <w:color w:val="auto"/>
                <w:sz w:val="24"/>
                <w:lang w:eastAsia="zh-CN"/>
              </w:rPr>
              <w:t>特别</w:t>
            </w:r>
            <w:r>
              <w:rPr>
                <w:rFonts w:hint="eastAsia" w:ascii="宋体" w:hAnsi="宋体" w:eastAsia="宋体" w:cs="宋体"/>
                <w:color w:val="auto"/>
                <w:sz w:val="24"/>
              </w:rPr>
              <w:t>排放限值及</w:t>
            </w:r>
            <w:r>
              <w:rPr>
                <w:rFonts w:hint="eastAsia" w:ascii="宋体" w:hAnsi="宋体" w:cs="宋体"/>
                <w:color w:val="auto"/>
                <w:sz w:val="24"/>
                <w:lang w:eastAsia="zh-CN"/>
              </w:rPr>
              <w:t>表</w:t>
            </w:r>
            <w:r>
              <w:rPr>
                <w:rFonts w:hint="eastAsia" w:ascii="宋体" w:hAnsi="宋体" w:cs="宋体"/>
                <w:color w:val="auto"/>
                <w:sz w:val="24"/>
                <w:lang w:val="en-US" w:eastAsia="zh-CN"/>
              </w:rPr>
              <w:t>9中</w:t>
            </w:r>
            <w:r>
              <w:rPr>
                <w:rFonts w:hint="eastAsia" w:ascii="宋体" w:hAnsi="宋体" w:eastAsia="宋体" w:cs="宋体"/>
                <w:color w:val="auto"/>
                <w:sz w:val="24"/>
              </w:rPr>
              <w:t>企业边界大气污染物浓度限值</w:t>
            </w:r>
            <w:r>
              <w:rPr>
                <w:rFonts w:hint="eastAsia" w:ascii="Times New Roman" w:hAnsi="Times New Roman"/>
                <w:color w:val="000000"/>
                <w:sz w:val="24"/>
              </w:rPr>
              <w:t>，</w:t>
            </w:r>
            <w:r>
              <w:rPr>
                <w:rFonts w:hint="eastAsia" w:ascii="Times New Roman" w:hAnsi="Times New Roman"/>
                <w:color w:val="000000"/>
                <w:sz w:val="24"/>
                <w:lang w:eastAsia="zh-CN"/>
              </w:rPr>
              <w:t>厂区内</w:t>
            </w:r>
            <w:r>
              <w:rPr>
                <w:rFonts w:hint="eastAsia" w:ascii="Times New Roman" w:hAnsi="Times New Roman"/>
                <w:sz w:val="24"/>
              </w:rPr>
              <w:t>VOCs（以非甲烷总烃计）</w:t>
            </w:r>
            <w:r>
              <w:rPr>
                <w:color w:val="auto"/>
                <w:sz w:val="24"/>
              </w:rPr>
              <w:t>无组织排放监控点浓度限值</w:t>
            </w:r>
            <w:r>
              <w:rPr>
                <w:rFonts w:hint="eastAsia" w:ascii="Times New Roman" w:hAnsi="Times New Roman"/>
                <w:sz w:val="24"/>
              </w:rPr>
              <w:t>执行《挥发性有机物无组织排放控制标准》（</w:t>
            </w:r>
            <w:r>
              <w:rPr>
                <w:rFonts w:ascii="Times New Roman" w:hAnsi="Times New Roman"/>
                <w:sz w:val="24"/>
              </w:rPr>
              <w:t>GB37822-2019</w:t>
            </w:r>
            <w:r>
              <w:rPr>
                <w:rFonts w:hint="eastAsia" w:ascii="Times New Roman" w:hAnsi="Times New Roman"/>
                <w:sz w:val="24"/>
              </w:rPr>
              <w:t>）附录A中表A</w:t>
            </w:r>
            <w:r>
              <w:rPr>
                <w:rFonts w:ascii="Times New Roman" w:hAnsi="Times New Roman"/>
                <w:sz w:val="24"/>
              </w:rPr>
              <w:t>.1</w:t>
            </w:r>
            <w:r>
              <w:rPr>
                <w:rFonts w:hint="eastAsia" w:ascii="Times New Roman" w:hAnsi="Times New Roman"/>
                <w:sz w:val="24"/>
              </w:rPr>
              <w:t>的特别排放限值</w:t>
            </w:r>
            <w:r>
              <w:rPr>
                <w:color w:val="auto"/>
                <w:sz w:val="24"/>
              </w:rPr>
              <w:t>。</w:t>
            </w:r>
            <w:r>
              <w:rPr>
                <w:rFonts w:hint="eastAsia"/>
                <w:color w:val="auto"/>
                <w:sz w:val="24"/>
                <w:lang w:val="en-US" w:eastAsia="zh-CN"/>
              </w:rPr>
              <w:t>根据《排污许可证申请与核发技术规范 橡胶和塑料工业》（HJ1122—2020）</w:t>
            </w:r>
            <w:r>
              <w:rPr>
                <w:rFonts w:hint="eastAsia" w:ascii="Times New Roman" w:hAnsi="Times New Roman"/>
                <w:sz w:val="24"/>
                <w:lang w:val="en-US" w:eastAsia="zh-CN"/>
              </w:rPr>
              <w:t>,臭气浓度</w:t>
            </w:r>
            <w:r>
              <w:rPr>
                <w:rFonts w:hint="eastAsia"/>
                <w:sz w:val="24"/>
                <w:lang w:val="en-US" w:eastAsia="zh-CN"/>
              </w:rPr>
              <w:t>排放</w:t>
            </w:r>
            <w:r>
              <w:rPr>
                <w:rFonts w:hint="eastAsia" w:ascii="Times New Roman" w:hAnsi="Times New Roman"/>
                <w:sz w:val="24"/>
                <w:lang w:val="en-US" w:eastAsia="zh-CN"/>
              </w:rPr>
              <w:t>执行《恶臭污染物排放标准</w:t>
            </w:r>
            <w:r>
              <w:rPr>
                <w:rFonts w:hint="eastAsia" w:ascii="Times New Roman" w:hAnsi="Times New Roman" w:eastAsia="宋体" w:cs="Times New Roman"/>
                <w:color w:val="auto"/>
                <w:sz w:val="24"/>
                <w:lang w:val="en-US" w:eastAsia="zh-CN"/>
              </w:rPr>
              <w:t>》（GB14554-1993）表1中</w:t>
            </w:r>
            <w:r>
              <w:rPr>
                <w:rFonts w:hint="eastAsia"/>
                <w:sz w:val="24"/>
                <w:lang w:val="en-US" w:eastAsia="zh-CN"/>
              </w:rPr>
              <w:t>二</w:t>
            </w:r>
            <w:r>
              <w:rPr>
                <w:rFonts w:hint="eastAsia" w:ascii="Times New Roman" w:hAnsi="Times New Roman"/>
                <w:sz w:val="24"/>
                <w:lang w:val="en-US" w:eastAsia="zh-CN"/>
              </w:rPr>
              <w:t>级新扩改建标准限值。</w:t>
            </w:r>
          </w:p>
          <w:p>
            <w:pPr>
              <w:spacing w:line="360" w:lineRule="auto"/>
              <w:ind w:firstLine="480" w:firstLineChars="200"/>
              <w:rPr>
                <w:rFonts w:hint="eastAsia" w:eastAsia="宋体"/>
                <w:color w:val="auto"/>
                <w:sz w:val="24"/>
                <w:lang w:eastAsia="zh-CN"/>
              </w:rPr>
            </w:pPr>
            <w:r>
              <w:rPr>
                <w:rFonts w:hint="eastAsia"/>
                <w:color w:val="auto"/>
                <w:sz w:val="24"/>
                <w:lang w:eastAsia="zh-CN"/>
              </w:rPr>
              <w:t>具体</w:t>
            </w:r>
            <w:r>
              <w:rPr>
                <w:color w:val="auto"/>
                <w:sz w:val="24"/>
              </w:rPr>
              <w:t>标准值</w:t>
            </w:r>
            <w:r>
              <w:rPr>
                <w:rFonts w:hint="eastAsia"/>
                <w:color w:val="auto"/>
                <w:sz w:val="24"/>
                <w:lang w:eastAsia="zh-CN"/>
              </w:rPr>
              <w:t>见</w:t>
            </w:r>
            <w:r>
              <w:rPr>
                <w:color w:val="auto"/>
                <w:sz w:val="24"/>
              </w:rPr>
              <w:t>下表</w:t>
            </w:r>
            <w:r>
              <w:rPr>
                <w:rFonts w:hint="eastAsia"/>
                <w:color w:val="auto"/>
                <w:sz w:val="24"/>
                <w:lang w:eastAsia="zh-CN"/>
              </w:rPr>
              <w:t>。</w:t>
            </w:r>
          </w:p>
          <w:p>
            <w:pPr>
              <w:adjustRightInd w:val="0"/>
              <w:snapToGrid w:val="0"/>
              <w:spacing w:line="360" w:lineRule="auto"/>
              <w:jc w:val="center"/>
              <w:rPr>
                <w:rFonts w:hint="eastAsia" w:ascii="宋体" w:hAnsi="宋体" w:eastAsia="宋体" w:cs="宋体"/>
                <w:b/>
                <w:bCs w:val="0"/>
                <w:color w:val="auto"/>
                <w:sz w:val="24"/>
                <w:szCs w:val="28"/>
              </w:rPr>
            </w:pPr>
            <w:r>
              <w:rPr>
                <w:b/>
                <w:color w:val="auto"/>
                <w:sz w:val="24"/>
              </w:rPr>
              <w:t>表3-</w:t>
            </w:r>
            <w:r>
              <w:rPr>
                <w:rFonts w:hint="eastAsia"/>
                <w:b/>
                <w:color w:val="auto"/>
                <w:sz w:val="24"/>
                <w:lang w:val="en-US" w:eastAsia="zh-CN"/>
              </w:rPr>
              <w:t>3</w:t>
            </w:r>
            <w:r>
              <w:rPr>
                <w:b/>
                <w:color w:val="auto"/>
                <w:sz w:val="24"/>
              </w:rPr>
              <w:t xml:space="preserve">  </w:t>
            </w:r>
            <w:r>
              <w:rPr>
                <w:rFonts w:hint="eastAsia" w:ascii="宋体" w:hAnsi="宋体" w:eastAsia="宋体" w:cs="宋体"/>
                <w:b/>
                <w:bCs w:val="0"/>
                <w:color w:val="auto"/>
                <w:sz w:val="24"/>
                <w:szCs w:val="28"/>
              </w:rPr>
              <w:t>合成树脂工业污染物排放标准（GB31572-2015）</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295"/>
              <w:gridCol w:w="863"/>
              <w:gridCol w:w="1726"/>
              <w:gridCol w:w="1582"/>
              <w:gridCol w:w="15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6" w:type="pct"/>
                  <w:vMerge w:val="restart"/>
                  <w:noWrap w:val="0"/>
                  <w:vAlign w:val="center"/>
                </w:tcPr>
                <w:p>
                  <w:pPr>
                    <w:snapToGrid w:val="0"/>
                    <w:jc w:val="center"/>
                    <w:rPr>
                      <w:rFonts w:ascii="Times New Roman" w:hAnsi="Times New Roman"/>
                      <w:b/>
                      <w:color w:val="000000"/>
                      <w:szCs w:val="21"/>
                    </w:rPr>
                  </w:pPr>
                  <w:r>
                    <w:rPr>
                      <w:rFonts w:ascii="Times New Roman" w:hAnsi="Times New Roman"/>
                      <w:b/>
                      <w:color w:val="000000"/>
                      <w:szCs w:val="21"/>
                    </w:rPr>
                    <w:t>污染物</w:t>
                  </w:r>
                </w:p>
              </w:tc>
              <w:tc>
                <w:tcPr>
                  <w:tcW w:w="812" w:type="pct"/>
                  <w:vMerge w:val="restart"/>
                  <w:noWrap w:val="0"/>
                  <w:vAlign w:val="center"/>
                </w:tcPr>
                <w:p>
                  <w:pPr>
                    <w:snapToGrid w:val="0"/>
                    <w:jc w:val="center"/>
                    <w:rPr>
                      <w:rFonts w:ascii="Times New Roman" w:hAnsi="Times New Roman"/>
                      <w:b/>
                      <w:color w:val="000000"/>
                      <w:szCs w:val="21"/>
                    </w:rPr>
                  </w:pPr>
                  <w:r>
                    <w:rPr>
                      <w:rFonts w:ascii="Times New Roman" w:hAnsi="Times New Roman"/>
                      <w:b/>
                      <w:color w:val="000000"/>
                      <w:szCs w:val="21"/>
                    </w:rPr>
                    <w:t>标准来源</w:t>
                  </w:r>
                </w:p>
              </w:tc>
              <w:tc>
                <w:tcPr>
                  <w:tcW w:w="541" w:type="pct"/>
                  <w:vMerge w:val="restart"/>
                  <w:noWrap w:val="0"/>
                  <w:vAlign w:val="center"/>
                </w:tcPr>
                <w:p>
                  <w:pPr>
                    <w:snapToGrid w:val="0"/>
                    <w:jc w:val="center"/>
                    <w:rPr>
                      <w:rFonts w:ascii="Times New Roman" w:hAnsi="Times New Roman"/>
                      <w:b/>
                      <w:color w:val="000000"/>
                      <w:szCs w:val="21"/>
                    </w:rPr>
                  </w:pPr>
                  <w:r>
                    <w:rPr>
                      <w:rFonts w:ascii="Times New Roman" w:hAnsi="Times New Roman"/>
                      <w:b/>
                      <w:color w:val="000000"/>
                      <w:szCs w:val="21"/>
                    </w:rPr>
                    <w:t>排气筒高度</w:t>
                  </w:r>
                </w:p>
              </w:tc>
              <w:tc>
                <w:tcPr>
                  <w:tcW w:w="3020" w:type="pct"/>
                  <w:gridSpan w:val="3"/>
                  <w:noWrap w:val="0"/>
                  <w:vAlign w:val="center"/>
                </w:tcPr>
                <w:p>
                  <w:pPr>
                    <w:snapToGrid w:val="0"/>
                    <w:jc w:val="center"/>
                    <w:rPr>
                      <w:rFonts w:ascii="Times New Roman" w:hAnsi="Times New Roman"/>
                      <w:b/>
                      <w:color w:val="000000"/>
                      <w:szCs w:val="21"/>
                    </w:rPr>
                  </w:pPr>
                  <w:r>
                    <w:rPr>
                      <w:rFonts w:ascii="Times New Roman" w:hAnsi="Times New Roman"/>
                      <w:b/>
                      <w:color w:val="000000"/>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6" w:type="pct"/>
                  <w:vMerge w:val="continue"/>
                  <w:noWrap w:val="0"/>
                  <w:vAlign w:val="center"/>
                </w:tcPr>
                <w:p>
                  <w:pPr>
                    <w:snapToGrid w:val="0"/>
                    <w:jc w:val="center"/>
                    <w:rPr>
                      <w:rFonts w:ascii="Times New Roman" w:hAnsi="Times New Roman"/>
                      <w:color w:val="000000"/>
                      <w:szCs w:val="21"/>
                    </w:rPr>
                  </w:pPr>
                </w:p>
              </w:tc>
              <w:tc>
                <w:tcPr>
                  <w:tcW w:w="812" w:type="pct"/>
                  <w:vMerge w:val="continue"/>
                  <w:noWrap w:val="0"/>
                  <w:vAlign w:val="center"/>
                </w:tcPr>
                <w:p>
                  <w:pPr>
                    <w:snapToGrid w:val="0"/>
                    <w:jc w:val="center"/>
                    <w:rPr>
                      <w:rFonts w:ascii="Times New Roman" w:hAnsi="Times New Roman"/>
                      <w:color w:val="000000"/>
                      <w:szCs w:val="21"/>
                    </w:rPr>
                  </w:pPr>
                </w:p>
              </w:tc>
              <w:tc>
                <w:tcPr>
                  <w:tcW w:w="541" w:type="pct"/>
                  <w:vMerge w:val="continue"/>
                  <w:noWrap w:val="0"/>
                  <w:vAlign w:val="center"/>
                </w:tcPr>
                <w:p>
                  <w:pPr>
                    <w:snapToGrid w:val="0"/>
                    <w:jc w:val="center"/>
                    <w:rPr>
                      <w:rFonts w:ascii="Times New Roman" w:hAnsi="Times New Roman"/>
                      <w:color w:val="000000"/>
                      <w:szCs w:val="21"/>
                    </w:rPr>
                  </w:pPr>
                </w:p>
              </w:tc>
              <w:tc>
                <w:tcPr>
                  <w:tcW w:w="1082" w:type="pct"/>
                  <w:noWrap w:val="0"/>
                  <w:vAlign w:val="center"/>
                </w:tcPr>
                <w:p>
                  <w:pPr>
                    <w:widowControl/>
                    <w:snapToGrid w:val="0"/>
                    <w:jc w:val="center"/>
                    <w:rPr>
                      <w:rFonts w:ascii="Times New Roman" w:hAnsi="Times New Roman"/>
                      <w:b/>
                      <w:color w:val="000000"/>
                      <w:kern w:val="0"/>
                      <w:szCs w:val="21"/>
                    </w:rPr>
                  </w:pPr>
                  <w:r>
                    <w:rPr>
                      <w:rFonts w:ascii="Times New Roman" w:hAnsi="Times New Roman"/>
                      <w:b/>
                      <w:color w:val="000000"/>
                      <w:kern w:val="0"/>
                      <w:szCs w:val="21"/>
                    </w:rPr>
                    <w:t>最高允许排放浓度</w:t>
                  </w:r>
                  <w:r>
                    <w:rPr>
                      <w:rFonts w:ascii="Times New Roman" w:hAnsi="Times New Roman"/>
                      <w:b/>
                      <w:color w:val="000000"/>
                      <w:szCs w:val="21"/>
                    </w:rPr>
                    <w:t>（mg/m</w:t>
                  </w:r>
                  <w:r>
                    <w:rPr>
                      <w:rFonts w:ascii="Times New Roman" w:hAnsi="Times New Roman"/>
                      <w:b/>
                      <w:color w:val="000000"/>
                      <w:szCs w:val="21"/>
                      <w:vertAlign w:val="superscript"/>
                    </w:rPr>
                    <w:t>3</w:t>
                  </w:r>
                  <w:r>
                    <w:rPr>
                      <w:rFonts w:ascii="Times New Roman" w:hAnsi="Times New Roman"/>
                      <w:b/>
                      <w:color w:val="000000"/>
                      <w:szCs w:val="21"/>
                    </w:rPr>
                    <w:t>）</w:t>
                  </w:r>
                </w:p>
              </w:tc>
              <w:tc>
                <w:tcPr>
                  <w:tcW w:w="991" w:type="pct"/>
                  <w:noWrap w:val="0"/>
                  <w:vAlign w:val="center"/>
                </w:tcPr>
                <w:p>
                  <w:pPr>
                    <w:snapToGrid w:val="0"/>
                    <w:jc w:val="center"/>
                    <w:rPr>
                      <w:rFonts w:ascii="Times New Roman" w:hAnsi="Times New Roman"/>
                      <w:b/>
                      <w:color w:val="000000"/>
                      <w:szCs w:val="21"/>
                    </w:rPr>
                  </w:pPr>
                  <w:r>
                    <w:rPr>
                      <w:rFonts w:ascii="Times New Roman" w:hAnsi="Times New Roman"/>
                      <w:b/>
                      <w:color w:val="000000"/>
                      <w:kern w:val="0"/>
                      <w:szCs w:val="21"/>
                    </w:rPr>
                    <w:t>最高允许排放速率</w:t>
                  </w:r>
                  <w:r>
                    <w:rPr>
                      <w:rFonts w:ascii="Times New Roman" w:hAnsi="Times New Roman"/>
                      <w:b/>
                      <w:color w:val="000000"/>
                      <w:szCs w:val="21"/>
                    </w:rPr>
                    <w:t>（kg/h）</w:t>
                  </w:r>
                </w:p>
              </w:tc>
              <w:tc>
                <w:tcPr>
                  <w:tcW w:w="946" w:type="pct"/>
                  <w:noWrap w:val="0"/>
                  <w:vAlign w:val="center"/>
                </w:tcPr>
                <w:p>
                  <w:pPr>
                    <w:snapToGrid w:val="0"/>
                    <w:jc w:val="center"/>
                    <w:rPr>
                      <w:rFonts w:ascii="Times New Roman" w:hAnsi="Times New Roman"/>
                      <w:b/>
                      <w:color w:val="000000"/>
                      <w:szCs w:val="21"/>
                    </w:rPr>
                  </w:pPr>
                  <w:r>
                    <w:rPr>
                      <w:rFonts w:ascii="Times New Roman" w:hAnsi="Times New Roman"/>
                      <w:b/>
                      <w:color w:val="000000"/>
                      <w:szCs w:val="21"/>
                    </w:rPr>
                    <w:t>无组织监控浓度限值(mg/m</w:t>
                  </w:r>
                  <w:r>
                    <w:rPr>
                      <w:rFonts w:ascii="Times New Roman" w:hAnsi="Times New Roman"/>
                      <w:b/>
                      <w:color w:val="000000"/>
                      <w:szCs w:val="21"/>
                      <w:vertAlign w:val="superscript"/>
                    </w:rPr>
                    <w:t>3</w:t>
                  </w:r>
                  <w:r>
                    <w:rPr>
                      <w:rFonts w:ascii="Times New Roman" w:hAnsi="Times New Roman"/>
                      <w:b/>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26" w:type="pct"/>
                  <w:noWrap w:val="0"/>
                  <w:vAlign w:val="center"/>
                </w:tcPr>
                <w:p>
                  <w:pPr>
                    <w:snapToGrid w:val="0"/>
                    <w:rPr>
                      <w:rFonts w:hint="eastAsia" w:ascii="Times New Roman" w:hAnsi="Times New Roman"/>
                      <w:color w:val="000000"/>
                      <w:szCs w:val="21"/>
                    </w:rPr>
                  </w:pPr>
                  <w:r>
                    <w:rPr>
                      <w:rFonts w:hint="eastAsia" w:ascii="Times New Roman" w:hAnsi="Times New Roman"/>
                      <w:color w:val="000000"/>
                      <w:szCs w:val="21"/>
                    </w:rPr>
                    <w:t>非甲烷总烃</w:t>
                  </w:r>
                </w:p>
              </w:tc>
              <w:tc>
                <w:tcPr>
                  <w:tcW w:w="812" w:type="pct"/>
                  <w:noWrap w:val="0"/>
                  <w:vAlign w:val="center"/>
                </w:tcPr>
                <w:p>
                  <w:pPr>
                    <w:snapToGrid w:val="0"/>
                    <w:jc w:val="center"/>
                    <w:rPr>
                      <w:rFonts w:ascii="Times New Roman" w:hAnsi="Times New Roman"/>
                      <w:color w:val="000000"/>
                      <w:szCs w:val="21"/>
                    </w:rPr>
                  </w:pPr>
                  <w:r>
                    <w:rPr>
                      <w:rFonts w:hint="eastAsia"/>
                    </w:rPr>
                    <w:t>《合成树脂工业污染物排放标准》（GB31572-2015）</w:t>
                  </w:r>
                </w:p>
              </w:tc>
              <w:tc>
                <w:tcPr>
                  <w:tcW w:w="541" w:type="pct"/>
                  <w:noWrap w:val="0"/>
                  <w:vAlign w:val="center"/>
                </w:tcPr>
                <w:p>
                  <w:pPr>
                    <w:snapToGrid w:val="0"/>
                    <w:jc w:val="center"/>
                    <w:rPr>
                      <w:rFonts w:ascii="Times New Roman" w:hAnsi="Times New Roman"/>
                      <w:color w:val="000000"/>
                      <w:szCs w:val="21"/>
                    </w:rPr>
                  </w:pPr>
                  <w:r>
                    <w:rPr>
                      <w:rFonts w:hint="eastAsia" w:ascii="Times New Roman" w:hAnsi="Times New Roman"/>
                      <w:color w:val="000000"/>
                      <w:szCs w:val="21"/>
                    </w:rPr>
                    <w:t>1</w:t>
                  </w:r>
                  <w:r>
                    <w:rPr>
                      <w:rFonts w:ascii="Times New Roman" w:hAnsi="Times New Roman"/>
                      <w:color w:val="000000"/>
                      <w:szCs w:val="21"/>
                    </w:rPr>
                    <w:t>5m</w:t>
                  </w:r>
                </w:p>
              </w:tc>
              <w:tc>
                <w:tcPr>
                  <w:tcW w:w="1082" w:type="pct"/>
                  <w:noWrap w:val="0"/>
                  <w:vAlign w:val="center"/>
                </w:tcPr>
                <w:p>
                  <w:pPr>
                    <w:snapToGrid w:val="0"/>
                    <w:jc w:val="center"/>
                    <w:rPr>
                      <w:rFonts w:hint="default" w:ascii="Times New Roman" w:hAnsi="Times New Roman" w:eastAsia="宋体"/>
                      <w:color w:val="000000"/>
                      <w:szCs w:val="21"/>
                      <w:lang w:val="en-US" w:eastAsia="zh-CN"/>
                    </w:rPr>
                  </w:pPr>
                  <w:r>
                    <w:rPr>
                      <w:rFonts w:hint="eastAsia"/>
                      <w:color w:val="000000"/>
                      <w:szCs w:val="21"/>
                      <w:lang w:val="en-US" w:eastAsia="zh-CN"/>
                    </w:rPr>
                    <w:t>60</w:t>
                  </w:r>
                </w:p>
              </w:tc>
              <w:tc>
                <w:tcPr>
                  <w:tcW w:w="991" w:type="pct"/>
                  <w:noWrap w:val="0"/>
                  <w:vAlign w:val="center"/>
                </w:tcPr>
                <w:p>
                  <w:pPr>
                    <w:snapToGrid w:val="0"/>
                    <w:jc w:val="center"/>
                    <w:rPr>
                      <w:rFonts w:hint="eastAsia" w:ascii="Times New Roman" w:hAnsi="Times New Roman" w:eastAsia="宋体"/>
                      <w:color w:val="000000"/>
                      <w:szCs w:val="21"/>
                      <w:lang w:eastAsia="zh-CN"/>
                    </w:rPr>
                  </w:pPr>
                  <w:r>
                    <w:rPr>
                      <w:rFonts w:hint="eastAsia"/>
                      <w:color w:val="000000"/>
                      <w:szCs w:val="21"/>
                      <w:lang w:val="en-US" w:eastAsia="zh-CN"/>
                    </w:rPr>
                    <w:t>/</w:t>
                  </w:r>
                </w:p>
              </w:tc>
              <w:tc>
                <w:tcPr>
                  <w:tcW w:w="946" w:type="pct"/>
                  <w:noWrap w:val="0"/>
                  <w:vAlign w:val="center"/>
                </w:tcPr>
                <w:p>
                  <w:pPr>
                    <w:snapToGrid w:val="0"/>
                    <w:jc w:val="center"/>
                    <w:rPr>
                      <w:rFonts w:ascii="Times New Roman" w:hAnsi="Times New Roman"/>
                      <w:color w:val="000000"/>
                      <w:szCs w:val="21"/>
                    </w:rPr>
                  </w:pPr>
                  <w:r>
                    <w:rPr>
                      <w:rFonts w:hint="eastAsia" w:ascii="Times New Roman" w:hAnsi="Times New Roman"/>
                      <w:color w:val="000000"/>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79" w:type="pct"/>
                  <w:gridSpan w:val="3"/>
                  <w:noWrap w:val="0"/>
                  <w:vAlign w:val="center"/>
                </w:tcPr>
                <w:p>
                  <w:pPr>
                    <w:snapToGrid w:val="0"/>
                    <w:jc w:val="center"/>
                    <w:rPr>
                      <w:rFonts w:hint="eastAsia" w:ascii="Times New Roman" w:hAnsi="Times New Roman"/>
                      <w:color w:val="000000"/>
                      <w:szCs w:val="21"/>
                    </w:rPr>
                  </w:pPr>
                  <w:r>
                    <w:rPr>
                      <w:rFonts w:hint="eastAsia"/>
                      <w:lang w:val="en-US" w:eastAsia="zh-CN"/>
                    </w:rPr>
                    <w:t>单位产品非甲烷总烃排放量（kg/t产品）</w:t>
                  </w:r>
                </w:p>
              </w:tc>
              <w:tc>
                <w:tcPr>
                  <w:tcW w:w="3020" w:type="pct"/>
                  <w:gridSpan w:val="3"/>
                  <w:noWrap w:val="0"/>
                  <w:vAlign w:val="center"/>
                </w:tcPr>
                <w:p>
                  <w:pPr>
                    <w:snapToGrid w:val="0"/>
                    <w:jc w:val="center"/>
                    <w:rPr>
                      <w:rFonts w:hint="eastAsia" w:ascii="Times New Roman" w:hAnsi="Times New Roman"/>
                      <w:color w:val="000000"/>
                      <w:szCs w:val="21"/>
                    </w:rPr>
                  </w:pPr>
                  <w:r>
                    <w:rPr>
                      <w:rFonts w:hint="eastAsia"/>
                      <w:color w:val="000000"/>
                      <w:szCs w:val="21"/>
                      <w:lang w:val="en-US" w:eastAsia="zh-CN"/>
                    </w:rPr>
                    <w:t>0.3</w:t>
                  </w:r>
                </w:p>
              </w:tc>
            </w:tr>
          </w:tbl>
          <w:p>
            <w:pPr>
              <w:adjustRightInd w:val="0"/>
              <w:snapToGrid w:val="0"/>
              <w:spacing w:before="120" w:beforeLines="50" w:line="360" w:lineRule="auto"/>
              <w:jc w:val="center"/>
              <w:rPr>
                <w:b/>
                <w:color w:val="auto"/>
                <w:sz w:val="24"/>
              </w:rPr>
            </w:pPr>
            <w:r>
              <w:rPr>
                <w:b/>
                <w:color w:val="auto"/>
                <w:sz w:val="24"/>
              </w:rPr>
              <w:t>表3-</w:t>
            </w:r>
            <w:r>
              <w:rPr>
                <w:rFonts w:hint="eastAsia"/>
                <w:b/>
                <w:color w:val="auto"/>
                <w:sz w:val="24"/>
                <w:lang w:val="en-US" w:eastAsia="zh-CN"/>
              </w:rPr>
              <w:t>4</w:t>
            </w:r>
            <w:r>
              <w:rPr>
                <w:b/>
                <w:color w:val="auto"/>
                <w:sz w:val="24"/>
              </w:rPr>
              <w:t xml:space="preserve"> 《挥发性有机物无组织排放控制标准》（GB37822-2019）</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1729"/>
              <w:gridCol w:w="1619"/>
              <w:gridCol w:w="2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4" w:type="pct"/>
                  <w:noWrap w:val="0"/>
                  <w:vAlign w:val="center"/>
                </w:tcPr>
                <w:p>
                  <w:pPr>
                    <w:jc w:val="center"/>
                    <w:rPr>
                      <w:b/>
                      <w:color w:val="auto"/>
                      <w:szCs w:val="21"/>
                    </w:rPr>
                  </w:pPr>
                  <w:r>
                    <w:rPr>
                      <w:b/>
                      <w:color w:val="auto"/>
                      <w:szCs w:val="21"/>
                    </w:rPr>
                    <w:t>污染物项目</w:t>
                  </w:r>
                </w:p>
              </w:tc>
              <w:tc>
                <w:tcPr>
                  <w:tcW w:w="1084" w:type="pct"/>
                  <w:noWrap w:val="0"/>
                  <w:vAlign w:val="center"/>
                </w:tcPr>
                <w:p>
                  <w:pPr>
                    <w:pStyle w:val="25"/>
                    <w:jc w:val="center"/>
                    <w:rPr>
                      <w:b/>
                      <w:color w:val="auto"/>
                      <w:sz w:val="21"/>
                      <w:szCs w:val="21"/>
                    </w:rPr>
                  </w:pPr>
                  <w:r>
                    <w:rPr>
                      <w:b/>
                      <w:color w:val="auto"/>
                      <w:sz w:val="21"/>
                      <w:szCs w:val="21"/>
                    </w:rPr>
                    <w:t>排放限值</w:t>
                  </w:r>
                </w:p>
              </w:tc>
              <w:tc>
                <w:tcPr>
                  <w:tcW w:w="1015" w:type="pct"/>
                  <w:noWrap w:val="0"/>
                  <w:vAlign w:val="center"/>
                </w:tcPr>
                <w:p>
                  <w:pPr>
                    <w:pStyle w:val="25"/>
                    <w:jc w:val="center"/>
                    <w:rPr>
                      <w:b/>
                      <w:color w:val="auto"/>
                      <w:sz w:val="21"/>
                      <w:szCs w:val="21"/>
                    </w:rPr>
                  </w:pPr>
                  <w:r>
                    <w:rPr>
                      <w:b/>
                      <w:color w:val="auto"/>
                      <w:sz w:val="21"/>
                      <w:szCs w:val="21"/>
                    </w:rPr>
                    <w:t>特别排放限值</w:t>
                  </w:r>
                </w:p>
              </w:tc>
              <w:tc>
                <w:tcPr>
                  <w:tcW w:w="1596" w:type="pct"/>
                  <w:noWrap w:val="0"/>
                  <w:vAlign w:val="center"/>
                </w:tcPr>
                <w:p>
                  <w:pPr>
                    <w:pStyle w:val="25"/>
                    <w:jc w:val="center"/>
                    <w:rPr>
                      <w:b/>
                      <w:color w:val="auto"/>
                      <w:sz w:val="21"/>
                      <w:szCs w:val="21"/>
                    </w:rPr>
                  </w:pPr>
                  <w:r>
                    <w:rPr>
                      <w:b/>
                      <w:color w:val="auto"/>
                      <w:sz w:val="21"/>
                      <w:szCs w:val="21"/>
                    </w:rPr>
                    <w:t>限制含义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4" w:type="pct"/>
                  <w:vMerge w:val="restart"/>
                  <w:noWrap w:val="0"/>
                  <w:vAlign w:val="center"/>
                </w:tcPr>
                <w:p>
                  <w:pPr>
                    <w:jc w:val="center"/>
                    <w:rPr>
                      <w:color w:val="auto"/>
                      <w:szCs w:val="21"/>
                    </w:rPr>
                  </w:pPr>
                  <w:r>
                    <w:rPr>
                      <w:color w:val="auto"/>
                      <w:szCs w:val="21"/>
                    </w:rPr>
                    <w:t>NMHC</w:t>
                  </w:r>
                </w:p>
              </w:tc>
              <w:tc>
                <w:tcPr>
                  <w:tcW w:w="1084" w:type="pct"/>
                  <w:noWrap w:val="0"/>
                  <w:vAlign w:val="center"/>
                </w:tcPr>
                <w:p>
                  <w:pPr>
                    <w:jc w:val="center"/>
                    <w:rPr>
                      <w:color w:val="auto"/>
                      <w:szCs w:val="21"/>
                    </w:rPr>
                  </w:pPr>
                  <w:r>
                    <w:rPr>
                      <w:color w:val="auto"/>
                      <w:szCs w:val="21"/>
                    </w:rPr>
                    <w:t>10</w:t>
                  </w:r>
                </w:p>
              </w:tc>
              <w:tc>
                <w:tcPr>
                  <w:tcW w:w="1015" w:type="pct"/>
                  <w:shd w:val="clear" w:color="auto" w:fill="D7D7D7" w:themeFill="background1" w:themeFillShade="D8"/>
                  <w:noWrap w:val="0"/>
                  <w:vAlign w:val="center"/>
                </w:tcPr>
                <w:p>
                  <w:pPr>
                    <w:jc w:val="center"/>
                    <w:rPr>
                      <w:color w:val="auto"/>
                      <w:szCs w:val="21"/>
                    </w:rPr>
                  </w:pPr>
                  <w:r>
                    <w:rPr>
                      <w:color w:val="auto"/>
                      <w:szCs w:val="21"/>
                    </w:rPr>
                    <w:t>6</w:t>
                  </w:r>
                </w:p>
              </w:tc>
              <w:tc>
                <w:tcPr>
                  <w:tcW w:w="1596" w:type="pct"/>
                  <w:noWrap w:val="0"/>
                  <w:vAlign w:val="center"/>
                </w:tcPr>
                <w:p>
                  <w:pPr>
                    <w:jc w:val="center"/>
                    <w:rPr>
                      <w:color w:val="auto"/>
                      <w:szCs w:val="21"/>
                    </w:rPr>
                  </w:pPr>
                  <w:r>
                    <w:rPr>
                      <w:color w:val="auto"/>
                      <w:szCs w:val="21"/>
                    </w:rPr>
                    <w:t>监控点处1h平均浓度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4" w:type="pct"/>
                  <w:vMerge w:val="continue"/>
                  <w:noWrap w:val="0"/>
                  <w:vAlign w:val="center"/>
                </w:tcPr>
                <w:p>
                  <w:pPr>
                    <w:jc w:val="center"/>
                    <w:rPr>
                      <w:color w:val="auto"/>
                      <w:szCs w:val="21"/>
                    </w:rPr>
                  </w:pPr>
                </w:p>
              </w:tc>
              <w:tc>
                <w:tcPr>
                  <w:tcW w:w="1084" w:type="pct"/>
                  <w:noWrap w:val="0"/>
                  <w:vAlign w:val="center"/>
                </w:tcPr>
                <w:p>
                  <w:pPr>
                    <w:jc w:val="center"/>
                    <w:rPr>
                      <w:color w:val="auto"/>
                      <w:szCs w:val="21"/>
                    </w:rPr>
                  </w:pPr>
                  <w:r>
                    <w:rPr>
                      <w:color w:val="auto"/>
                      <w:szCs w:val="21"/>
                    </w:rPr>
                    <w:t>30</w:t>
                  </w:r>
                </w:p>
              </w:tc>
              <w:tc>
                <w:tcPr>
                  <w:tcW w:w="1015" w:type="pct"/>
                  <w:shd w:val="clear" w:color="auto" w:fill="D7D7D7" w:themeFill="background1" w:themeFillShade="D8"/>
                  <w:noWrap w:val="0"/>
                  <w:vAlign w:val="center"/>
                </w:tcPr>
                <w:p>
                  <w:pPr>
                    <w:jc w:val="center"/>
                    <w:rPr>
                      <w:color w:val="auto"/>
                      <w:szCs w:val="21"/>
                    </w:rPr>
                  </w:pPr>
                  <w:r>
                    <w:rPr>
                      <w:color w:val="auto"/>
                      <w:szCs w:val="21"/>
                    </w:rPr>
                    <w:t>20</w:t>
                  </w:r>
                </w:p>
              </w:tc>
              <w:tc>
                <w:tcPr>
                  <w:tcW w:w="1596" w:type="pct"/>
                  <w:noWrap w:val="0"/>
                  <w:vAlign w:val="center"/>
                </w:tcPr>
                <w:p>
                  <w:pPr>
                    <w:jc w:val="center"/>
                    <w:rPr>
                      <w:color w:val="auto"/>
                      <w:szCs w:val="21"/>
                    </w:rPr>
                  </w:pPr>
                  <w:r>
                    <w:rPr>
                      <w:color w:val="auto"/>
                      <w:szCs w:val="21"/>
                    </w:rPr>
                    <w:t>监控点处1任意一次浓度</w:t>
                  </w:r>
                </w:p>
              </w:tc>
            </w:tr>
          </w:tbl>
          <w:p>
            <w:pPr>
              <w:spacing w:before="120" w:beforeLines="50" w:line="360" w:lineRule="auto"/>
              <w:ind w:firstLine="482" w:firstLineChars="200"/>
              <w:jc w:val="center"/>
              <w:rPr>
                <w:rFonts w:hint="default" w:ascii="Times New Roman" w:hAnsi="Times New Roman" w:eastAsia="宋体" w:cs="Times New Roman"/>
                <w:b/>
                <w:color w:val="auto"/>
                <w:sz w:val="24"/>
                <w:lang w:val="en-US" w:eastAsia="zh-CN"/>
              </w:rPr>
            </w:pPr>
            <w:r>
              <w:rPr>
                <w:rFonts w:hint="eastAsia"/>
                <w:b/>
                <w:bCs/>
                <w:color w:val="auto"/>
                <w:sz w:val="24"/>
                <w:lang w:val="en-US" w:eastAsia="zh-CN"/>
              </w:rPr>
              <w:t xml:space="preserve">表3-5   </w:t>
            </w:r>
            <w:r>
              <w:rPr>
                <w:rFonts w:hint="eastAsia" w:ascii="Times New Roman" w:hAnsi="Times New Roman" w:eastAsia="宋体" w:cs="Times New Roman"/>
                <w:b/>
                <w:color w:val="auto"/>
                <w:sz w:val="24"/>
                <w:lang w:val="en-US" w:eastAsia="zh-CN"/>
              </w:rPr>
              <w:t>恶臭污染物排放标准（GB14554-1993）</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29"/>
              <w:gridCol w:w="5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15" w:type="pct"/>
                  <w:noWrap w:val="0"/>
                  <w:vAlign w:val="center"/>
                </w:tcPr>
                <w:p>
                  <w:pPr>
                    <w:pStyle w:val="50"/>
                    <w:rPr>
                      <w:rFonts w:ascii="Times New Roman" w:hAnsi="Times New Roman"/>
                      <w:b/>
                      <w:bCs/>
                      <w:color w:val="auto"/>
                      <w:spacing w:val="0"/>
                    </w:rPr>
                  </w:pPr>
                  <w:r>
                    <w:rPr>
                      <w:rFonts w:ascii="Times New Roman" w:hAnsi="Times New Roman"/>
                      <w:b/>
                      <w:bCs/>
                      <w:color w:val="auto"/>
                      <w:spacing w:val="0"/>
                    </w:rPr>
                    <w:t>序号</w:t>
                  </w:r>
                </w:p>
              </w:tc>
              <w:tc>
                <w:tcPr>
                  <w:tcW w:w="1336" w:type="pct"/>
                  <w:noWrap w:val="0"/>
                  <w:vAlign w:val="center"/>
                </w:tcPr>
                <w:p>
                  <w:pPr>
                    <w:pStyle w:val="50"/>
                    <w:rPr>
                      <w:rFonts w:ascii="Times New Roman" w:hAnsi="Times New Roman"/>
                      <w:b/>
                      <w:bCs/>
                      <w:color w:val="auto"/>
                      <w:spacing w:val="0"/>
                    </w:rPr>
                  </w:pPr>
                  <w:r>
                    <w:rPr>
                      <w:rFonts w:ascii="Times New Roman" w:hAnsi="Times New Roman"/>
                      <w:b/>
                      <w:bCs/>
                      <w:color w:val="auto"/>
                      <w:spacing w:val="0"/>
                    </w:rPr>
                    <w:t>控制项目</w:t>
                  </w:r>
                </w:p>
              </w:tc>
              <w:tc>
                <w:tcPr>
                  <w:tcW w:w="3147" w:type="pct"/>
                  <w:noWrap w:val="0"/>
                  <w:vAlign w:val="center"/>
                </w:tcPr>
                <w:p>
                  <w:pPr>
                    <w:pStyle w:val="50"/>
                    <w:rPr>
                      <w:rFonts w:ascii="Times New Roman" w:hAnsi="Times New Roman"/>
                      <w:b/>
                      <w:bCs/>
                      <w:color w:val="auto"/>
                      <w:spacing w:val="0"/>
                    </w:rPr>
                  </w:pPr>
                  <w:r>
                    <w:rPr>
                      <w:rFonts w:ascii="Times New Roman" w:hAnsi="Times New Roman"/>
                      <w:b/>
                      <w:bCs/>
                      <w:color w:val="auto"/>
                      <w:spacing w:val="0"/>
                    </w:rPr>
                    <w:t>二级</w:t>
                  </w:r>
                  <w:r>
                    <w:rPr>
                      <w:rFonts w:hint="eastAsia" w:ascii="Times New Roman" w:hAnsi="Times New Roman"/>
                      <w:b/>
                      <w:bCs/>
                      <w:color w:val="auto"/>
                      <w:spacing w:val="0"/>
                      <w:lang w:eastAsia="zh-CN"/>
                    </w:rPr>
                    <w:t>（</w:t>
                  </w:r>
                  <w:r>
                    <w:rPr>
                      <w:rFonts w:hint="eastAsia" w:ascii="Times New Roman" w:hAnsi="Times New Roman"/>
                      <w:b/>
                      <w:bCs/>
                      <w:color w:val="auto"/>
                      <w:spacing w:val="0"/>
                      <w:lang w:val="en-US" w:eastAsia="zh-CN"/>
                    </w:rPr>
                    <w:t>新扩改建</w:t>
                  </w:r>
                  <w:r>
                    <w:rPr>
                      <w:rFonts w:hint="eastAsia" w:ascii="Times New Roman" w:hAnsi="Times New Roman"/>
                      <w:b/>
                      <w:bCs/>
                      <w:color w:val="auto"/>
                      <w:spacing w:val="0"/>
                      <w:lang w:eastAsia="zh-CN"/>
                    </w:rPr>
                    <w:t>）</w:t>
                  </w:r>
                  <w:r>
                    <w:rPr>
                      <w:rFonts w:ascii="Times New Roman" w:hAnsi="Times New Roman"/>
                      <w:b/>
                      <w:bCs/>
                      <w:color w:val="auto"/>
                      <w:spacing w:val="0"/>
                    </w:rPr>
                    <w:t>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15" w:type="pct"/>
                  <w:noWrap w:val="0"/>
                  <w:vAlign w:val="center"/>
                </w:tcPr>
                <w:p>
                  <w:pPr>
                    <w:pStyle w:val="50"/>
                    <w:rPr>
                      <w:rFonts w:hint="eastAsia" w:ascii="Times New Roman" w:hAnsi="Times New Roman" w:eastAsia="宋体"/>
                      <w:color w:val="auto"/>
                      <w:spacing w:val="0"/>
                      <w:lang w:eastAsia="zh-CN"/>
                    </w:rPr>
                  </w:pPr>
                  <w:r>
                    <w:rPr>
                      <w:rFonts w:hint="eastAsia" w:ascii="Times New Roman" w:hAnsi="Times New Roman"/>
                      <w:color w:val="auto"/>
                      <w:spacing w:val="0"/>
                      <w:lang w:val="en-US" w:eastAsia="zh-CN"/>
                    </w:rPr>
                    <w:t>1</w:t>
                  </w:r>
                </w:p>
              </w:tc>
              <w:tc>
                <w:tcPr>
                  <w:tcW w:w="1336" w:type="pct"/>
                  <w:noWrap w:val="0"/>
                  <w:vAlign w:val="center"/>
                </w:tcPr>
                <w:p>
                  <w:pPr>
                    <w:pStyle w:val="50"/>
                    <w:rPr>
                      <w:rFonts w:hint="eastAsia" w:ascii="Times New Roman" w:hAnsi="Times New Roman" w:eastAsia="宋体"/>
                      <w:color w:val="auto"/>
                      <w:spacing w:val="0"/>
                      <w:lang w:eastAsia="zh-CN"/>
                    </w:rPr>
                  </w:pPr>
                  <w:r>
                    <w:rPr>
                      <w:rFonts w:ascii="Times New Roman" w:hAnsi="Times New Roman"/>
                      <w:color w:val="auto"/>
                      <w:spacing w:val="0"/>
                    </w:rPr>
                    <w:t>臭气浓度</w:t>
                  </w:r>
                </w:p>
              </w:tc>
              <w:tc>
                <w:tcPr>
                  <w:tcW w:w="3147" w:type="pct"/>
                  <w:noWrap w:val="0"/>
                  <w:vAlign w:val="center"/>
                </w:tcPr>
                <w:p>
                  <w:pPr>
                    <w:pStyle w:val="50"/>
                    <w:rPr>
                      <w:rFonts w:ascii="Times New Roman" w:hAnsi="Times New Roman"/>
                      <w:color w:val="auto"/>
                      <w:spacing w:val="0"/>
                    </w:rPr>
                  </w:pPr>
                  <w:r>
                    <w:rPr>
                      <w:rFonts w:ascii="Times New Roman" w:hAnsi="Times New Roman"/>
                      <w:color w:val="auto"/>
                      <w:spacing w:val="0"/>
                    </w:rPr>
                    <w:t>20（无量纲）</w:t>
                  </w:r>
                </w:p>
              </w:tc>
            </w:tr>
          </w:tbl>
          <w:p>
            <w:pPr>
              <w:spacing w:before="120" w:beforeLines="50" w:line="360" w:lineRule="auto"/>
              <w:ind w:firstLine="482" w:firstLineChars="200"/>
              <w:rPr>
                <w:rFonts w:hint="eastAsia"/>
                <w:b/>
                <w:bCs/>
                <w:color w:val="auto"/>
                <w:sz w:val="24"/>
                <w:lang w:eastAsia="zh-CN"/>
              </w:rPr>
            </w:pPr>
          </w:p>
          <w:p>
            <w:pPr>
              <w:spacing w:before="120" w:beforeLines="50" w:line="360" w:lineRule="auto"/>
              <w:ind w:firstLine="482" w:firstLineChars="200"/>
              <w:rPr>
                <w:rFonts w:hint="eastAsia"/>
                <w:b/>
                <w:bCs/>
                <w:color w:val="auto"/>
                <w:sz w:val="24"/>
                <w:lang w:eastAsia="zh-CN"/>
              </w:rPr>
            </w:pPr>
          </w:p>
          <w:p>
            <w:pPr>
              <w:pStyle w:val="2"/>
              <w:rPr>
                <w:rFonts w:hint="eastAsia"/>
                <w:b/>
                <w:bCs/>
                <w:color w:val="auto"/>
                <w:sz w:val="24"/>
                <w:lang w:eastAsia="zh-CN"/>
              </w:rPr>
            </w:pPr>
          </w:p>
          <w:p>
            <w:pPr>
              <w:rPr>
                <w:rFonts w:hint="eastAsia"/>
                <w:lang w:eastAsia="zh-CN"/>
              </w:rPr>
            </w:pPr>
          </w:p>
          <w:p>
            <w:pPr>
              <w:spacing w:before="120" w:beforeLines="50" w:line="360" w:lineRule="auto"/>
              <w:ind w:firstLine="482" w:firstLineChars="200"/>
              <w:rPr>
                <w:b/>
                <w:bCs/>
                <w:color w:val="auto"/>
                <w:sz w:val="24"/>
              </w:rPr>
            </w:pPr>
            <w:r>
              <w:rPr>
                <w:rFonts w:hint="eastAsia"/>
                <w:b/>
                <w:bCs/>
                <w:color w:val="auto"/>
                <w:sz w:val="24"/>
                <w:lang w:eastAsia="zh-CN"/>
              </w:rPr>
              <w:t>（二）</w:t>
            </w:r>
            <w:r>
              <w:rPr>
                <w:b/>
                <w:bCs/>
                <w:color w:val="auto"/>
                <w:sz w:val="24"/>
              </w:rPr>
              <w:t>废水</w:t>
            </w:r>
          </w:p>
          <w:p>
            <w:pPr>
              <w:pStyle w:val="25"/>
              <w:spacing w:line="360" w:lineRule="auto"/>
              <w:ind w:firstLine="480" w:firstLineChars="200"/>
              <w:rPr>
                <w:bCs/>
                <w:color w:val="auto"/>
              </w:rPr>
            </w:pPr>
            <w:r>
              <w:rPr>
                <w:rFonts w:hint="eastAsia" w:ascii="Times New Roman" w:hAnsi="Times New Roman" w:eastAsia="宋体" w:cs="Times New Roman"/>
                <w:sz w:val="24"/>
                <w:szCs w:val="24"/>
                <w:lang w:val="en-US" w:eastAsia="zh-CN"/>
              </w:rPr>
              <w:t>本项目</w:t>
            </w:r>
            <w:r>
              <w:rPr>
                <w:rFonts w:ascii="Times New Roman" w:hAnsi="Times New Roman"/>
                <w:sz w:val="24"/>
              </w:rPr>
              <w:t>生活污水经</w:t>
            </w:r>
            <w:r>
              <w:rPr>
                <w:rFonts w:ascii="Times New Roman" w:hAnsi="Times New Roman" w:cs="Times New Roman"/>
                <w:bCs/>
              </w:rPr>
              <w:t>经</w:t>
            </w:r>
            <w:r>
              <w:rPr>
                <w:bCs/>
              </w:rPr>
              <w:t>化粪池</w:t>
            </w:r>
            <w:r>
              <w:rPr>
                <w:rFonts w:ascii="Times New Roman" w:hAnsi="Times New Roman"/>
                <w:sz w:val="24"/>
              </w:rPr>
              <w:t>预处理后进入</w:t>
            </w:r>
            <w:r>
              <w:rPr>
                <w:rFonts w:hint="eastAsia"/>
                <w:bCs/>
                <w:sz w:val="24"/>
              </w:rPr>
              <w:t>舒城经济开发区污水</w:t>
            </w:r>
            <w:r>
              <w:rPr>
                <w:bCs/>
                <w:sz w:val="24"/>
              </w:rPr>
              <w:t>处理</w:t>
            </w:r>
            <w:r>
              <w:rPr>
                <w:rFonts w:hint="eastAsia"/>
                <w:bCs/>
                <w:sz w:val="24"/>
              </w:rPr>
              <w:t>厂</w:t>
            </w:r>
            <w:r>
              <w:rPr>
                <w:rFonts w:ascii="Times New Roman" w:hAnsi="Times New Roman"/>
                <w:sz w:val="24"/>
              </w:rPr>
              <w:t>集中处理，</w:t>
            </w:r>
            <w:r>
              <w:rPr>
                <w:rFonts w:hint="eastAsia"/>
                <w:bCs/>
                <w:sz w:val="24"/>
                <w:lang w:eastAsia="zh-CN"/>
              </w:rPr>
              <w:t>废水排放执行</w:t>
            </w:r>
            <w:r>
              <w:rPr>
                <w:rFonts w:ascii="Times New Roman" w:hAnsi="Times New Roman"/>
                <w:sz w:val="24"/>
              </w:rPr>
              <w:t>《污水综合排放标准》（GB8978－1996）表4中三级标准，</w:t>
            </w:r>
            <w:r>
              <w:rPr>
                <w:rFonts w:hint="eastAsia"/>
                <w:sz w:val="24"/>
                <w:lang w:eastAsia="zh-CN"/>
              </w:rPr>
              <w:t>同时达到</w:t>
            </w:r>
            <w:r>
              <w:rPr>
                <w:rFonts w:hint="eastAsia"/>
                <w:lang w:val="en-US" w:eastAsia="zh-CN"/>
              </w:rPr>
              <w:t>开发区污水处理厂接管限值</w:t>
            </w:r>
            <w:r>
              <w:rPr>
                <w:bCs/>
                <w:color w:val="auto"/>
              </w:rPr>
              <w:t>。</w:t>
            </w:r>
          </w:p>
          <w:p>
            <w:pPr>
              <w:adjustRightInd w:val="0"/>
              <w:snapToGrid w:val="0"/>
              <w:spacing w:after="120" w:afterLines="50"/>
              <w:ind w:firstLine="482" w:firstLineChars="200"/>
              <w:jc w:val="center"/>
              <w:rPr>
                <w:b/>
                <w:color w:val="auto"/>
                <w:sz w:val="24"/>
              </w:rPr>
            </w:pPr>
            <w:r>
              <w:rPr>
                <w:b/>
                <w:bCs/>
                <w:color w:val="auto"/>
                <w:sz w:val="24"/>
              </w:rPr>
              <w:t>表3-</w:t>
            </w:r>
            <w:r>
              <w:rPr>
                <w:rFonts w:hint="eastAsia"/>
                <w:b/>
                <w:bCs/>
                <w:color w:val="auto"/>
                <w:sz w:val="24"/>
                <w:lang w:val="en-US" w:eastAsia="zh-CN"/>
              </w:rPr>
              <w:t>6</w:t>
            </w:r>
            <w:r>
              <w:rPr>
                <w:b/>
                <w:bCs/>
                <w:color w:val="auto"/>
                <w:sz w:val="24"/>
              </w:rPr>
              <w:t xml:space="preserve"> </w:t>
            </w:r>
            <w:r>
              <w:rPr>
                <w:rFonts w:hint="eastAsia"/>
                <w:b/>
                <w:bCs/>
                <w:color w:val="auto"/>
                <w:sz w:val="24"/>
                <w:lang w:val="en-US" w:eastAsia="zh-CN"/>
              </w:rPr>
              <w:t xml:space="preserve">  </w:t>
            </w:r>
            <w:r>
              <w:rPr>
                <w:b/>
                <w:bCs/>
                <w:color w:val="auto"/>
                <w:sz w:val="24"/>
              </w:rPr>
              <w:t>项目废水排放限值标准   单位：mg/L</w:t>
            </w:r>
          </w:p>
          <w:tbl>
            <w:tblPr>
              <w:tblStyle w:val="19"/>
              <w:tblW w:w="79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98"/>
              <w:gridCol w:w="2621"/>
              <w:gridCol w:w="23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8" w:type="dxa"/>
                  <w:noWrap w:val="0"/>
                  <w:vAlign w:val="center"/>
                </w:tcPr>
                <w:p>
                  <w:pPr>
                    <w:adjustRightInd w:val="0"/>
                    <w:snapToGrid w:val="0"/>
                    <w:jc w:val="center"/>
                    <w:rPr>
                      <w:rFonts w:ascii="Times New Roman" w:hAnsi="Times New Roman"/>
                      <w:b/>
                      <w:szCs w:val="22"/>
                    </w:rPr>
                  </w:pPr>
                  <w:r>
                    <w:rPr>
                      <w:rFonts w:ascii="Times New Roman" w:hAnsi="Times New Roman"/>
                      <w:b/>
                      <w:szCs w:val="22"/>
                    </w:rPr>
                    <w:t>项目</w:t>
                  </w:r>
                </w:p>
              </w:tc>
              <w:tc>
                <w:tcPr>
                  <w:tcW w:w="2621" w:type="dxa"/>
                  <w:tcBorders>
                    <w:right w:val="single" w:color="auto" w:sz="4" w:space="0"/>
                  </w:tcBorders>
                  <w:noWrap w:val="0"/>
                  <w:vAlign w:val="center"/>
                </w:tcPr>
                <w:p>
                  <w:pPr>
                    <w:adjustRightInd w:val="0"/>
                    <w:snapToGrid w:val="0"/>
                    <w:jc w:val="center"/>
                    <w:rPr>
                      <w:rFonts w:ascii="Times New Roman" w:hAnsi="Times New Roman"/>
                      <w:b/>
                      <w:szCs w:val="22"/>
                    </w:rPr>
                  </w:pPr>
                  <w:r>
                    <w:rPr>
                      <w:rFonts w:ascii="Times New Roman" w:hAnsi="Times New Roman"/>
                      <w:b/>
                      <w:szCs w:val="22"/>
                    </w:rPr>
                    <w:t>污水综合排放标准</w:t>
                  </w:r>
                </w:p>
              </w:tc>
              <w:tc>
                <w:tcPr>
                  <w:tcW w:w="2318" w:type="dxa"/>
                  <w:tcBorders>
                    <w:left w:val="single" w:color="auto" w:sz="4" w:space="0"/>
                  </w:tcBorders>
                  <w:noWrap w:val="0"/>
                  <w:vAlign w:val="center"/>
                </w:tcPr>
                <w:p>
                  <w:pPr>
                    <w:adjustRightInd w:val="0"/>
                    <w:snapToGrid w:val="0"/>
                    <w:jc w:val="center"/>
                    <w:rPr>
                      <w:rFonts w:ascii="Times New Roman" w:hAnsi="Times New Roman"/>
                      <w:b/>
                      <w:szCs w:val="22"/>
                    </w:rPr>
                  </w:pPr>
                  <w:r>
                    <w:rPr>
                      <w:rFonts w:ascii="Times New Roman" w:hAnsi="Times New Roman"/>
                      <w:b/>
                      <w:szCs w:val="22"/>
                    </w:rPr>
                    <w:t>污水处理厂接管标准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2998" w:type="dxa"/>
                  <w:noWrap w:val="0"/>
                  <w:vAlign w:val="center"/>
                </w:tcPr>
                <w:p>
                  <w:pPr>
                    <w:adjustRightInd w:val="0"/>
                    <w:snapToGrid w:val="0"/>
                    <w:jc w:val="center"/>
                    <w:rPr>
                      <w:rFonts w:ascii="Times New Roman" w:hAnsi="Times New Roman"/>
                      <w:szCs w:val="22"/>
                    </w:rPr>
                  </w:pPr>
                  <w:r>
                    <w:rPr>
                      <w:rFonts w:ascii="Times New Roman" w:hAnsi="Times New Roman"/>
                      <w:szCs w:val="22"/>
                    </w:rPr>
                    <w:t xml:space="preserve">pH（无量纲） </w:t>
                  </w:r>
                </w:p>
              </w:tc>
              <w:tc>
                <w:tcPr>
                  <w:tcW w:w="2621" w:type="dxa"/>
                  <w:tcBorders>
                    <w:right w:val="single" w:color="auto" w:sz="4" w:space="0"/>
                  </w:tcBorders>
                  <w:noWrap w:val="0"/>
                  <w:vAlign w:val="center"/>
                </w:tcPr>
                <w:p>
                  <w:pPr>
                    <w:snapToGrid w:val="0"/>
                    <w:spacing w:line="320" w:lineRule="exact"/>
                    <w:jc w:val="center"/>
                    <w:rPr>
                      <w:rFonts w:ascii="Times New Roman" w:hAnsi="Times New Roman"/>
                      <w:szCs w:val="22"/>
                    </w:rPr>
                  </w:pPr>
                  <w:r>
                    <w:rPr>
                      <w:rFonts w:ascii="Times New Roman" w:hAnsi="Times New Roman"/>
                      <w:szCs w:val="22"/>
                    </w:rPr>
                    <w:t>6～9</w:t>
                  </w:r>
                </w:p>
              </w:tc>
              <w:tc>
                <w:tcPr>
                  <w:tcW w:w="2318" w:type="dxa"/>
                  <w:tcBorders>
                    <w:left w:val="single" w:color="auto" w:sz="4" w:space="0"/>
                  </w:tcBorders>
                  <w:noWrap w:val="0"/>
                  <w:vAlign w:val="center"/>
                </w:tcPr>
                <w:p>
                  <w:pPr>
                    <w:snapToGrid w:val="0"/>
                    <w:spacing w:line="320" w:lineRule="exact"/>
                    <w:jc w:val="center"/>
                    <w:rPr>
                      <w:rFonts w:ascii="Times New Roman" w:hAnsi="Times New Roman"/>
                      <w:szCs w:val="22"/>
                    </w:rPr>
                  </w:pPr>
                  <w:r>
                    <w:rPr>
                      <w:rFonts w:ascii="Times New Roman" w:hAnsi="Times New Roman"/>
                      <w:szCs w:val="22"/>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8" w:type="dxa"/>
                  <w:noWrap w:val="0"/>
                  <w:vAlign w:val="center"/>
                </w:tcPr>
                <w:p>
                  <w:pPr>
                    <w:adjustRightInd w:val="0"/>
                    <w:snapToGrid w:val="0"/>
                    <w:jc w:val="center"/>
                    <w:rPr>
                      <w:rFonts w:ascii="Times New Roman" w:hAnsi="Times New Roman"/>
                      <w:szCs w:val="22"/>
                    </w:rPr>
                  </w:pPr>
                  <w:r>
                    <w:rPr>
                      <w:rFonts w:ascii="Times New Roman" w:hAnsi="Times New Roman"/>
                      <w:szCs w:val="22"/>
                    </w:rPr>
                    <w:t>CODCr</w:t>
                  </w:r>
                </w:p>
              </w:tc>
              <w:tc>
                <w:tcPr>
                  <w:tcW w:w="2621" w:type="dxa"/>
                  <w:tcBorders>
                    <w:right w:val="single" w:color="auto" w:sz="4" w:space="0"/>
                  </w:tcBorders>
                  <w:noWrap w:val="0"/>
                  <w:vAlign w:val="center"/>
                </w:tcPr>
                <w:p>
                  <w:pPr>
                    <w:snapToGrid w:val="0"/>
                    <w:spacing w:line="320" w:lineRule="exact"/>
                    <w:jc w:val="center"/>
                    <w:rPr>
                      <w:rFonts w:ascii="Times New Roman" w:hAnsi="Times New Roman"/>
                      <w:szCs w:val="22"/>
                    </w:rPr>
                  </w:pPr>
                  <w:r>
                    <w:rPr>
                      <w:rFonts w:ascii="Times New Roman" w:hAnsi="Times New Roman"/>
                      <w:szCs w:val="22"/>
                    </w:rPr>
                    <w:t>≤500</w:t>
                  </w:r>
                </w:p>
              </w:tc>
              <w:tc>
                <w:tcPr>
                  <w:tcW w:w="2318" w:type="dxa"/>
                  <w:tcBorders>
                    <w:left w:val="single" w:color="auto" w:sz="4" w:space="0"/>
                  </w:tcBorders>
                  <w:noWrap w:val="0"/>
                  <w:vAlign w:val="center"/>
                </w:tcPr>
                <w:p>
                  <w:pPr>
                    <w:snapToGrid w:val="0"/>
                    <w:spacing w:line="320" w:lineRule="exact"/>
                    <w:jc w:val="center"/>
                    <w:rPr>
                      <w:rFonts w:hint="default" w:ascii="Times New Roman" w:hAnsi="Times New Roman"/>
                      <w:szCs w:val="22"/>
                      <w:lang w:val="en-US" w:eastAsia="zh-CN"/>
                    </w:rPr>
                  </w:pPr>
                  <w:r>
                    <w:rPr>
                      <w:rFonts w:ascii="Times New Roman" w:hAnsi="Times New Roman"/>
                      <w:szCs w:val="22"/>
                    </w:rPr>
                    <w:t>≤</w:t>
                  </w:r>
                  <w:r>
                    <w:rPr>
                      <w:rFonts w:hint="eastAsia" w:ascii="Times New Roman" w:hAnsi="Times New Roman"/>
                      <w:szCs w:val="22"/>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998" w:type="dxa"/>
                  <w:noWrap w:val="0"/>
                  <w:vAlign w:val="center"/>
                </w:tcPr>
                <w:p>
                  <w:pPr>
                    <w:adjustRightInd w:val="0"/>
                    <w:snapToGrid w:val="0"/>
                    <w:jc w:val="center"/>
                    <w:rPr>
                      <w:rFonts w:ascii="Times New Roman" w:hAnsi="Times New Roman"/>
                      <w:szCs w:val="22"/>
                    </w:rPr>
                  </w:pPr>
                  <w:r>
                    <w:rPr>
                      <w:rFonts w:ascii="Times New Roman" w:hAnsi="Times New Roman"/>
                      <w:szCs w:val="22"/>
                    </w:rPr>
                    <w:t>BOD</w:t>
                  </w:r>
                  <w:r>
                    <w:rPr>
                      <w:rFonts w:ascii="Times New Roman" w:hAnsi="Times New Roman"/>
                      <w:szCs w:val="22"/>
                      <w:vertAlign w:val="subscript"/>
                    </w:rPr>
                    <w:t>5</w:t>
                  </w:r>
                </w:p>
              </w:tc>
              <w:tc>
                <w:tcPr>
                  <w:tcW w:w="2621" w:type="dxa"/>
                  <w:tcBorders>
                    <w:right w:val="single" w:color="auto" w:sz="4" w:space="0"/>
                  </w:tcBorders>
                  <w:noWrap w:val="0"/>
                  <w:vAlign w:val="center"/>
                </w:tcPr>
                <w:p>
                  <w:pPr>
                    <w:snapToGrid w:val="0"/>
                    <w:spacing w:line="320" w:lineRule="exact"/>
                    <w:jc w:val="center"/>
                    <w:rPr>
                      <w:rFonts w:ascii="Times New Roman" w:hAnsi="Times New Roman"/>
                      <w:szCs w:val="22"/>
                    </w:rPr>
                  </w:pPr>
                  <w:r>
                    <w:rPr>
                      <w:rFonts w:ascii="Times New Roman" w:hAnsi="Times New Roman"/>
                      <w:szCs w:val="22"/>
                    </w:rPr>
                    <w:t>≤300</w:t>
                  </w:r>
                </w:p>
              </w:tc>
              <w:tc>
                <w:tcPr>
                  <w:tcW w:w="2318" w:type="dxa"/>
                  <w:tcBorders>
                    <w:left w:val="single" w:color="auto" w:sz="4" w:space="0"/>
                  </w:tcBorders>
                  <w:noWrap w:val="0"/>
                  <w:vAlign w:val="center"/>
                </w:tcPr>
                <w:p>
                  <w:pPr>
                    <w:snapToGrid w:val="0"/>
                    <w:spacing w:line="320" w:lineRule="exact"/>
                    <w:jc w:val="center"/>
                    <w:rPr>
                      <w:rFonts w:hint="default" w:ascii="Times New Roman" w:hAnsi="Times New Roman"/>
                      <w:szCs w:val="22"/>
                      <w:lang w:val="en-US" w:eastAsia="zh-CN"/>
                    </w:rPr>
                  </w:pPr>
                  <w:r>
                    <w:rPr>
                      <w:rFonts w:ascii="Times New Roman" w:hAnsi="Times New Roman"/>
                      <w:szCs w:val="22"/>
                    </w:rPr>
                    <w:t>≤</w:t>
                  </w:r>
                  <w:r>
                    <w:rPr>
                      <w:rFonts w:hint="eastAsia" w:ascii="Times New Roman" w:hAnsi="Times New Roman"/>
                      <w:szCs w:val="22"/>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8" w:type="dxa"/>
                  <w:noWrap w:val="0"/>
                  <w:vAlign w:val="center"/>
                </w:tcPr>
                <w:p>
                  <w:pPr>
                    <w:adjustRightInd w:val="0"/>
                    <w:snapToGrid w:val="0"/>
                    <w:jc w:val="center"/>
                    <w:rPr>
                      <w:rFonts w:ascii="Times New Roman" w:hAnsi="Times New Roman"/>
                      <w:szCs w:val="22"/>
                    </w:rPr>
                  </w:pPr>
                  <w:r>
                    <w:rPr>
                      <w:rFonts w:ascii="Times New Roman" w:hAnsi="Times New Roman"/>
                      <w:szCs w:val="22"/>
                    </w:rPr>
                    <w:t>SS</w:t>
                  </w:r>
                </w:p>
              </w:tc>
              <w:tc>
                <w:tcPr>
                  <w:tcW w:w="2621" w:type="dxa"/>
                  <w:tcBorders>
                    <w:right w:val="single" w:color="auto" w:sz="4" w:space="0"/>
                  </w:tcBorders>
                  <w:noWrap w:val="0"/>
                  <w:vAlign w:val="center"/>
                </w:tcPr>
                <w:p>
                  <w:pPr>
                    <w:snapToGrid w:val="0"/>
                    <w:spacing w:line="320" w:lineRule="exact"/>
                    <w:jc w:val="center"/>
                    <w:rPr>
                      <w:rFonts w:ascii="Times New Roman" w:hAnsi="Times New Roman"/>
                      <w:szCs w:val="22"/>
                    </w:rPr>
                  </w:pPr>
                  <w:r>
                    <w:rPr>
                      <w:rFonts w:ascii="Times New Roman" w:hAnsi="Times New Roman"/>
                      <w:szCs w:val="22"/>
                    </w:rPr>
                    <w:t>≤400</w:t>
                  </w:r>
                </w:p>
              </w:tc>
              <w:tc>
                <w:tcPr>
                  <w:tcW w:w="2318" w:type="dxa"/>
                  <w:tcBorders>
                    <w:left w:val="single" w:color="auto" w:sz="4" w:space="0"/>
                  </w:tcBorders>
                  <w:noWrap w:val="0"/>
                  <w:vAlign w:val="center"/>
                </w:tcPr>
                <w:p>
                  <w:pPr>
                    <w:snapToGrid w:val="0"/>
                    <w:spacing w:line="320" w:lineRule="exact"/>
                    <w:jc w:val="center"/>
                    <w:rPr>
                      <w:rFonts w:hint="default" w:ascii="Times New Roman" w:hAnsi="Times New Roman"/>
                      <w:szCs w:val="22"/>
                      <w:lang w:val="en-US" w:eastAsia="zh-CN"/>
                    </w:rPr>
                  </w:pPr>
                  <w:r>
                    <w:rPr>
                      <w:rFonts w:ascii="Times New Roman" w:hAnsi="Times New Roman"/>
                      <w:szCs w:val="22"/>
                    </w:rPr>
                    <w:t>≤</w:t>
                  </w:r>
                  <w:r>
                    <w:rPr>
                      <w:rFonts w:hint="eastAsia" w:ascii="Times New Roman" w:hAnsi="Times New Roman"/>
                      <w:szCs w:val="22"/>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8" w:type="dxa"/>
                  <w:noWrap w:val="0"/>
                  <w:vAlign w:val="center"/>
                </w:tcPr>
                <w:p>
                  <w:pPr>
                    <w:snapToGrid w:val="0"/>
                    <w:spacing w:line="320" w:lineRule="exact"/>
                    <w:jc w:val="center"/>
                    <w:rPr>
                      <w:rFonts w:ascii="Times New Roman" w:hAnsi="Times New Roman" w:eastAsia="宋体" w:cs="Times New Roman"/>
                      <w:kern w:val="2"/>
                      <w:sz w:val="21"/>
                      <w:szCs w:val="22"/>
                      <w:lang w:val="en-US" w:eastAsia="zh-CN" w:bidi="ar-SA"/>
                    </w:rPr>
                  </w:pPr>
                  <w:r>
                    <w:rPr>
                      <w:rFonts w:ascii="Times New Roman" w:hAnsi="Times New Roman"/>
                      <w:szCs w:val="22"/>
                    </w:rPr>
                    <w:t>动植物油</w:t>
                  </w:r>
                </w:p>
              </w:tc>
              <w:tc>
                <w:tcPr>
                  <w:tcW w:w="2621" w:type="dxa"/>
                  <w:tcBorders>
                    <w:right w:val="single" w:color="auto" w:sz="4" w:space="0"/>
                  </w:tcBorders>
                  <w:noWrap w:val="0"/>
                  <w:vAlign w:val="center"/>
                </w:tcPr>
                <w:p>
                  <w:pPr>
                    <w:snapToGrid w:val="0"/>
                    <w:spacing w:line="320" w:lineRule="exact"/>
                    <w:jc w:val="center"/>
                    <w:rPr>
                      <w:rFonts w:hint="default" w:ascii="Times New Roman" w:hAnsi="Times New Roman" w:eastAsia="宋体" w:cs="Times New Roman"/>
                      <w:kern w:val="2"/>
                      <w:sz w:val="21"/>
                      <w:szCs w:val="22"/>
                      <w:lang w:val="en-US" w:eastAsia="zh-CN" w:bidi="ar-SA"/>
                    </w:rPr>
                  </w:pPr>
                  <w:r>
                    <w:rPr>
                      <w:rFonts w:ascii="Times New Roman" w:hAnsi="Times New Roman"/>
                      <w:szCs w:val="22"/>
                    </w:rPr>
                    <w:t>≤</w:t>
                  </w:r>
                  <w:r>
                    <w:rPr>
                      <w:rFonts w:hint="eastAsia"/>
                      <w:szCs w:val="22"/>
                      <w:lang w:val="en-US" w:eastAsia="zh-CN"/>
                    </w:rPr>
                    <w:t>1</w:t>
                  </w:r>
                  <w:r>
                    <w:rPr>
                      <w:rFonts w:ascii="Times New Roman" w:hAnsi="Times New Roman"/>
                      <w:szCs w:val="22"/>
                    </w:rPr>
                    <w:t>00</w:t>
                  </w:r>
                </w:p>
              </w:tc>
              <w:tc>
                <w:tcPr>
                  <w:tcW w:w="2318" w:type="dxa"/>
                  <w:tcBorders>
                    <w:left w:val="single" w:color="auto" w:sz="4" w:space="0"/>
                  </w:tcBorders>
                  <w:noWrap w:val="0"/>
                  <w:vAlign w:val="center"/>
                </w:tcPr>
                <w:p>
                  <w:pPr>
                    <w:snapToGrid w:val="0"/>
                    <w:spacing w:line="320" w:lineRule="exact"/>
                    <w:jc w:val="center"/>
                    <w:rPr>
                      <w:rFonts w:hint="default" w:ascii="Times New Roman" w:hAnsi="Times New Roman"/>
                      <w:szCs w:val="22"/>
                      <w:lang w:val="en-US" w:eastAsia="zh-CN"/>
                    </w:rPr>
                  </w:pPr>
                  <w:r>
                    <w:rPr>
                      <w:rFonts w:hint="eastAsia" w:ascii="Times New Roman" w:hAnsi="Times New Roman"/>
                      <w:szCs w:val="22"/>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2998" w:type="dxa"/>
                  <w:noWrap w:val="0"/>
                  <w:vAlign w:val="center"/>
                </w:tcPr>
                <w:p>
                  <w:pPr>
                    <w:snapToGrid w:val="0"/>
                    <w:spacing w:line="320" w:lineRule="exact"/>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氨氮</w:t>
                  </w:r>
                </w:p>
              </w:tc>
              <w:tc>
                <w:tcPr>
                  <w:tcW w:w="2621" w:type="dxa"/>
                  <w:tcBorders>
                    <w:right w:val="single" w:color="auto" w:sz="4" w:space="0"/>
                  </w:tcBorders>
                  <w:noWrap w:val="0"/>
                  <w:vAlign w:val="center"/>
                </w:tcPr>
                <w:p>
                  <w:pPr>
                    <w:snapToGrid w:val="0"/>
                    <w:spacing w:line="320" w:lineRule="exact"/>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w:t>
                  </w:r>
                </w:p>
              </w:tc>
              <w:tc>
                <w:tcPr>
                  <w:tcW w:w="2318" w:type="dxa"/>
                  <w:tcBorders>
                    <w:left w:val="single" w:color="auto" w:sz="4" w:space="0"/>
                  </w:tcBorders>
                  <w:noWrap w:val="0"/>
                  <w:vAlign w:val="center"/>
                </w:tcPr>
                <w:p>
                  <w:pPr>
                    <w:snapToGrid w:val="0"/>
                    <w:spacing w:line="320" w:lineRule="exact"/>
                    <w:jc w:val="center"/>
                    <w:rPr>
                      <w:rFonts w:hint="default" w:ascii="Times New Roman" w:hAnsi="Times New Roman"/>
                      <w:szCs w:val="22"/>
                      <w:lang w:val="en-US" w:eastAsia="zh-CN"/>
                    </w:rPr>
                  </w:pPr>
                  <w:r>
                    <w:rPr>
                      <w:rFonts w:ascii="Times New Roman" w:hAnsi="Times New Roman"/>
                      <w:szCs w:val="22"/>
                    </w:rPr>
                    <w:t>≤</w:t>
                  </w:r>
                  <w:r>
                    <w:rPr>
                      <w:rFonts w:hint="eastAsia" w:ascii="Times New Roman" w:hAnsi="Times New Roman"/>
                      <w:szCs w:val="22"/>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15" w:hRule="atLeast"/>
                <w:jc w:val="center"/>
              </w:trPr>
              <w:tc>
                <w:tcPr>
                  <w:tcW w:w="2998" w:type="dxa"/>
                  <w:noWrap w:val="0"/>
                  <w:vAlign w:val="center"/>
                </w:tcPr>
                <w:p>
                  <w:pPr>
                    <w:snapToGrid w:val="0"/>
                    <w:spacing w:line="320" w:lineRule="exact"/>
                    <w:jc w:val="center"/>
                    <w:rPr>
                      <w:rFonts w:ascii="Times New Roman" w:hAnsi="Times New Roman"/>
                      <w:szCs w:val="22"/>
                    </w:rPr>
                  </w:pPr>
                  <w:r>
                    <w:rPr>
                      <w:rFonts w:ascii="Times New Roman" w:hAnsi="Times New Roman"/>
                      <w:szCs w:val="22"/>
                    </w:rPr>
                    <w:t>TP</w:t>
                  </w:r>
                </w:p>
              </w:tc>
              <w:tc>
                <w:tcPr>
                  <w:tcW w:w="2621" w:type="dxa"/>
                  <w:tcBorders>
                    <w:right w:val="single" w:color="auto" w:sz="4" w:space="0"/>
                  </w:tcBorders>
                  <w:noWrap w:val="0"/>
                  <w:vAlign w:val="center"/>
                </w:tcPr>
                <w:p>
                  <w:pPr>
                    <w:snapToGrid w:val="0"/>
                    <w:spacing w:line="320" w:lineRule="exact"/>
                    <w:jc w:val="center"/>
                    <w:rPr>
                      <w:rFonts w:hint="default" w:ascii="Times New Roman" w:hAnsi="Times New Roman" w:eastAsia="宋体"/>
                      <w:szCs w:val="22"/>
                      <w:lang w:val="en-US" w:eastAsia="zh-CN"/>
                    </w:rPr>
                  </w:pPr>
                  <w:r>
                    <w:rPr>
                      <w:rFonts w:hint="eastAsia"/>
                      <w:szCs w:val="22"/>
                      <w:lang w:val="en-US" w:eastAsia="zh-CN"/>
                    </w:rPr>
                    <w:t>--</w:t>
                  </w:r>
                </w:p>
              </w:tc>
              <w:tc>
                <w:tcPr>
                  <w:tcW w:w="2318" w:type="dxa"/>
                  <w:tcBorders>
                    <w:left w:val="single" w:color="auto" w:sz="4" w:space="0"/>
                  </w:tcBorders>
                  <w:noWrap w:val="0"/>
                  <w:vAlign w:val="center"/>
                </w:tcPr>
                <w:p>
                  <w:pPr>
                    <w:snapToGrid w:val="0"/>
                    <w:spacing w:line="320" w:lineRule="exact"/>
                    <w:jc w:val="center"/>
                    <w:rPr>
                      <w:rFonts w:hint="eastAsia" w:ascii="Times New Roman" w:hAnsi="Times New Roman"/>
                      <w:szCs w:val="22"/>
                      <w:lang w:eastAsia="zh-CN"/>
                    </w:rPr>
                  </w:pPr>
                  <w:r>
                    <w:rPr>
                      <w:rFonts w:ascii="Times New Roman" w:hAnsi="Times New Roman"/>
                      <w:szCs w:val="22"/>
                    </w:rPr>
                    <w:t>≤</w:t>
                  </w:r>
                  <w:r>
                    <w:rPr>
                      <w:rFonts w:hint="eastAsia" w:ascii="Times New Roman" w:hAnsi="Times New Roman"/>
                      <w:szCs w:val="22"/>
                      <w:lang w:val="en-US" w:eastAsia="zh-CN"/>
                    </w:rPr>
                    <w:t>4</w:t>
                  </w:r>
                  <w:r>
                    <w:rPr>
                      <w:rFonts w:ascii="Times New Roman" w:hAnsi="Times New Roman"/>
                      <w:szCs w:val="22"/>
                    </w:rPr>
                    <w:t>.</w:t>
                  </w:r>
                  <w:r>
                    <w:rPr>
                      <w:rFonts w:hint="eastAsia" w:ascii="Times New Roman" w:hAnsi="Times New Roman"/>
                      <w:szCs w:val="22"/>
                      <w:lang w:val="en-US" w:eastAsia="zh-CN"/>
                    </w:rPr>
                    <w:t>5</w:t>
                  </w:r>
                </w:p>
              </w:tc>
            </w:tr>
          </w:tbl>
          <w:p>
            <w:pPr>
              <w:snapToGrid w:val="0"/>
              <w:spacing w:before="120" w:beforeLines="50" w:line="360" w:lineRule="auto"/>
              <w:ind w:firstLine="482" w:firstLineChars="200"/>
              <w:rPr>
                <w:b/>
                <w:bCs/>
                <w:color w:val="auto"/>
                <w:sz w:val="24"/>
              </w:rPr>
            </w:pPr>
            <w:r>
              <w:rPr>
                <w:rFonts w:hint="eastAsia"/>
                <w:b/>
                <w:bCs/>
                <w:color w:val="auto"/>
                <w:sz w:val="24"/>
                <w:lang w:eastAsia="zh-CN"/>
              </w:rPr>
              <w:t>（三）</w:t>
            </w:r>
            <w:r>
              <w:rPr>
                <w:b/>
                <w:bCs/>
                <w:color w:val="auto"/>
                <w:sz w:val="24"/>
              </w:rPr>
              <w:t>噪声</w:t>
            </w:r>
          </w:p>
          <w:p>
            <w:pPr>
              <w:adjustRightInd w:val="0"/>
              <w:snapToGrid w:val="0"/>
              <w:spacing w:line="360" w:lineRule="auto"/>
              <w:ind w:firstLine="480" w:firstLineChars="200"/>
              <w:rPr>
                <w:color w:val="auto"/>
                <w:sz w:val="24"/>
              </w:rPr>
            </w:pPr>
            <w:r>
              <w:rPr>
                <w:color w:val="auto"/>
                <w:sz w:val="24"/>
              </w:rPr>
              <w:t>项目厂界噪声执行《工业企业厂界噪声排放标准》（GB12348-2008）中3类标准。具体标准值如下表所示。</w:t>
            </w:r>
          </w:p>
          <w:p>
            <w:pPr>
              <w:adjustRightInd w:val="0"/>
              <w:snapToGrid w:val="0"/>
              <w:spacing w:line="360" w:lineRule="auto"/>
              <w:jc w:val="center"/>
              <w:rPr>
                <w:bCs/>
                <w:color w:val="auto"/>
                <w:sz w:val="24"/>
              </w:rPr>
            </w:pPr>
            <w:r>
              <w:rPr>
                <w:b/>
                <w:color w:val="auto"/>
                <w:sz w:val="24"/>
              </w:rPr>
              <w:t>表3-</w:t>
            </w:r>
            <w:r>
              <w:rPr>
                <w:rFonts w:hint="eastAsia"/>
                <w:b/>
                <w:color w:val="auto"/>
                <w:sz w:val="24"/>
                <w:lang w:val="en-US" w:eastAsia="zh-CN"/>
              </w:rPr>
              <w:t>7</w:t>
            </w:r>
            <w:r>
              <w:rPr>
                <w:b/>
                <w:color w:val="auto"/>
                <w:sz w:val="24"/>
              </w:rPr>
              <w:t xml:space="preserve"> 工业企业厂界噪声排放标准     单位：dB(A)</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2433"/>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noWrap w:val="0"/>
                  <w:vAlign w:val="center"/>
                </w:tcPr>
                <w:p>
                  <w:pPr>
                    <w:adjustRightInd w:val="0"/>
                    <w:snapToGrid w:val="0"/>
                    <w:jc w:val="center"/>
                    <w:rPr>
                      <w:b/>
                      <w:bCs/>
                      <w:color w:val="auto"/>
                      <w:szCs w:val="21"/>
                    </w:rPr>
                  </w:pPr>
                  <w:r>
                    <w:rPr>
                      <w:b/>
                      <w:bCs/>
                      <w:color w:val="auto"/>
                      <w:szCs w:val="21"/>
                    </w:rPr>
                    <w:t>类别</w:t>
                  </w:r>
                </w:p>
              </w:tc>
              <w:tc>
                <w:tcPr>
                  <w:tcW w:w="2584" w:type="dxa"/>
                  <w:noWrap w:val="0"/>
                  <w:vAlign w:val="center"/>
                </w:tcPr>
                <w:p>
                  <w:pPr>
                    <w:adjustRightInd w:val="0"/>
                    <w:snapToGrid w:val="0"/>
                    <w:jc w:val="center"/>
                    <w:rPr>
                      <w:b/>
                      <w:bCs/>
                      <w:color w:val="auto"/>
                      <w:szCs w:val="21"/>
                    </w:rPr>
                  </w:pPr>
                  <w:r>
                    <w:rPr>
                      <w:b/>
                      <w:bCs/>
                      <w:color w:val="auto"/>
                      <w:szCs w:val="21"/>
                    </w:rPr>
                    <w:t>昼间</w:t>
                  </w:r>
                </w:p>
              </w:tc>
              <w:tc>
                <w:tcPr>
                  <w:tcW w:w="3102" w:type="dxa"/>
                  <w:noWrap w:val="0"/>
                  <w:vAlign w:val="center"/>
                </w:tcPr>
                <w:p>
                  <w:pPr>
                    <w:adjustRightInd w:val="0"/>
                    <w:snapToGrid w:val="0"/>
                    <w:jc w:val="center"/>
                    <w:rPr>
                      <w:b/>
                      <w:bCs/>
                      <w:color w:val="auto"/>
                      <w:szCs w:val="21"/>
                    </w:rPr>
                  </w:pPr>
                  <w:r>
                    <w:rPr>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noWrap w:val="0"/>
                  <w:vAlign w:val="center"/>
                </w:tcPr>
                <w:p>
                  <w:pPr>
                    <w:adjustRightInd w:val="0"/>
                    <w:snapToGrid w:val="0"/>
                    <w:jc w:val="center"/>
                    <w:rPr>
                      <w:bCs/>
                      <w:color w:val="auto"/>
                      <w:szCs w:val="21"/>
                    </w:rPr>
                  </w:pPr>
                  <w:r>
                    <w:rPr>
                      <w:bCs/>
                      <w:color w:val="auto"/>
                      <w:szCs w:val="21"/>
                    </w:rPr>
                    <w:t>3类</w:t>
                  </w:r>
                </w:p>
              </w:tc>
              <w:tc>
                <w:tcPr>
                  <w:tcW w:w="2584" w:type="dxa"/>
                  <w:noWrap w:val="0"/>
                  <w:vAlign w:val="center"/>
                </w:tcPr>
                <w:p>
                  <w:pPr>
                    <w:adjustRightInd w:val="0"/>
                    <w:snapToGrid w:val="0"/>
                    <w:jc w:val="center"/>
                    <w:rPr>
                      <w:bCs/>
                      <w:color w:val="auto"/>
                      <w:szCs w:val="21"/>
                    </w:rPr>
                  </w:pPr>
                  <w:r>
                    <w:rPr>
                      <w:bCs/>
                      <w:color w:val="auto"/>
                      <w:szCs w:val="21"/>
                    </w:rPr>
                    <w:t>65</w:t>
                  </w:r>
                </w:p>
              </w:tc>
              <w:tc>
                <w:tcPr>
                  <w:tcW w:w="3102" w:type="dxa"/>
                  <w:noWrap w:val="0"/>
                  <w:vAlign w:val="center"/>
                </w:tcPr>
                <w:p>
                  <w:pPr>
                    <w:adjustRightInd w:val="0"/>
                    <w:snapToGrid w:val="0"/>
                    <w:jc w:val="center"/>
                    <w:rPr>
                      <w:bCs/>
                      <w:color w:val="auto"/>
                      <w:szCs w:val="21"/>
                    </w:rPr>
                  </w:pPr>
                  <w:r>
                    <w:rPr>
                      <w:bCs/>
                      <w:color w:val="auto"/>
                      <w:szCs w:val="21"/>
                    </w:rPr>
                    <w:t>55</w:t>
                  </w:r>
                </w:p>
              </w:tc>
            </w:tr>
          </w:tbl>
          <w:p>
            <w:pPr>
              <w:snapToGrid w:val="0"/>
              <w:spacing w:before="120" w:beforeLines="50" w:line="360" w:lineRule="auto"/>
              <w:ind w:firstLine="482" w:firstLineChars="200"/>
              <w:rPr>
                <w:b/>
                <w:bCs/>
                <w:color w:val="auto"/>
                <w:sz w:val="24"/>
              </w:rPr>
            </w:pPr>
            <w:r>
              <w:rPr>
                <w:rFonts w:hint="eastAsia"/>
                <w:b/>
                <w:bCs/>
                <w:color w:val="auto"/>
                <w:sz w:val="24"/>
                <w:lang w:eastAsia="zh-CN"/>
              </w:rPr>
              <w:t>（四）</w:t>
            </w:r>
            <w:r>
              <w:rPr>
                <w:b/>
                <w:bCs/>
                <w:color w:val="auto"/>
                <w:sz w:val="24"/>
              </w:rPr>
              <w:t>固体废物</w:t>
            </w:r>
          </w:p>
          <w:p>
            <w:pPr>
              <w:adjustRightInd w:val="0"/>
              <w:snapToGrid w:val="0"/>
              <w:spacing w:line="360" w:lineRule="auto"/>
              <w:ind w:firstLine="480" w:firstLineChars="200"/>
              <w:rPr>
                <w:color w:val="auto"/>
                <w:sz w:val="24"/>
              </w:rPr>
            </w:pPr>
            <w:r>
              <w:rPr>
                <w:color w:val="auto"/>
                <w:sz w:val="24"/>
              </w:rPr>
              <w:t>一般工业固体废物贮存</w:t>
            </w:r>
            <w:r>
              <w:rPr>
                <w:rFonts w:hint="eastAsia"/>
                <w:color w:val="auto"/>
                <w:sz w:val="24"/>
                <w:lang w:eastAsia="zh-CN"/>
              </w:rPr>
              <w:t>、处置</w:t>
            </w:r>
            <w:r>
              <w:rPr>
                <w:color w:val="auto"/>
                <w:sz w:val="24"/>
              </w:rPr>
              <w:t>执行《一般工业固体废物贮存</w:t>
            </w:r>
            <w:r>
              <w:rPr>
                <w:rFonts w:hint="eastAsia"/>
                <w:color w:val="auto"/>
                <w:sz w:val="24"/>
                <w:lang w:eastAsia="zh-CN"/>
              </w:rPr>
              <w:t>和填埋</w:t>
            </w:r>
            <w:r>
              <w:rPr>
                <w:color w:val="auto"/>
                <w:sz w:val="24"/>
              </w:rPr>
              <w:t>污染控制标准》（GB18599-20</w:t>
            </w:r>
            <w:r>
              <w:rPr>
                <w:rFonts w:hint="eastAsia"/>
                <w:color w:val="auto"/>
                <w:sz w:val="24"/>
                <w:lang w:val="en-US" w:eastAsia="zh-CN"/>
              </w:rPr>
              <w:t>20</w:t>
            </w:r>
            <w:r>
              <w:rPr>
                <w:color w:val="auto"/>
                <w:sz w:val="24"/>
              </w:rPr>
              <w:t>）。</w:t>
            </w:r>
          </w:p>
          <w:p>
            <w:pPr>
              <w:adjustRightInd w:val="0"/>
              <w:snapToGrid w:val="0"/>
              <w:spacing w:line="360" w:lineRule="auto"/>
              <w:ind w:firstLine="480" w:firstLineChars="200"/>
              <w:rPr>
                <w:color w:val="auto"/>
                <w:sz w:val="24"/>
              </w:rPr>
            </w:pPr>
            <w:r>
              <w:rPr>
                <w:color w:val="auto"/>
                <w:sz w:val="24"/>
              </w:rPr>
              <w:t>危险废物的贮存</w:t>
            </w:r>
            <w:r>
              <w:rPr>
                <w:rFonts w:hint="eastAsia"/>
                <w:color w:val="auto"/>
                <w:sz w:val="24"/>
                <w:lang w:eastAsia="zh-CN"/>
              </w:rPr>
              <w:t>、管理、转运</w:t>
            </w:r>
            <w:r>
              <w:rPr>
                <w:color w:val="auto"/>
                <w:sz w:val="24"/>
              </w:rPr>
              <w:t>执行《危险废物贮存污染控制标准》（GB18597-2001）及</w:t>
            </w:r>
            <w:r>
              <w:rPr>
                <w:rFonts w:hint="eastAsia"/>
                <w:color w:val="auto"/>
                <w:sz w:val="24"/>
                <w:lang w:eastAsia="zh-CN"/>
              </w:rPr>
              <w:t>环节保护部公告</w:t>
            </w:r>
            <w:r>
              <w:rPr>
                <w:color w:val="auto"/>
                <w:sz w:val="24"/>
              </w:rPr>
              <w:t>2013年</w:t>
            </w:r>
            <w:r>
              <w:rPr>
                <w:rFonts w:hint="eastAsia"/>
                <w:color w:val="auto"/>
                <w:sz w:val="24"/>
                <w:lang w:eastAsia="zh-CN"/>
              </w:rPr>
              <w:t>第</w:t>
            </w:r>
            <w:r>
              <w:rPr>
                <w:rFonts w:hint="eastAsia"/>
                <w:color w:val="auto"/>
                <w:sz w:val="24"/>
                <w:lang w:val="en-US" w:eastAsia="zh-CN"/>
              </w:rPr>
              <w:t>36号规定的</w:t>
            </w:r>
            <w:r>
              <w:rPr>
                <w:color w:val="auto"/>
                <w:sz w:val="24"/>
              </w:rPr>
              <w:t>修改单中</w:t>
            </w:r>
            <w:r>
              <w:rPr>
                <w:rFonts w:hint="eastAsia"/>
                <w:color w:val="auto"/>
                <w:sz w:val="24"/>
                <w:lang w:eastAsia="zh-CN"/>
              </w:rPr>
              <w:t>的有</w:t>
            </w:r>
            <w:r>
              <w:rPr>
                <w:color w:val="auto"/>
                <w:sz w:val="24"/>
              </w:rPr>
              <w:t>关规定。</w:t>
            </w: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color w:val="auto"/>
                <w:kern w:val="0"/>
                <w:sz w:val="24"/>
              </w:rPr>
            </w:pPr>
            <w:r>
              <w:rPr>
                <w:color w:val="auto"/>
                <w:kern w:val="0"/>
                <w:sz w:val="24"/>
              </w:rPr>
              <w:t>总量</w:t>
            </w: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 w:val="24"/>
              </w:rPr>
            </w:pPr>
            <w:r>
              <w:rPr>
                <w:color w:val="auto"/>
                <w:kern w:val="0"/>
                <w:sz w:val="24"/>
              </w:rPr>
              <w:t>指标</w:t>
            </w:r>
          </w:p>
        </w:tc>
        <w:tc>
          <w:tcPr>
            <w:tcW w:w="8190" w:type="dxa"/>
            <w:noWrap w:val="0"/>
            <w:vAlign w:val="center"/>
          </w:tcPr>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r>
              <w:rPr>
                <w:color w:val="auto"/>
                <w:sz w:val="24"/>
              </w:rPr>
              <w:t>本项目</w:t>
            </w:r>
            <w:r>
              <w:rPr>
                <w:rFonts w:hint="eastAsia"/>
                <w:color w:val="auto"/>
                <w:sz w:val="24"/>
                <w:lang w:eastAsia="zh-CN"/>
              </w:rPr>
              <w:t>生活</w:t>
            </w:r>
            <w:r>
              <w:rPr>
                <w:color w:val="auto"/>
                <w:sz w:val="24"/>
              </w:rPr>
              <w:t>废水纳入</w:t>
            </w:r>
            <w:r>
              <w:rPr>
                <w:rFonts w:hint="eastAsia"/>
                <w:color w:val="auto"/>
                <w:sz w:val="24"/>
                <w:lang w:eastAsia="zh-CN"/>
              </w:rPr>
              <w:t>舒城经济开发区</w:t>
            </w:r>
            <w:r>
              <w:rPr>
                <w:color w:val="auto"/>
                <w:sz w:val="24"/>
              </w:rPr>
              <w:t>污水处理厂，不申请总量。</w:t>
            </w:r>
          </w:p>
          <w:p>
            <w:pPr>
              <w:adjustRightInd w:val="0"/>
              <w:snapToGrid w:val="0"/>
              <w:spacing w:line="360" w:lineRule="auto"/>
              <w:ind w:firstLine="480" w:firstLineChars="200"/>
              <w:rPr>
                <w:color w:val="auto"/>
                <w:sz w:val="24"/>
              </w:rPr>
            </w:pPr>
            <w:r>
              <w:rPr>
                <w:color w:val="auto"/>
                <w:sz w:val="24"/>
              </w:rPr>
              <w:t>项目大气总量申请为：VOCs （以非甲烷总</w:t>
            </w:r>
            <w:r>
              <w:rPr>
                <w:rFonts w:ascii="Times New Roman" w:hAnsi="Times New Roman" w:cs="Times New Roman"/>
                <w:color w:val="auto"/>
                <w:sz w:val="24"/>
              </w:rPr>
              <w:t>烃计）</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0.076</w:t>
            </w:r>
            <w:r>
              <w:rPr>
                <w:rFonts w:ascii="Times New Roman" w:hAnsi="Times New Roman" w:cs="Times New Roman"/>
                <w:color w:val="auto"/>
                <w:sz w:val="24"/>
              </w:rPr>
              <w:t>t/a。在舒</w:t>
            </w:r>
            <w:r>
              <w:rPr>
                <w:color w:val="auto"/>
                <w:sz w:val="24"/>
              </w:rPr>
              <w:t>城县内平衡。</w:t>
            </w: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pStyle w:val="2"/>
              <w:rPr>
                <w:color w:val="auto"/>
                <w:sz w:val="24"/>
              </w:rPr>
            </w:pPr>
          </w:p>
          <w:p>
            <w:pPr>
              <w:rPr>
                <w:color w:val="auto"/>
                <w:sz w:val="24"/>
              </w:rPr>
            </w:pPr>
          </w:p>
          <w:p>
            <w:pPr>
              <w:adjustRightInd w:val="0"/>
              <w:snapToGrid w:val="0"/>
              <w:rPr>
                <w:color w:val="auto"/>
                <w:kern w:val="0"/>
                <w:sz w:val="24"/>
              </w:rPr>
            </w:pPr>
          </w:p>
        </w:tc>
      </w:tr>
    </w:tbl>
    <w:p>
      <w:pPr>
        <w:pStyle w:val="1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746" w:type="dxa"/>
            <w:noWrap w:val="0"/>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color w:val="auto"/>
                <w:kern w:val="2"/>
                <w:szCs w:val="24"/>
                <w:lang w:val="en-US" w:eastAsia="zh-CN"/>
              </w:rPr>
            </w:pPr>
            <w:r>
              <w:rPr>
                <w:rFonts w:ascii="Times New Roman" w:hAnsi="Times New Roman"/>
                <w:color w:val="auto"/>
                <w:kern w:val="2"/>
                <w:szCs w:val="24"/>
                <w:lang w:val="en-US" w:eastAsia="zh-CN"/>
              </w:rPr>
              <w:t>施工</w:t>
            </w:r>
          </w:p>
          <w:p>
            <w:pPr>
              <w:pStyle w:val="17"/>
              <w:adjustRightInd w:val="0"/>
              <w:snapToGrid w:val="0"/>
              <w:spacing w:before="0" w:beforeAutospacing="0" w:after="0" w:afterAutospacing="0"/>
              <w:jc w:val="center"/>
              <w:rPr>
                <w:rFonts w:ascii="Times New Roman" w:hAnsi="Times New Roman"/>
                <w:color w:val="auto"/>
                <w:kern w:val="2"/>
                <w:szCs w:val="24"/>
                <w:lang w:val="en-US" w:eastAsia="zh-CN"/>
              </w:rPr>
            </w:pPr>
            <w:r>
              <w:rPr>
                <w:rFonts w:ascii="Times New Roman" w:hAnsi="Times New Roman"/>
                <w:color w:val="auto"/>
                <w:kern w:val="2"/>
                <w:szCs w:val="24"/>
                <w:lang w:val="en-US" w:eastAsia="zh-CN"/>
              </w:rPr>
              <w:t>期环</w:t>
            </w:r>
          </w:p>
          <w:p>
            <w:pPr>
              <w:pStyle w:val="17"/>
              <w:adjustRightInd w:val="0"/>
              <w:snapToGrid w:val="0"/>
              <w:spacing w:before="0" w:beforeAutospacing="0" w:after="0" w:afterAutospacing="0"/>
              <w:jc w:val="center"/>
              <w:rPr>
                <w:rFonts w:ascii="Times New Roman" w:hAnsi="Times New Roman"/>
                <w:color w:val="auto"/>
                <w:kern w:val="2"/>
                <w:szCs w:val="24"/>
                <w:lang w:val="en-US" w:eastAsia="zh-CN"/>
              </w:rPr>
            </w:pPr>
            <w:r>
              <w:rPr>
                <w:rFonts w:ascii="Times New Roman" w:hAnsi="Times New Roman"/>
                <w:color w:val="auto"/>
                <w:kern w:val="2"/>
                <w:szCs w:val="24"/>
                <w:lang w:val="en-US" w:eastAsia="zh-CN"/>
              </w:rPr>
              <w:t>境保</w:t>
            </w:r>
          </w:p>
          <w:p>
            <w:pPr>
              <w:pStyle w:val="17"/>
              <w:adjustRightInd w:val="0"/>
              <w:snapToGrid w:val="0"/>
              <w:spacing w:before="0" w:beforeAutospacing="0" w:after="0" w:afterAutospacing="0"/>
              <w:jc w:val="center"/>
              <w:rPr>
                <w:rFonts w:ascii="Times New Roman" w:hAnsi="Times New Roman"/>
                <w:color w:val="auto"/>
                <w:kern w:val="2"/>
                <w:szCs w:val="24"/>
                <w:lang w:val="en-US" w:eastAsia="zh-CN"/>
              </w:rPr>
            </w:pPr>
            <w:r>
              <w:rPr>
                <w:rFonts w:ascii="Times New Roman" w:hAnsi="Times New Roman"/>
                <w:color w:val="auto"/>
                <w:kern w:val="2"/>
                <w:szCs w:val="24"/>
                <w:lang w:val="en-US" w:eastAsia="zh-CN"/>
              </w:rPr>
              <w:t>护措</w:t>
            </w:r>
          </w:p>
          <w:p>
            <w:pPr>
              <w:pStyle w:val="17"/>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color w:val="auto"/>
                <w:kern w:val="2"/>
                <w:szCs w:val="24"/>
                <w:lang w:val="en-US" w:eastAsia="zh-CN"/>
              </w:rPr>
              <w:t>施</w:t>
            </w:r>
          </w:p>
        </w:tc>
        <w:tc>
          <w:tcPr>
            <w:tcW w:w="8162" w:type="dxa"/>
            <w:noWrap w:val="0"/>
            <w:vAlign w:val="center"/>
          </w:tcPr>
          <w:p>
            <w:pPr>
              <w:adjustRightInd w:val="0"/>
              <w:snapToGrid w:val="0"/>
              <w:spacing w:line="360" w:lineRule="auto"/>
              <w:ind w:firstLine="482" w:firstLineChars="200"/>
              <w:rPr>
                <w:rFonts w:ascii="Times New Roman" w:hAnsi="Times New Roman"/>
                <w:b/>
                <w:sz w:val="24"/>
                <w:szCs w:val="28"/>
              </w:rPr>
            </w:pPr>
            <w:r>
              <w:rPr>
                <w:rFonts w:hint="eastAsia" w:ascii="Times New Roman" w:hAnsi="Times New Roman"/>
                <w:b/>
                <w:sz w:val="24"/>
                <w:szCs w:val="28"/>
                <w:lang w:eastAsia="zh-CN"/>
              </w:rPr>
              <w:t>（一）</w:t>
            </w:r>
            <w:r>
              <w:rPr>
                <w:rFonts w:ascii="Times New Roman" w:hAnsi="Times New Roman"/>
                <w:b/>
                <w:sz w:val="24"/>
                <w:szCs w:val="28"/>
              </w:rPr>
              <w:t>施工期扬尘环境影响分析</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kern w:val="0"/>
                <w:sz w:val="24"/>
              </w:rPr>
              <w:t>施工期的大气环境影</w:t>
            </w:r>
            <w:r>
              <w:rPr>
                <w:rFonts w:hint="eastAsia" w:ascii="Times New Roman" w:hAnsi="Times New Roman"/>
                <w:color w:val="auto"/>
                <w:kern w:val="0"/>
                <w:sz w:val="24"/>
              </w:rPr>
              <w:t>响主要为扬尘。可分为风力起尘和动力起尘，若不采取措施，扬尘势必对该区域</w:t>
            </w:r>
            <w:r>
              <w:rPr>
                <w:rFonts w:hint="eastAsia" w:ascii="Times New Roman" w:hAnsi="Times New Roman"/>
                <w:kern w:val="0"/>
                <w:sz w:val="24"/>
              </w:rPr>
              <w:t>环境产生一定影响，因此该工程施工期应特别注意防尘的问题，制定必要的抑尘措施，以便最大限度地减少其对周围大气环境的影响。</w:t>
            </w:r>
            <w:r>
              <w:rPr>
                <w:rFonts w:ascii="Times New Roman" w:hAnsi="Times New Roman"/>
                <w:bCs/>
                <w:spacing w:val="0"/>
                <w:sz w:val="24"/>
              </w:rPr>
              <w:t>建设单位应严格采取相应防治措施。针对扬尘采取措施主要有以下几点：</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1</w:t>
            </w:r>
            <w:r>
              <w:rPr>
                <w:rFonts w:hint="eastAsia" w:ascii="Times New Roman" w:hAnsi="Times New Roman"/>
                <w:bCs/>
                <w:spacing w:val="0"/>
                <w:sz w:val="24"/>
                <w:lang w:eastAsia="zh-CN"/>
              </w:rPr>
              <w:t>）</w:t>
            </w:r>
            <w:r>
              <w:rPr>
                <w:rFonts w:ascii="Times New Roman" w:hAnsi="Times New Roman"/>
                <w:bCs/>
                <w:spacing w:val="0"/>
                <w:sz w:val="24"/>
              </w:rPr>
              <w:t>进行文明施工，洒水作业。在沙、渣土等易产生扬尘的材料临时堆放地必须设置围栏或采取遮盖、洒水等防尘措施。</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2</w:t>
            </w:r>
            <w:r>
              <w:rPr>
                <w:rFonts w:hint="eastAsia" w:ascii="Times New Roman" w:hAnsi="Times New Roman"/>
                <w:bCs/>
                <w:spacing w:val="0"/>
                <w:sz w:val="24"/>
                <w:lang w:eastAsia="zh-CN"/>
              </w:rPr>
              <w:t>）</w:t>
            </w:r>
            <w:r>
              <w:rPr>
                <w:rFonts w:ascii="Times New Roman" w:hAnsi="Times New Roman"/>
                <w:bCs/>
                <w:spacing w:val="0"/>
                <w:sz w:val="24"/>
              </w:rPr>
              <w:t>对运输沙、石、水泥、土方、垃圾等易产生扬尘物质车辆进行覆盖，禁止冒顶运输，避免尘土沿途散落，及时清扫建筑工地出入口和沿途散落的尘土，并进行适当的洒水作业。严格按照城建相关的运输操作规范作业，控制车速、采取措施避免车辆带泥现象；避免在行车高峰时运输；按规定路线运输。施工工地运输车辆驶出工地前必须作除泥除尘处理，严禁将泥土尘土带出工地。</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3</w:t>
            </w:r>
            <w:r>
              <w:rPr>
                <w:rFonts w:hint="eastAsia" w:ascii="Times New Roman" w:hAnsi="Times New Roman"/>
                <w:bCs/>
                <w:spacing w:val="0"/>
                <w:sz w:val="24"/>
                <w:lang w:eastAsia="zh-CN"/>
              </w:rPr>
              <w:t>）</w:t>
            </w:r>
            <w:r>
              <w:rPr>
                <w:rFonts w:ascii="Times New Roman" w:hAnsi="Times New Roman"/>
                <w:bCs/>
                <w:spacing w:val="0"/>
                <w:sz w:val="24"/>
              </w:rPr>
              <w:t>风速四级以上，施工单位应暂时停止土方开挖，并对施工现场中堆放的材料进行篷布覆盖，防止扬尘飞散。</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4</w:t>
            </w:r>
            <w:r>
              <w:rPr>
                <w:rFonts w:hint="eastAsia" w:ascii="Times New Roman" w:hAnsi="Times New Roman"/>
                <w:bCs/>
                <w:spacing w:val="0"/>
                <w:sz w:val="24"/>
                <w:lang w:eastAsia="zh-CN"/>
              </w:rPr>
              <w:t>）</w:t>
            </w:r>
            <w:r>
              <w:rPr>
                <w:rFonts w:ascii="Times New Roman" w:hAnsi="Times New Roman"/>
                <w:bCs/>
                <w:spacing w:val="0"/>
                <w:sz w:val="24"/>
              </w:rPr>
              <w:t>施工采取封闭隔离措施，施工建筑拉上密实的防护网及采取双层防护措施（采用专用施工篷布），双层防护布的高度应始终高于施工建筑高度，防止扬尘飞洒，施工场地周围用隔板与外界隔离。</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5</w:t>
            </w:r>
            <w:r>
              <w:rPr>
                <w:rFonts w:hint="eastAsia" w:ascii="Times New Roman" w:hAnsi="Times New Roman"/>
                <w:bCs/>
                <w:spacing w:val="0"/>
                <w:sz w:val="24"/>
                <w:lang w:eastAsia="zh-CN"/>
              </w:rPr>
              <w:t>）</w:t>
            </w:r>
            <w:r>
              <w:rPr>
                <w:rFonts w:hint="eastAsia" w:ascii="Times New Roman" w:hAnsi="Times New Roman"/>
                <w:bCs/>
                <w:spacing w:val="0"/>
                <w:sz w:val="24"/>
              </w:rPr>
              <w:t>建议</w:t>
            </w:r>
            <w:r>
              <w:rPr>
                <w:rFonts w:ascii="Times New Roman" w:hAnsi="Times New Roman"/>
                <w:bCs/>
                <w:spacing w:val="0"/>
                <w:sz w:val="24"/>
              </w:rPr>
              <w:t>购买商品混凝土作建筑材料，避免现场搅拌产生污染。</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ascii="Times New Roman" w:hAnsi="Times New Roman"/>
                <w:bCs/>
                <w:spacing w:val="0"/>
                <w:sz w:val="24"/>
              </w:rPr>
              <w:t>6）在施工场地上设置专人负责建筑垃圾、建筑材料的处置、清运和堆放，堆放场地加盖蓬布或洒水，防止二次扬尘。</w:t>
            </w:r>
          </w:p>
          <w:p>
            <w:pPr>
              <w:adjustRightInd w:val="0"/>
              <w:snapToGrid w:val="0"/>
              <w:spacing w:line="360" w:lineRule="auto"/>
              <w:ind w:firstLine="480" w:firstLineChars="200"/>
              <w:rPr>
                <w:rFonts w:ascii="Times New Roman" w:hAnsi="Times New Roman"/>
                <w:bCs/>
                <w:spacing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7</w:t>
            </w:r>
            <w:r>
              <w:rPr>
                <w:rFonts w:hint="eastAsia" w:ascii="Times New Roman" w:hAnsi="Times New Roman"/>
                <w:bCs/>
                <w:spacing w:val="0"/>
                <w:sz w:val="24"/>
                <w:lang w:eastAsia="zh-CN"/>
              </w:rPr>
              <w:t>）</w:t>
            </w:r>
            <w:r>
              <w:rPr>
                <w:rFonts w:ascii="Times New Roman" w:hAnsi="Times New Roman"/>
                <w:bCs/>
                <w:spacing w:val="0"/>
                <w:sz w:val="24"/>
              </w:rPr>
              <w:t>对建筑垃圾及弃土应及时处理、清运、以减少占地，防止扬尘污染，改善施工场地的环境。</w:t>
            </w:r>
          </w:p>
          <w:p>
            <w:pPr>
              <w:adjustRightInd w:val="0"/>
              <w:snapToGrid w:val="0"/>
              <w:spacing w:line="360" w:lineRule="auto"/>
              <w:ind w:firstLine="480" w:firstLineChars="200"/>
              <w:rPr>
                <w:rFonts w:hint="eastAsia" w:ascii="Times New Roman" w:hAnsi="Times New Roman"/>
                <w:kern w:val="0"/>
                <w:sz w:val="24"/>
              </w:rPr>
            </w:pPr>
            <w:r>
              <w:rPr>
                <w:rFonts w:hint="eastAsia" w:ascii="Times New Roman" w:hAnsi="Times New Roman"/>
                <w:bCs/>
                <w:spacing w:val="0"/>
                <w:sz w:val="24"/>
                <w:lang w:eastAsia="zh-CN"/>
              </w:rPr>
              <w:t>（</w:t>
            </w:r>
            <w:r>
              <w:rPr>
                <w:rFonts w:hint="eastAsia" w:ascii="Times New Roman" w:hAnsi="Times New Roman"/>
                <w:bCs/>
                <w:spacing w:val="0"/>
                <w:sz w:val="24"/>
                <w:lang w:val="en-US" w:eastAsia="zh-CN"/>
              </w:rPr>
              <w:t>8</w:t>
            </w:r>
            <w:r>
              <w:rPr>
                <w:rFonts w:hint="eastAsia" w:ascii="Times New Roman" w:hAnsi="Times New Roman"/>
                <w:bCs/>
                <w:spacing w:val="0"/>
                <w:sz w:val="24"/>
                <w:lang w:eastAsia="zh-CN"/>
              </w:rPr>
              <w:t>）</w:t>
            </w:r>
            <w:r>
              <w:rPr>
                <w:rFonts w:ascii="Times New Roman" w:hAnsi="Times New Roman"/>
                <w:bCs/>
                <w:spacing w:val="0"/>
                <w:sz w:val="24"/>
              </w:rPr>
              <w:t>加强对施工人员的环保教育，提高全体施工人员的环保意识，坚持文明施工、科学施工，减少施工期的大气污染。</w:t>
            </w:r>
          </w:p>
          <w:p>
            <w:pPr>
              <w:pStyle w:val="3"/>
              <w:keepNext w:val="0"/>
              <w:keepLines w:val="0"/>
              <w:pageBreakBefore w:val="0"/>
              <w:widowControl w:val="0"/>
              <w:kinsoku/>
              <w:wordWrap/>
              <w:overflowPunct/>
              <w:topLinePunct w:val="0"/>
              <w:autoSpaceDE/>
              <w:autoSpaceDN/>
              <w:bidi w:val="0"/>
              <w:adjustRightInd w:val="0"/>
              <w:snapToGrid/>
              <w:spacing w:before="0" w:after="0" w:line="360" w:lineRule="auto"/>
              <w:textAlignment w:val="auto"/>
              <w:rPr>
                <w:rFonts w:ascii="Times New Roman" w:hAnsi="Times New Roman"/>
                <w:b/>
                <w:lang w:val="en-US" w:eastAsia="zh-CN"/>
              </w:rPr>
            </w:pPr>
            <w:r>
              <w:rPr>
                <w:rFonts w:hint="eastAsia" w:ascii="Times New Roman" w:hAnsi="Times New Roman"/>
                <w:b/>
                <w:lang w:val="en-US" w:eastAsia="zh-CN"/>
              </w:rPr>
              <w:t>（二）</w:t>
            </w:r>
            <w:r>
              <w:rPr>
                <w:rFonts w:ascii="Times New Roman" w:hAnsi="Times New Roman"/>
                <w:b/>
                <w:lang w:val="en-US" w:eastAsia="zh-CN"/>
              </w:rPr>
              <w:t>施工期废水环境影响分析</w:t>
            </w:r>
          </w:p>
          <w:p>
            <w:pPr>
              <w:adjustRightInd w:val="0"/>
              <w:snapToGrid w:val="0"/>
              <w:spacing w:line="360" w:lineRule="auto"/>
              <w:ind w:firstLine="480" w:firstLineChars="200"/>
              <w:rPr>
                <w:rFonts w:ascii="Times New Roman" w:hAnsi="Times New Roman"/>
                <w:sz w:val="24"/>
              </w:rPr>
            </w:pPr>
            <w:r>
              <w:rPr>
                <w:rFonts w:ascii="Times New Roman" w:hAnsi="Times New Roman"/>
                <w:sz w:val="24"/>
                <w:szCs w:val="28"/>
              </w:rPr>
              <w:t>施工期废水来源主要分为两部分：一是工程建筑施工产生的生产废水，主要来源于混凝土搅拌系统砂石材料和施工机械的冲洗废水，主要含泥砂，并带有少量的油污，悬浮物浓度较高，经沉淀和除渣后循环使用，</w:t>
            </w:r>
            <w:r>
              <w:rPr>
                <w:rFonts w:ascii="Times New Roman" w:hAnsi="Times New Roman"/>
                <w:bCs/>
                <w:sz w:val="24"/>
                <w:szCs w:val="28"/>
              </w:rPr>
              <w:t>不外排。</w:t>
            </w:r>
            <w:r>
              <w:rPr>
                <w:rFonts w:ascii="Times New Roman" w:hAnsi="Times New Roman"/>
                <w:sz w:val="24"/>
                <w:szCs w:val="28"/>
              </w:rPr>
              <w:t>二是施工人员产生的生活污水，</w:t>
            </w:r>
            <w:r>
              <w:rPr>
                <w:rFonts w:hint="eastAsia" w:ascii="Times New Roman" w:hAnsi="Times New Roman"/>
                <w:sz w:val="24"/>
              </w:rPr>
              <w:t>工地设置旱厕，清掏用于周边农肥</w:t>
            </w:r>
            <w:r>
              <w:rPr>
                <w:rFonts w:ascii="Times New Roman" w:hAnsi="Times New Roman"/>
                <w:sz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通过采取相应污染防治措施后，施工期不会对水环境产生明显影响。</w:t>
            </w:r>
          </w:p>
          <w:p>
            <w:pPr>
              <w:adjustRightInd w:val="0"/>
              <w:snapToGrid w:val="0"/>
              <w:spacing w:line="360" w:lineRule="auto"/>
              <w:ind w:firstLine="482" w:firstLineChars="200"/>
              <w:rPr>
                <w:rFonts w:ascii="Times New Roman" w:hAnsi="Times New Roman"/>
                <w:b/>
                <w:sz w:val="24"/>
                <w:szCs w:val="28"/>
              </w:rPr>
            </w:pPr>
            <w:r>
              <w:rPr>
                <w:rFonts w:hint="eastAsia" w:ascii="Times New Roman" w:hAnsi="Times New Roman"/>
                <w:b/>
                <w:sz w:val="24"/>
                <w:szCs w:val="28"/>
                <w:lang w:eastAsia="zh-CN"/>
              </w:rPr>
              <w:t>（三）</w:t>
            </w:r>
            <w:r>
              <w:rPr>
                <w:rFonts w:ascii="Times New Roman" w:hAnsi="Times New Roman"/>
                <w:b/>
                <w:sz w:val="24"/>
                <w:szCs w:val="28"/>
              </w:rPr>
              <w:t>施工期噪声环境影响分析</w:t>
            </w:r>
          </w:p>
          <w:p>
            <w:pPr>
              <w:adjustRightInd w:val="0"/>
              <w:snapToGrid w:val="0"/>
              <w:spacing w:line="360" w:lineRule="auto"/>
              <w:ind w:firstLine="480" w:firstLineChars="200"/>
              <w:rPr>
                <w:rFonts w:ascii="Times New Roman" w:hAnsi="Times New Roman"/>
                <w:sz w:val="24"/>
                <w:szCs w:val="28"/>
              </w:rPr>
            </w:pPr>
            <w:r>
              <w:rPr>
                <w:rFonts w:ascii="Times New Roman" w:hAnsi="Times New Roman"/>
                <w:sz w:val="24"/>
                <w:szCs w:val="28"/>
              </w:rPr>
              <w:t>施工噪声主要来源于挖掘机、推土机和运输车辆等，其运行时噪声值约在75～90dB（A）之间。根据相关分析计算可知，昼间施工机械噪声将对施工场地周边100m范围内，夜间将对200m范围内产生影响</w:t>
            </w:r>
            <w:r>
              <w:rPr>
                <w:rFonts w:hint="eastAsia" w:ascii="Times New Roman" w:hAnsi="Times New Roman"/>
                <w:sz w:val="24"/>
                <w:szCs w:val="28"/>
              </w:rPr>
              <w:t>。本</w:t>
            </w:r>
            <w:r>
              <w:rPr>
                <w:rFonts w:ascii="Times New Roman" w:hAnsi="Times New Roman"/>
                <w:sz w:val="24"/>
                <w:szCs w:val="28"/>
              </w:rPr>
              <w:t>评价要求施工单位合理安排施工时间，</w:t>
            </w:r>
            <w:r>
              <w:rPr>
                <w:rFonts w:ascii="Times New Roman" w:hAnsi="Times New Roman"/>
                <w:kern w:val="0"/>
                <w:sz w:val="24"/>
                <w:szCs w:val="28"/>
              </w:rPr>
              <w:t>尽量采用低噪声机械，并注意对施工机械定期进行维修保养，使机械设备保持最佳工作状态，使噪声影响降低到最小范围。</w:t>
            </w:r>
          </w:p>
          <w:p>
            <w:pPr>
              <w:adjustRightInd w:val="0"/>
              <w:snapToGrid w:val="0"/>
              <w:spacing w:line="360" w:lineRule="auto"/>
              <w:ind w:firstLine="482" w:firstLineChars="200"/>
              <w:rPr>
                <w:rFonts w:ascii="Times New Roman" w:hAnsi="Times New Roman"/>
                <w:b/>
                <w:bCs/>
                <w:sz w:val="24"/>
              </w:rPr>
            </w:pPr>
            <w:r>
              <w:rPr>
                <w:rFonts w:hint="eastAsia" w:ascii="Times New Roman" w:hAnsi="Times New Roman"/>
                <w:b/>
                <w:bCs/>
                <w:sz w:val="24"/>
                <w:lang w:eastAsia="zh-CN"/>
              </w:rPr>
              <w:t>（四）</w:t>
            </w:r>
            <w:r>
              <w:rPr>
                <w:rFonts w:ascii="Times New Roman" w:hAnsi="Times New Roman"/>
                <w:b/>
                <w:bCs/>
                <w:sz w:val="24"/>
              </w:rPr>
              <w:t>固体废弃物环境影响分析</w:t>
            </w:r>
          </w:p>
          <w:p>
            <w:pPr>
              <w:adjustRightInd w:val="0"/>
              <w:snapToGrid w:val="0"/>
              <w:spacing w:line="360" w:lineRule="auto"/>
              <w:ind w:firstLine="480" w:firstLineChars="200"/>
              <w:rPr>
                <w:rFonts w:hint="eastAsia" w:ascii="Times New Roman" w:hAnsi="Times New Roman"/>
                <w:bCs/>
                <w:sz w:val="24"/>
              </w:rPr>
            </w:pPr>
            <w:r>
              <w:rPr>
                <w:rFonts w:hint="eastAsia" w:ascii="Times New Roman" w:hAnsi="Times New Roman"/>
                <w:bCs/>
                <w:sz w:val="24"/>
              </w:rPr>
              <w:t>（1）建筑垃圾：本项目建筑垃圾包括</w:t>
            </w:r>
            <w:r>
              <w:rPr>
                <w:rFonts w:ascii="Times New Roman" w:hAnsi="Times New Roman"/>
                <w:bCs/>
                <w:sz w:val="24"/>
              </w:rPr>
              <w:t>本项目对施工过程中产生的钢筋、钢板等下角料经分类回收后，外售废品回收站处理</w:t>
            </w:r>
            <w:r>
              <w:rPr>
                <w:rFonts w:hint="eastAsia" w:ascii="Times New Roman" w:hAnsi="Times New Roman"/>
                <w:bCs/>
                <w:sz w:val="24"/>
              </w:rPr>
              <w:t>。</w:t>
            </w:r>
          </w:p>
          <w:p>
            <w:pPr>
              <w:adjustRightInd w:val="0"/>
              <w:snapToGrid w:val="0"/>
              <w:spacing w:line="360" w:lineRule="auto"/>
              <w:ind w:firstLine="480" w:firstLineChars="200"/>
              <w:rPr>
                <w:bCs/>
                <w:color w:val="auto"/>
                <w:spacing w:val="-10"/>
                <w:sz w:val="24"/>
              </w:rPr>
            </w:pPr>
            <w:r>
              <w:rPr>
                <w:rFonts w:hint="eastAsia" w:ascii="Times New Roman" w:hAnsi="Times New Roman"/>
                <w:sz w:val="24"/>
              </w:rPr>
              <w:t>（2）</w:t>
            </w:r>
            <w:r>
              <w:rPr>
                <w:rFonts w:ascii="Times New Roman" w:hAnsi="Times New Roman"/>
                <w:sz w:val="24"/>
              </w:rPr>
              <w:t>生活垃圾：本项目预计施工人员</w:t>
            </w:r>
            <w:r>
              <w:rPr>
                <w:rFonts w:hint="eastAsia" w:ascii="Times New Roman" w:hAnsi="Times New Roman"/>
                <w:sz w:val="24"/>
              </w:rPr>
              <w:t>30</w:t>
            </w:r>
            <w:r>
              <w:rPr>
                <w:rFonts w:ascii="Times New Roman" w:hAnsi="Times New Roman"/>
                <w:sz w:val="24"/>
              </w:rPr>
              <w:t>人，按0.5kg/人·d计，则产生生活垃圾</w:t>
            </w:r>
            <w:r>
              <w:rPr>
                <w:rFonts w:hint="eastAsia" w:ascii="Times New Roman" w:hAnsi="Times New Roman"/>
                <w:sz w:val="24"/>
              </w:rPr>
              <w:t>1</w:t>
            </w:r>
            <w:r>
              <w:rPr>
                <w:rFonts w:ascii="Times New Roman" w:hAnsi="Times New Roman"/>
                <w:sz w:val="24"/>
              </w:rPr>
              <w:t>5kg/d。这部分垃圾统一收集后定期由当地环卫部门及时清运</w:t>
            </w:r>
            <w:r>
              <w:rPr>
                <w:rFonts w:hint="eastAsia"/>
                <w:color w:val="auto"/>
                <w:spacing w:val="-2"/>
                <w:kern w:val="28"/>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 w:val="24"/>
              </w:rPr>
            </w:pPr>
            <w:r>
              <w:rPr>
                <w:bCs/>
                <w:color w:val="auto"/>
                <w:sz w:val="24"/>
              </w:rPr>
              <w:t>措施</w:t>
            </w:r>
          </w:p>
        </w:tc>
        <w:tc>
          <w:tcPr>
            <w:tcW w:w="8162" w:type="dxa"/>
            <w:noWrap w:val="0"/>
            <w:vAlign w:val="top"/>
          </w:tcPr>
          <w:p>
            <w:pPr>
              <w:adjustRightInd w:val="0"/>
              <w:snapToGrid w:val="0"/>
              <w:spacing w:before="120" w:beforeLines="50" w:line="360" w:lineRule="auto"/>
              <w:ind w:firstLine="482" w:firstLineChars="200"/>
              <w:rPr>
                <w:b/>
                <w:bCs/>
                <w:color w:val="auto"/>
                <w:sz w:val="24"/>
                <w:highlight w:val="yellow"/>
              </w:rPr>
            </w:pPr>
            <w:r>
              <w:rPr>
                <w:rFonts w:hint="eastAsia"/>
                <w:b/>
                <w:bCs/>
                <w:color w:val="auto"/>
                <w:sz w:val="24"/>
                <w:lang w:eastAsia="zh-CN"/>
              </w:rPr>
              <w:t>（一）</w:t>
            </w:r>
            <w:r>
              <w:rPr>
                <w:b/>
                <w:bCs/>
                <w:color w:val="auto"/>
                <w:sz w:val="24"/>
              </w:rPr>
              <w:t>废气</w:t>
            </w:r>
            <w:r>
              <w:rPr>
                <w:rFonts w:hint="eastAsia"/>
                <w:b/>
                <w:bCs/>
                <w:color w:val="auto"/>
                <w:sz w:val="24"/>
              </w:rPr>
              <w:t xml:space="preserve">   </w:t>
            </w:r>
          </w:p>
          <w:p>
            <w:pPr>
              <w:adjustRightInd w:val="0"/>
              <w:snapToGrid w:val="0"/>
              <w:spacing w:line="360" w:lineRule="auto"/>
              <w:ind w:firstLine="482" w:firstLineChars="200"/>
              <w:rPr>
                <w:rFonts w:hint="eastAsia"/>
                <w:color w:val="auto"/>
                <w:sz w:val="24"/>
                <w:lang w:val="en-US" w:eastAsia="zh-CN"/>
              </w:rPr>
            </w:pPr>
            <w:r>
              <w:rPr>
                <w:rFonts w:hint="eastAsia"/>
                <w:b/>
                <w:bCs/>
                <w:color w:val="auto"/>
                <w:sz w:val="24"/>
                <w:lang w:val="en-US" w:eastAsia="zh-CN"/>
              </w:rPr>
              <w:t>1、</w:t>
            </w:r>
            <w:r>
              <w:rPr>
                <w:b/>
                <w:bCs/>
                <w:color w:val="auto"/>
                <w:sz w:val="24"/>
              </w:rPr>
              <w:t>污染</w:t>
            </w:r>
            <w:r>
              <w:rPr>
                <w:rFonts w:hint="eastAsia"/>
                <w:b/>
                <w:bCs/>
                <w:color w:val="auto"/>
                <w:sz w:val="24"/>
              </w:rPr>
              <w:t>物</w:t>
            </w:r>
            <w:r>
              <w:rPr>
                <w:b/>
                <w:bCs/>
                <w:color w:val="auto"/>
                <w:sz w:val="24"/>
              </w:rPr>
              <w:t>源强核算</w:t>
            </w:r>
          </w:p>
          <w:p>
            <w:pPr>
              <w:pStyle w:val="25"/>
              <w:numPr>
                <w:ilvl w:val="0"/>
                <w:numId w:val="5"/>
              </w:numPr>
              <w:spacing w:line="360" w:lineRule="auto"/>
              <w:ind w:firstLine="480"/>
              <w:rPr>
                <w:b/>
                <w:bCs/>
                <w:color w:val="auto"/>
              </w:rPr>
            </w:pPr>
            <w:r>
              <w:rPr>
                <w:rFonts w:hint="eastAsia" w:hAnsi="宋体"/>
                <w:b/>
                <w:bCs/>
                <w:color w:val="000000"/>
                <w:sz w:val="24"/>
                <w:szCs w:val="24"/>
              </w:rPr>
              <w:t>注塑、</w:t>
            </w:r>
            <w:r>
              <w:rPr>
                <w:rFonts w:hAnsi="宋体"/>
                <w:b/>
                <w:bCs/>
                <w:color w:val="000000"/>
                <w:sz w:val="24"/>
                <w:szCs w:val="24"/>
              </w:rPr>
              <w:t>吹塑</w:t>
            </w:r>
            <w:r>
              <w:rPr>
                <w:rFonts w:hint="eastAsia" w:hAnsi="宋体"/>
                <w:b/>
                <w:bCs/>
                <w:color w:val="000000"/>
                <w:sz w:val="24"/>
                <w:szCs w:val="24"/>
                <w:lang w:eastAsia="zh-CN"/>
              </w:rPr>
              <w:t>有机废气</w:t>
            </w:r>
          </w:p>
          <w:p>
            <w:pPr>
              <w:adjustRightInd w:val="0"/>
              <w:snapToGrid w:val="0"/>
              <w:spacing w:line="360" w:lineRule="auto"/>
              <w:ind w:firstLine="482" w:firstLineChars="200"/>
              <w:rPr>
                <w:rFonts w:hint="default"/>
                <w:color w:val="auto"/>
                <w:sz w:val="24"/>
                <w:lang w:val="en-US" w:eastAsia="zh-CN"/>
              </w:rPr>
            </w:pPr>
            <w:r>
              <w:rPr>
                <w:b/>
                <w:bCs/>
                <w:color w:val="auto"/>
                <w:sz w:val="24"/>
              </w:rPr>
              <w:t>【产</w:t>
            </w:r>
            <w:r>
              <w:rPr>
                <w:rFonts w:hint="eastAsia"/>
                <w:b/>
                <w:bCs/>
                <w:color w:val="auto"/>
                <w:sz w:val="24"/>
                <w:lang w:val="en-US" w:eastAsia="zh-CN"/>
              </w:rPr>
              <w:t>排情况</w:t>
            </w:r>
            <w:r>
              <w:rPr>
                <w:b/>
                <w:bCs/>
                <w:color w:val="auto"/>
                <w:sz w:val="24"/>
              </w:rPr>
              <w:t>】：</w:t>
            </w:r>
            <w:r>
              <w:rPr>
                <w:rFonts w:hint="eastAsia"/>
                <w:color w:val="auto"/>
                <w:sz w:val="24"/>
                <w:lang w:val="en-US" w:eastAsia="zh-CN"/>
              </w:rPr>
              <w:t>注塑、吹塑过程中原材料在加热软化成熔融状态时会产生少量的挥发性有机废气（评价以非甲烷总烃计）。参考</w:t>
            </w:r>
            <w:r>
              <w:rPr>
                <w:rFonts w:hint="eastAsia" w:ascii="Times New Roman" w:hAnsi="Times New Roman"/>
                <w:spacing w:val="0"/>
                <w:sz w:val="24"/>
                <w:szCs w:val="24"/>
              </w:rPr>
              <w:t>《第二次全国污染源普查工业污染源普查</w:t>
            </w:r>
            <w:r>
              <w:rPr>
                <w:rFonts w:hint="eastAsia" w:ascii="Times New Roman" w:hAnsi="Times New Roman"/>
                <w:spacing w:val="0"/>
                <w:sz w:val="24"/>
                <w:szCs w:val="24"/>
                <w:lang w:eastAsia="zh-CN"/>
              </w:rPr>
              <w:t>系数手册》</w:t>
            </w:r>
            <w:r>
              <w:rPr>
                <w:rFonts w:hint="eastAsia" w:ascii="Times New Roman" w:hAnsi="Times New Roman" w:cs="Times New Roman"/>
                <w:spacing w:val="0"/>
                <w:sz w:val="24"/>
                <w:szCs w:val="24"/>
                <w:lang w:eastAsia="zh-CN"/>
              </w:rPr>
              <w:t>同时</w:t>
            </w:r>
            <w:r>
              <w:rPr>
                <w:rFonts w:hint="eastAsia" w:ascii="Times New Roman" w:hAnsi="Times New Roman" w:cs="Times New Roman"/>
                <w:spacing w:val="0"/>
                <w:sz w:val="24"/>
                <w:szCs w:val="24"/>
                <w:lang w:val="en-US" w:eastAsia="zh-CN"/>
              </w:rPr>
              <w:t>经调阅，2017年舒城县环保局批复的《安徽万有新材料有限公司万有包装材料生产项目环境影响报告表》，万</w:t>
            </w:r>
            <w:r>
              <w:rPr>
                <w:rFonts w:hint="eastAsia"/>
                <w:color w:val="auto"/>
                <w:sz w:val="24"/>
                <w:lang w:val="en-US" w:eastAsia="zh-CN"/>
              </w:rPr>
              <w:t>有包装材料生产项目的产品为塑料瓶，原辅材料为聚乙烯树脂、聚丙烯树脂等共1500吨。在成型过程中，废气的产生量约为0.42千克/吨-产品。注塑、吹塑工序年运行2400h。</w:t>
            </w:r>
          </w:p>
          <w:p>
            <w:pPr>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本项目产品为塑料瓶，产量为2000t，则非甲烷总烃产生量为0.84t/a；产生环节位于出料端，采取集气罩收集+二级活性炭吸附进行处理。集气罩下端悬挂垂帘做到相对密封，出料模头处投影面积0.16平方米，罩面投影面积按0.36平方米设计，每模头处迎风风量约840m</w:t>
            </w:r>
            <w:r>
              <w:rPr>
                <w:rFonts w:hint="eastAsia"/>
                <w:color w:val="auto"/>
                <w:sz w:val="24"/>
                <w:vertAlign w:val="superscript"/>
                <w:lang w:val="en-US" w:eastAsia="zh-CN"/>
              </w:rPr>
              <w:t>3</w:t>
            </w:r>
            <w:r>
              <w:rPr>
                <w:rFonts w:hint="eastAsia"/>
                <w:color w:val="auto"/>
                <w:sz w:val="24"/>
                <w:lang w:val="en-US" w:eastAsia="zh-CN"/>
              </w:rPr>
              <w:t>/h，可计算出集气罩边缘风速可达0.6m/s，收集效率可达90%，二级活性炭吸附效率达90%。在采取上述措施下，非甲烷总烃有组织排放量为0.076t/a，排放速率为0.032kg/h，排放浓度为1.58mg/m³，经DA001号排气筒外排，外排风量20000m</w:t>
            </w:r>
            <w:r>
              <w:rPr>
                <w:rFonts w:hint="eastAsia"/>
                <w:color w:val="auto"/>
                <w:sz w:val="24"/>
                <w:vertAlign w:val="superscript"/>
                <w:lang w:val="en-US" w:eastAsia="zh-CN"/>
              </w:rPr>
              <w:t>3</w:t>
            </w:r>
            <w:r>
              <w:rPr>
                <w:rFonts w:hint="eastAsia"/>
                <w:color w:val="auto"/>
                <w:sz w:val="24"/>
                <w:lang w:val="en-US" w:eastAsia="zh-CN"/>
              </w:rPr>
              <w:t>/h。无组织排放量为0.084t/a。</w:t>
            </w:r>
          </w:p>
          <w:p>
            <w:pPr>
              <w:adjustRightInd w:val="0"/>
              <w:snapToGrid w:val="0"/>
              <w:spacing w:line="360" w:lineRule="auto"/>
              <w:ind w:firstLine="482" w:firstLineChars="200"/>
              <w:rPr>
                <w:rFonts w:hint="default"/>
                <w:color w:val="FF0000"/>
                <w:sz w:val="24"/>
                <w:lang w:val="en-US" w:eastAsia="zh-CN"/>
              </w:rPr>
            </w:pPr>
            <w:r>
              <w:rPr>
                <w:b/>
                <w:bCs/>
                <w:color w:val="auto"/>
                <w:sz w:val="24"/>
              </w:rPr>
              <w:t>【防治措施</w:t>
            </w:r>
            <w:r>
              <w:rPr>
                <w:rFonts w:hint="eastAsia"/>
                <w:b/>
                <w:bCs/>
                <w:color w:val="auto"/>
                <w:sz w:val="24"/>
                <w:lang w:val="en-US" w:eastAsia="zh-CN"/>
              </w:rPr>
              <w:t>可行性分析</w:t>
            </w:r>
            <w:r>
              <w:rPr>
                <w:b/>
                <w:bCs/>
                <w:color w:val="auto"/>
                <w:sz w:val="24"/>
              </w:rPr>
              <w:t>】：</w:t>
            </w:r>
            <w:r>
              <w:rPr>
                <w:rFonts w:hint="eastAsia"/>
                <w:color w:val="auto"/>
                <w:sz w:val="24"/>
                <w:lang w:val="en-US" w:eastAsia="zh-CN"/>
              </w:rPr>
              <w:t>本项目为塑料制品业，采取的活性炭吸附处理技术为《排污许可证申请与核发技术规范 橡胶和塑料工业》（HJ1122—2020）中推荐的可行性技术。经采取有组织、无组织废气污染防治措施后，</w:t>
            </w:r>
            <w:r>
              <w:rPr>
                <w:rFonts w:hint="eastAsia" w:ascii="Times New Roman" w:hAnsi="Times New Roman"/>
                <w:color w:val="auto"/>
                <w:sz w:val="24"/>
              </w:rPr>
              <w:t>非甲烷总烃</w:t>
            </w:r>
            <w:r>
              <w:rPr>
                <w:rFonts w:hint="eastAsia"/>
                <w:color w:val="auto"/>
                <w:sz w:val="24"/>
                <w:lang w:val="en-US" w:eastAsia="zh-CN"/>
              </w:rPr>
              <w:t>排放</w:t>
            </w:r>
            <w:r>
              <w:rPr>
                <w:rFonts w:hint="eastAsia" w:ascii="Times New Roman" w:hAnsi="Times New Roman"/>
                <w:color w:val="auto"/>
                <w:sz w:val="24"/>
                <w:lang w:val="en-US" w:eastAsia="zh-CN"/>
              </w:rPr>
              <w:t>满足</w:t>
            </w:r>
            <w:r>
              <w:rPr>
                <w:rFonts w:hint="eastAsia" w:ascii="宋体" w:hAnsi="宋体" w:eastAsia="宋体" w:cs="宋体"/>
                <w:color w:val="auto"/>
                <w:sz w:val="24"/>
              </w:rPr>
              <w:t>《</w:t>
            </w:r>
            <w:r>
              <w:rPr>
                <w:rFonts w:hint="eastAsia" w:ascii="宋体" w:hAnsi="宋体" w:eastAsia="宋体" w:cs="宋体"/>
                <w:color w:val="auto"/>
                <w:sz w:val="24"/>
                <w:szCs w:val="28"/>
              </w:rPr>
              <w:t>合成树脂工业污染物排放标准</w:t>
            </w:r>
            <w:r>
              <w:rPr>
                <w:rFonts w:hint="eastAsia" w:ascii="宋体" w:hAnsi="宋体" w:eastAsia="宋体" w:cs="宋体"/>
                <w:color w:val="auto"/>
                <w:sz w:val="24"/>
              </w:rPr>
              <w:t>》（GB</w:t>
            </w:r>
            <w:r>
              <w:rPr>
                <w:rFonts w:ascii="Times New Roman" w:hAnsi="Times New Roman" w:eastAsia="宋体"/>
                <w:color w:val="auto"/>
                <w:sz w:val="24"/>
              </w:rPr>
              <w:t>31572</w:t>
            </w:r>
            <w:r>
              <w:rPr>
                <w:rFonts w:hint="eastAsia" w:ascii="宋体" w:hAnsi="宋体" w:eastAsia="宋体" w:cs="宋体"/>
                <w:color w:val="auto"/>
                <w:sz w:val="24"/>
              </w:rPr>
              <w:t>-</w:t>
            </w:r>
            <w:r>
              <w:rPr>
                <w:rFonts w:ascii="Times New Roman" w:hAnsi="Times New Roman" w:eastAsia="宋体"/>
                <w:color w:val="auto"/>
                <w:sz w:val="24"/>
              </w:rPr>
              <w:t>2015</w:t>
            </w:r>
            <w:r>
              <w:rPr>
                <w:rFonts w:hint="eastAsia" w:ascii="宋体" w:hAnsi="宋体" w:eastAsia="宋体" w:cs="宋体"/>
                <w:color w:val="auto"/>
                <w:sz w:val="24"/>
              </w:rPr>
              <w:t>）</w:t>
            </w:r>
            <w:r>
              <w:rPr>
                <w:rFonts w:hint="eastAsia" w:ascii="宋体" w:hAnsi="宋体" w:eastAsia="宋体" w:cs="宋体"/>
                <w:color w:val="auto"/>
                <w:sz w:val="24"/>
                <w:lang w:val="en-US" w:eastAsia="zh-CN"/>
              </w:rPr>
              <w:t>和</w:t>
            </w:r>
            <w:r>
              <w:rPr>
                <w:rFonts w:hint="eastAsia" w:ascii="Times New Roman" w:hAnsi="Times New Roman"/>
                <w:color w:val="auto"/>
                <w:sz w:val="24"/>
              </w:rPr>
              <w:t>《挥发性有机物无组织排放控制标准》（</w:t>
            </w:r>
            <w:r>
              <w:rPr>
                <w:rFonts w:ascii="Times New Roman" w:hAnsi="Times New Roman"/>
                <w:color w:val="auto"/>
                <w:sz w:val="24"/>
              </w:rPr>
              <w:t>GB37822-2019</w:t>
            </w:r>
            <w:r>
              <w:rPr>
                <w:rFonts w:hint="eastAsia" w:ascii="Times New Roman" w:hAnsi="Times New Roman"/>
                <w:color w:val="auto"/>
                <w:sz w:val="24"/>
              </w:rPr>
              <w:t>）</w:t>
            </w:r>
            <w:r>
              <w:rPr>
                <w:rFonts w:hint="eastAsia" w:ascii="Times New Roman" w:hAnsi="Times New Roman"/>
                <w:color w:val="auto"/>
                <w:sz w:val="24"/>
                <w:lang w:val="en-US" w:eastAsia="zh-CN"/>
              </w:rPr>
              <w:t>中相应</w:t>
            </w:r>
            <w:r>
              <w:rPr>
                <w:rFonts w:hint="eastAsia" w:ascii="Times New Roman" w:hAnsi="Times New Roman"/>
                <w:color w:val="auto"/>
                <w:sz w:val="24"/>
              </w:rPr>
              <w:t>排放限值</w:t>
            </w:r>
            <w:r>
              <w:rPr>
                <w:color w:val="auto"/>
                <w:sz w:val="24"/>
              </w:rPr>
              <w:t>。</w:t>
            </w:r>
            <w:r>
              <w:rPr>
                <w:rFonts w:hint="eastAsia" w:ascii="Times New Roman" w:hAnsi="Times New Roman"/>
                <w:color w:val="auto"/>
                <w:sz w:val="24"/>
                <w:lang w:val="en-US" w:eastAsia="zh-CN"/>
              </w:rPr>
              <w:t>臭气浓度排放满足《恶臭</w:t>
            </w:r>
            <w:r>
              <w:rPr>
                <w:rFonts w:hint="eastAsia" w:ascii="Times New Roman" w:hAnsi="Times New Roman"/>
                <w:sz w:val="24"/>
                <w:lang w:val="en-US" w:eastAsia="zh-CN"/>
              </w:rPr>
              <w:t>污染物排放标准</w:t>
            </w:r>
            <w:r>
              <w:rPr>
                <w:rFonts w:hint="eastAsia" w:ascii="Times New Roman" w:hAnsi="Times New Roman" w:eastAsia="宋体" w:cs="Times New Roman"/>
                <w:color w:val="auto"/>
                <w:sz w:val="24"/>
                <w:lang w:val="en-US" w:eastAsia="zh-CN"/>
              </w:rPr>
              <w:t>》（GB14554-1993）表1中</w:t>
            </w:r>
            <w:r>
              <w:rPr>
                <w:rFonts w:hint="eastAsia"/>
                <w:sz w:val="24"/>
                <w:lang w:val="en-US" w:eastAsia="zh-CN"/>
              </w:rPr>
              <w:t>二</w:t>
            </w:r>
            <w:r>
              <w:rPr>
                <w:rFonts w:hint="eastAsia" w:ascii="Times New Roman" w:hAnsi="Times New Roman"/>
                <w:sz w:val="24"/>
                <w:lang w:val="en-US" w:eastAsia="zh-CN"/>
              </w:rPr>
              <w:t>级新扩改建标准限值。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Calibri" w:hAnsi="Calibri" w:cs="Calibri"/>
                <w:bCs/>
                <w:spacing w:val="0"/>
                <w:sz w:val="24"/>
                <w:szCs w:val="24"/>
                <w:lang w:val="en-US" w:eastAsia="zh-CN"/>
              </w:rPr>
            </w:pPr>
            <w:r>
              <w:rPr>
                <w:rFonts w:hint="eastAsia"/>
                <w:b/>
                <w:bCs/>
                <w:color w:val="auto"/>
                <w:sz w:val="24"/>
                <w:lang w:val="en-US" w:eastAsia="zh-CN"/>
              </w:rPr>
              <w:t>（2）无组织废气污染防治措施</w:t>
            </w:r>
          </w:p>
          <w:p>
            <w:pPr>
              <w:snapToGrid w:val="0"/>
              <w:spacing w:line="360" w:lineRule="auto"/>
              <w:ind w:firstLine="480" w:firstLineChars="200"/>
              <w:jc w:val="left"/>
              <w:rPr>
                <w:rFonts w:hint="default" w:ascii="Calibri" w:hAnsi="Calibri" w:cs="Calibri"/>
                <w:bCs/>
                <w:spacing w:val="0"/>
                <w:sz w:val="24"/>
                <w:szCs w:val="24"/>
                <w:lang w:val="en-US" w:eastAsia="zh-CN"/>
              </w:rPr>
            </w:pPr>
            <w:r>
              <w:rPr>
                <w:rFonts w:hint="default" w:ascii="Calibri" w:hAnsi="Calibri" w:cs="Calibri"/>
                <w:bCs/>
                <w:spacing w:val="0"/>
                <w:sz w:val="24"/>
                <w:szCs w:val="24"/>
                <w:lang w:val="en-US" w:eastAsia="zh-CN"/>
              </w:rPr>
              <w:t>①</w:t>
            </w:r>
            <w:r>
              <w:rPr>
                <w:rFonts w:hint="eastAsia" w:ascii="Calibri" w:hAnsi="Calibri" w:cs="Calibri"/>
                <w:bCs/>
                <w:spacing w:val="0"/>
                <w:sz w:val="24"/>
                <w:szCs w:val="24"/>
                <w:lang w:val="en-US" w:eastAsia="zh-CN"/>
              </w:rPr>
              <w:t>项目生产过程中使用的原料均为粒状，且加热段设备为全封闭。</w:t>
            </w:r>
          </w:p>
          <w:p>
            <w:pPr>
              <w:snapToGrid w:val="0"/>
              <w:spacing w:line="360" w:lineRule="auto"/>
              <w:ind w:firstLine="480" w:firstLineChars="200"/>
              <w:jc w:val="left"/>
              <w:rPr>
                <w:rFonts w:hint="eastAsia" w:cs="Times New Roman"/>
                <w:bCs/>
                <w:spacing w:val="0"/>
                <w:sz w:val="24"/>
                <w:szCs w:val="24"/>
                <w:lang w:val="en-US" w:eastAsia="zh-CN"/>
              </w:rPr>
            </w:pPr>
            <w:r>
              <w:rPr>
                <w:rFonts w:hint="default" w:ascii="Calibri" w:hAnsi="Calibri" w:cs="Calibri"/>
                <w:bCs/>
                <w:spacing w:val="0"/>
                <w:sz w:val="24"/>
                <w:szCs w:val="24"/>
                <w:lang w:val="en-US" w:eastAsia="zh-CN"/>
              </w:rPr>
              <w:t>②</w:t>
            </w:r>
            <w:r>
              <w:rPr>
                <w:rFonts w:hint="eastAsia" w:ascii="Calibri" w:hAnsi="Calibri" w:cs="Calibri"/>
                <w:bCs/>
                <w:spacing w:val="0"/>
                <w:sz w:val="24"/>
                <w:szCs w:val="24"/>
                <w:lang w:val="en-US" w:eastAsia="zh-CN"/>
              </w:rPr>
              <w:t>废气产生环节为出料模头处。</w:t>
            </w:r>
            <w:r>
              <w:rPr>
                <w:rFonts w:hint="eastAsia"/>
                <w:color w:val="auto"/>
                <w:sz w:val="24"/>
                <w:lang w:val="en-US" w:eastAsia="zh-CN"/>
              </w:rPr>
              <w:t>出料模头处投影面积0.16平方米，罩面投影面积按0.36平方米设计，每模头处迎风风量约840m</w:t>
            </w:r>
            <w:r>
              <w:rPr>
                <w:rFonts w:hint="eastAsia"/>
                <w:color w:val="auto"/>
                <w:sz w:val="24"/>
                <w:vertAlign w:val="superscript"/>
                <w:lang w:val="en-US" w:eastAsia="zh-CN"/>
              </w:rPr>
              <w:t>3</w:t>
            </w:r>
            <w:r>
              <w:rPr>
                <w:rFonts w:hint="eastAsia"/>
                <w:color w:val="auto"/>
                <w:sz w:val="24"/>
                <w:lang w:val="en-US" w:eastAsia="zh-CN"/>
              </w:rPr>
              <w:t>/h，可计算出集气罩边缘风速可达0.6m/s，满足《</w:t>
            </w:r>
            <w:r>
              <w:rPr>
                <w:rFonts w:hint="eastAsia" w:ascii="Times New Roman" w:hAnsi="Times New Roman" w:cs="Times New Roman"/>
                <w:bCs/>
                <w:spacing w:val="0"/>
                <w:sz w:val="24"/>
                <w:szCs w:val="24"/>
                <w:lang w:val="en-US" w:eastAsia="zh-CN"/>
              </w:rPr>
              <w:t>重点行业挥发性有机物综合治理方案》和《挥发性有机物无组织排放控制标准》（GB37822-2019）</w:t>
            </w:r>
            <w:r>
              <w:rPr>
                <w:rFonts w:hint="eastAsia" w:cs="Times New Roman"/>
                <w:bCs/>
                <w:spacing w:val="0"/>
                <w:sz w:val="24"/>
                <w:szCs w:val="24"/>
                <w:lang w:val="en-US" w:eastAsia="zh-CN"/>
              </w:rPr>
              <w:t>中提出的集气罩边缘风速不小于0.3m/s</w:t>
            </w:r>
            <w:r>
              <w:rPr>
                <w:rFonts w:hint="eastAsia" w:ascii="Times New Roman" w:hAnsi="Times New Roman" w:cs="Times New Roman"/>
                <w:bCs/>
                <w:spacing w:val="0"/>
                <w:sz w:val="24"/>
                <w:szCs w:val="24"/>
                <w:lang w:val="en-US" w:eastAsia="zh-CN"/>
              </w:rPr>
              <w:t>要求</w:t>
            </w:r>
            <w:r>
              <w:rPr>
                <w:rFonts w:hint="eastAsia" w:cs="Times New Roman"/>
                <w:bCs/>
                <w:spacing w:val="0"/>
                <w:sz w:val="24"/>
                <w:szCs w:val="24"/>
                <w:lang w:val="en-US" w:eastAsia="zh-CN"/>
              </w:rPr>
              <w:t>。</w:t>
            </w:r>
          </w:p>
          <w:p>
            <w:pPr>
              <w:snapToGrid w:val="0"/>
              <w:spacing w:line="360" w:lineRule="auto"/>
              <w:ind w:firstLine="480" w:firstLineChars="200"/>
              <w:jc w:val="left"/>
              <w:rPr>
                <w:rFonts w:hint="eastAsia"/>
                <w:b/>
                <w:bCs/>
                <w:color w:val="auto"/>
                <w:sz w:val="24"/>
                <w:lang w:val="en-US" w:eastAsia="zh-CN"/>
              </w:rPr>
            </w:pPr>
            <w:r>
              <w:rPr>
                <w:rFonts w:hint="eastAsia"/>
                <w:color w:val="auto"/>
                <w:sz w:val="24"/>
                <w:lang w:val="en-US" w:eastAsia="zh-CN"/>
              </w:rPr>
              <w:t>③废气收集处理系统与生产工艺设备同步运行。废气收集处理系统发生故障或检修时，对应的生产工艺设备停止运行，待检修完毕后同步投入使用。</w:t>
            </w:r>
          </w:p>
          <w:p>
            <w:pPr>
              <w:adjustRightInd w:val="0"/>
              <w:snapToGrid w:val="0"/>
              <w:spacing w:line="360" w:lineRule="auto"/>
              <w:ind w:firstLine="482" w:firstLineChars="200"/>
              <w:rPr>
                <w:rFonts w:hint="eastAsia"/>
                <w:b/>
                <w:bCs/>
                <w:color w:val="auto"/>
                <w:sz w:val="24"/>
              </w:rPr>
            </w:pPr>
            <w:r>
              <w:rPr>
                <w:rFonts w:hint="eastAsia"/>
                <w:b/>
                <w:bCs/>
                <w:color w:val="auto"/>
                <w:sz w:val="24"/>
                <w:lang w:val="en-US" w:eastAsia="zh-CN"/>
              </w:rPr>
              <w:t>2、</w:t>
            </w:r>
            <w:r>
              <w:rPr>
                <w:rFonts w:hint="eastAsia"/>
                <w:b/>
                <w:bCs/>
                <w:color w:val="auto"/>
                <w:sz w:val="24"/>
              </w:rPr>
              <w:t>废气产排情况一览表</w:t>
            </w:r>
          </w:p>
          <w:p>
            <w:pPr>
              <w:pStyle w:val="9"/>
              <w:jc w:val="center"/>
              <w:rPr>
                <w:rFonts w:hint="eastAsia"/>
                <w:b/>
                <w:bCs/>
                <w:color w:val="auto"/>
                <w:sz w:val="24"/>
                <w:szCs w:val="24"/>
                <w:lang w:val="en-US" w:eastAsia="zh-CN"/>
              </w:rPr>
            </w:pPr>
          </w:p>
          <w:p>
            <w:pPr>
              <w:pStyle w:val="9"/>
              <w:jc w:val="center"/>
              <w:rPr>
                <w:color w:val="auto"/>
                <w:lang w:val="en-US" w:eastAsia="zh-CN"/>
              </w:rPr>
            </w:pPr>
            <w:r>
              <w:rPr>
                <w:rFonts w:hint="eastAsia"/>
                <w:b/>
                <w:bCs/>
                <w:color w:val="auto"/>
                <w:sz w:val="24"/>
                <w:szCs w:val="24"/>
                <w:lang w:val="en-US" w:eastAsia="zh-CN"/>
              </w:rPr>
              <w:t>表4-1  废气产排情况一览表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300"/>
              <w:gridCol w:w="1275"/>
              <w:gridCol w:w="1932"/>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65" w:type="dxa"/>
                  <w:vMerge w:val="restart"/>
                  <w:noWrap w:val="0"/>
                  <w:vAlign w:val="center"/>
                </w:tcPr>
                <w:p>
                  <w:pPr>
                    <w:adjustRightInd w:val="0"/>
                    <w:snapToGrid w:val="0"/>
                    <w:jc w:val="center"/>
                    <w:rPr>
                      <w:rFonts w:hint="eastAsia"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污染源</w:t>
                  </w:r>
                  <w:r>
                    <w:rPr>
                      <w:rFonts w:hint="eastAsia" w:cs="Times New Roman"/>
                      <w:b/>
                      <w:bCs/>
                      <w:color w:val="auto"/>
                      <w:szCs w:val="21"/>
                      <w:lang w:eastAsia="zh-CN"/>
                    </w:rPr>
                    <w:t>及排气筒编号</w:t>
                  </w:r>
                </w:p>
              </w:tc>
              <w:tc>
                <w:tcPr>
                  <w:tcW w:w="1300" w:type="dxa"/>
                  <w:vMerge w:val="restar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污染物种类</w:t>
                  </w:r>
                </w:p>
              </w:tc>
              <w:tc>
                <w:tcPr>
                  <w:tcW w:w="1275" w:type="dxa"/>
                  <w:vMerge w:val="restar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污染物产生量和浓度</w:t>
                  </w:r>
                </w:p>
              </w:tc>
              <w:tc>
                <w:tcPr>
                  <w:tcW w:w="3497" w:type="dxa"/>
                  <w:gridSpan w:val="2"/>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污染物排放量和浓度（速率）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65" w:type="dxa"/>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1300" w:type="dxa"/>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1275" w:type="dxa"/>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1932"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有组织</w:t>
                  </w:r>
                </w:p>
              </w:tc>
              <w:tc>
                <w:tcPr>
                  <w:tcW w:w="1565"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865" w:type="dxa"/>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注塑、吹塑有机废气</w:t>
                  </w:r>
                  <w:r>
                    <w:rPr>
                      <w:rFonts w:hint="eastAsia" w:cs="Times New Roman"/>
                      <w:color w:val="auto"/>
                      <w:szCs w:val="21"/>
                      <w:lang w:val="en-US" w:eastAsia="zh-CN"/>
                    </w:rPr>
                    <w:t>（DA001）</w:t>
                  </w:r>
                </w:p>
              </w:tc>
              <w:tc>
                <w:tcPr>
                  <w:tcW w:w="1300"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1275"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84</w:t>
                  </w:r>
                  <w:r>
                    <w:rPr>
                      <w:rFonts w:hint="default" w:ascii="Times New Roman" w:hAnsi="Times New Roman" w:eastAsia="宋体" w:cs="Times New Roman"/>
                      <w:color w:val="auto"/>
                      <w:szCs w:val="21"/>
                    </w:rPr>
                    <w:t>t/a</w:t>
                  </w:r>
                </w:p>
              </w:tc>
              <w:tc>
                <w:tcPr>
                  <w:tcW w:w="1932"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76</w:t>
                  </w:r>
                  <w:r>
                    <w:rPr>
                      <w:rFonts w:hint="default" w:ascii="Times New Roman" w:hAnsi="Times New Roman" w:eastAsia="宋体" w:cs="Times New Roman"/>
                      <w:color w:val="auto"/>
                      <w:szCs w:val="21"/>
                    </w:rPr>
                    <w:t>t/a</w:t>
                  </w:r>
                  <w:r>
                    <w:rPr>
                      <w:rFonts w:hint="eastAsia" w:ascii="Times New Roman" w:hAnsi="Times New Roman" w:eastAsia="宋体" w:cs="Times New Roman"/>
                      <w:color w:val="auto"/>
                      <w:szCs w:val="21"/>
                      <w:lang w:eastAsia="zh-CN"/>
                    </w:rPr>
                    <w:t>，</w:t>
                  </w:r>
                  <w:r>
                    <w:rPr>
                      <w:rFonts w:hint="eastAsia" w:cs="Times New Roman"/>
                      <w:color w:val="auto"/>
                      <w:szCs w:val="21"/>
                      <w:lang w:val="en-US" w:eastAsia="zh-CN"/>
                    </w:rPr>
                    <w:t>1.58</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c>
                <w:tcPr>
                  <w:tcW w:w="1565"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r>
                    <w:rPr>
                      <w:rFonts w:hint="eastAsia" w:cs="Times New Roman"/>
                      <w:color w:val="auto"/>
                      <w:szCs w:val="21"/>
                      <w:lang w:val="en-US" w:eastAsia="zh-CN"/>
                    </w:rPr>
                    <w:t>084</w:t>
                  </w:r>
                  <w:r>
                    <w:rPr>
                      <w:rFonts w:hint="default" w:ascii="Times New Roman" w:hAnsi="Times New Roman" w:eastAsia="宋体" w:cs="Times New Roman"/>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865"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有组织排放总计</w:t>
                  </w:r>
                </w:p>
              </w:tc>
              <w:tc>
                <w:tcPr>
                  <w:tcW w:w="1300"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非甲烷总烃</w:t>
                  </w:r>
                </w:p>
              </w:tc>
              <w:tc>
                <w:tcPr>
                  <w:tcW w:w="1275"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93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076</w:t>
                  </w:r>
                  <w:r>
                    <w:rPr>
                      <w:rFonts w:hint="eastAsia" w:ascii="Times New Roman" w:hAnsi="Times New Roman" w:eastAsia="宋体" w:cs="Times New Roman"/>
                      <w:color w:val="auto"/>
                      <w:szCs w:val="21"/>
                      <w:lang w:val="en-US" w:eastAsia="zh-CN"/>
                    </w:rPr>
                    <w:t>t/a</w:t>
                  </w:r>
                </w:p>
              </w:tc>
              <w:tc>
                <w:tcPr>
                  <w:tcW w:w="1565"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adjustRightInd w:val="0"/>
              <w:snapToGrid w:val="0"/>
              <w:spacing w:before="120" w:beforeLines="50" w:line="360" w:lineRule="auto"/>
              <w:ind w:firstLine="482" w:firstLineChars="200"/>
              <w:rPr>
                <w:rFonts w:hint="eastAsia"/>
                <w:b/>
                <w:bCs/>
                <w:color w:val="auto"/>
                <w:sz w:val="24"/>
                <w:szCs w:val="24"/>
                <w:lang w:val="en-US" w:eastAsia="zh-CN"/>
              </w:rPr>
            </w:pPr>
            <w:r>
              <w:rPr>
                <w:rFonts w:hint="eastAsia"/>
                <w:b/>
                <w:bCs/>
                <w:color w:val="auto"/>
                <w:sz w:val="24"/>
                <w:lang w:val="en-US" w:eastAsia="zh-CN"/>
              </w:rPr>
              <w:t>3、</w:t>
            </w:r>
            <w:r>
              <w:rPr>
                <w:rFonts w:hint="eastAsia"/>
                <w:b/>
                <w:bCs/>
                <w:color w:val="auto"/>
                <w:sz w:val="24"/>
              </w:rPr>
              <w:t>废气治理情况一览表</w:t>
            </w:r>
          </w:p>
          <w:p>
            <w:pPr>
              <w:pStyle w:val="9"/>
              <w:jc w:val="center"/>
              <w:rPr>
                <w:color w:val="auto"/>
                <w:lang w:val="en-US" w:eastAsia="zh-CN"/>
              </w:rPr>
            </w:pPr>
            <w:r>
              <w:rPr>
                <w:rFonts w:hint="eastAsia"/>
                <w:b/>
                <w:bCs/>
                <w:color w:val="auto"/>
                <w:sz w:val="24"/>
                <w:szCs w:val="24"/>
                <w:lang w:val="en-US" w:eastAsia="zh-CN"/>
              </w:rPr>
              <w:t>表4-2  废气治理情况一览表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1"/>
              <w:gridCol w:w="1424"/>
              <w:gridCol w:w="1300"/>
              <w:gridCol w:w="1362"/>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1"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治理设施</w:t>
                  </w:r>
                </w:p>
              </w:tc>
              <w:tc>
                <w:tcPr>
                  <w:tcW w:w="1424"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处理能力</w:t>
                  </w:r>
                </w:p>
              </w:tc>
              <w:tc>
                <w:tcPr>
                  <w:tcW w:w="1300"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收集效率</w:t>
                  </w:r>
                </w:p>
              </w:tc>
              <w:tc>
                <w:tcPr>
                  <w:tcW w:w="1362"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治理工艺去除率</w:t>
                  </w:r>
                </w:p>
              </w:tc>
              <w:tc>
                <w:tcPr>
                  <w:tcW w:w="1310"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541" w:type="dxa"/>
                  <w:vMerge w:val="restart"/>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kern w:val="0"/>
                      <w:sz w:val="21"/>
                      <w:szCs w:val="21"/>
                      <w:lang w:val="en-US" w:eastAsia="zh-CN" w:bidi="ar-SA"/>
                    </w:rPr>
                    <w:t>注塑</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吹塑的加热段为全封闭，出料段采取集气罩局部收集</w:t>
                  </w:r>
                  <w:r>
                    <w:rPr>
                      <w:rFonts w:hint="eastAsia" w:ascii="Times New Roman" w:hAnsi="宋体" w:eastAsia="宋体" w:cs="Times New Roman"/>
                      <w:color w:val="000000"/>
                      <w:szCs w:val="21"/>
                      <w:lang w:val="en-US" w:eastAsia="zh-CN"/>
                    </w:rPr>
                    <w:t>后，引入二级活性炭吸附装置处理，尾气通过15m排气筒（DA001）排放</w:t>
                  </w:r>
                </w:p>
              </w:tc>
              <w:tc>
                <w:tcPr>
                  <w:tcW w:w="1424" w:type="dxa"/>
                  <w:vMerge w:val="restart"/>
                  <w:noWrap w:val="0"/>
                  <w:vAlign w:val="center"/>
                </w:tcPr>
                <w:p>
                  <w:pPr>
                    <w:adjustRightInd w:val="0"/>
                    <w:snapToGrid w:val="0"/>
                    <w:jc w:val="center"/>
                    <w:rPr>
                      <w:rFonts w:hint="eastAsia" w:ascii="宋体" w:hAnsi="宋体" w:cs="宋体"/>
                      <w:color w:val="auto"/>
                      <w:szCs w:val="21"/>
                    </w:rPr>
                  </w:pPr>
                  <w:r>
                    <w:rPr>
                      <w:rFonts w:hint="eastAsia" w:ascii="Times New Roman" w:hAnsi="Times New Roman" w:eastAsia="宋体" w:cs="Times New Roman"/>
                      <w:color w:val="auto"/>
                      <w:lang w:val="en-US" w:eastAsia="zh-CN"/>
                    </w:rPr>
                    <w:t>排气筒风量为</w:t>
                  </w:r>
                  <w:r>
                    <w:rPr>
                      <w:rFonts w:hint="eastAsia" w:cs="Times New Roman"/>
                      <w:color w:val="auto"/>
                      <w:lang w:val="en-US" w:eastAsia="zh-CN"/>
                    </w:rPr>
                    <w:t>20</w:t>
                  </w:r>
                  <w:r>
                    <w:rPr>
                      <w:rFonts w:hint="eastAsia" w:ascii="Times New Roman" w:hAnsi="Times New Roman" w:eastAsia="宋体" w:cs="Times New Roman"/>
                      <w:color w:val="auto"/>
                      <w:lang w:val="en-US" w:eastAsia="zh-CN"/>
                    </w:rPr>
                    <w:t>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p>
              </w:tc>
              <w:tc>
                <w:tcPr>
                  <w:tcW w:w="1300" w:type="dxa"/>
                  <w:vMerge w:val="restar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集气罩收集效率</w:t>
                  </w:r>
                  <w:r>
                    <w:rPr>
                      <w:rFonts w:hint="eastAsia" w:cs="Times New Roman"/>
                      <w:color w:val="auto"/>
                      <w:lang w:val="en-US" w:eastAsia="zh-CN"/>
                    </w:rPr>
                    <w:t>90</w:t>
                  </w:r>
                  <w:r>
                    <w:rPr>
                      <w:rFonts w:hint="eastAsia" w:ascii="Times New Roman" w:hAnsi="Times New Roman" w:eastAsia="宋体" w:cs="Times New Roman"/>
                      <w:color w:val="auto"/>
                      <w:lang w:val="en-US" w:eastAsia="zh-CN"/>
                    </w:rPr>
                    <w:t>%</w:t>
                  </w:r>
                </w:p>
              </w:tc>
              <w:tc>
                <w:tcPr>
                  <w:tcW w:w="1362" w:type="dxa"/>
                  <w:vMerge w:val="restar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二</w:t>
                  </w:r>
                  <w:r>
                    <w:rPr>
                      <w:rFonts w:hint="eastAsia" w:ascii="Times New Roman" w:hAnsi="Times New Roman" w:eastAsia="宋体" w:cs="Times New Roman"/>
                      <w:color w:val="auto"/>
                      <w:lang w:val="en-US" w:eastAsia="zh-CN"/>
                    </w:rPr>
                    <w:t>级活性炭处理</w:t>
                  </w:r>
                  <w:r>
                    <w:rPr>
                      <w:rFonts w:hint="default" w:ascii="Times New Roman" w:hAnsi="Times New Roman" w:eastAsia="宋体" w:cs="Times New Roman"/>
                      <w:color w:val="auto"/>
                      <w:lang w:val="en-US" w:eastAsia="zh-CN"/>
                    </w:rPr>
                    <w:t>装置净化效率为90%</w:t>
                  </w:r>
                </w:p>
              </w:tc>
              <w:tc>
                <w:tcPr>
                  <w:tcW w:w="1310"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是</w:t>
                  </w:r>
                  <w:r>
                    <w:rPr>
                      <w:color w:val="auto"/>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541" w:type="dxa"/>
                  <w:vMerge w:val="continue"/>
                  <w:noWrap w:val="0"/>
                  <w:vAlign w:val="center"/>
                </w:tcPr>
                <w:p>
                  <w:pPr>
                    <w:adjustRightInd w:val="0"/>
                    <w:snapToGrid w:val="0"/>
                    <w:jc w:val="center"/>
                    <w:rPr>
                      <w:rFonts w:hint="eastAsia" w:ascii="Times New Roman" w:hAnsi="Times New Roman" w:eastAsia="宋体" w:cs="Times New Roman"/>
                      <w:color w:val="auto"/>
                      <w:lang w:val="en-US" w:eastAsia="zh-CN"/>
                    </w:rPr>
                  </w:pPr>
                </w:p>
              </w:tc>
              <w:tc>
                <w:tcPr>
                  <w:tcW w:w="1424" w:type="dxa"/>
                  <w:vMerge w:val="continue"/>
                  <w:noWrap w:val="0"/>
                  <w:vAlign w:val="center"/>
                </w:tcPr>
                <w:p>
                  <w:pPr>
                    <w:adjustRightInd w:val="0"/>
                    <w:snapToGrid w:val="0"/>
                    <w:jc w:val="center"/>
                    <w:rPr>
                      <w:color w:val="auto"/>
                    </w:rPr>
                  </w:pPr>
                </w:p>
              </w:tc>
              <w:tc>
                <w:tcPr>
                  <w:tcW w:w="1300" w:type="dxa"/>
                  <w:vMerge w:val="continue"/>
                  <w:noWrap w:val="0"/>
                  <w:vAlign w:val="center"/>
                </w:tcPr>
                <w:p>
                  <w:pPr>
                    <w:adjustRightInd w:val="0"/>
                    <w:snapToGrid w:val="0"/>
                    <w:jc w:val="center"/>
                    <w:rPr>
                      <w:color w:val="FF0000"/>
                    </w:rPr>
                  </w:pPr>
                </w:p>
              </w:tc>
              <w:tc>
                <w:tcPr>
                  <w:tcW w:w="1362" w:type="dxa"/>
                  <w:vMerge w:val="continue"/>
                  <w:noWrap w:val="0"/>
                  <w:vAlign w:val="center"/>
                </w:tcPr>
                <w:p>
                  <w:pPr>
                    <w:adjustRightInd w:val="0"/>
                    <w:snapToGrid w:val="0"/>
                    <w:jc w:val="center"/>
                    <w:rPr>
                      <w:color w:val="auto"/>
                    </w:rPr>
                  </w:pPr>
                </w:p>
              </w:tc>
              <w:tc>
                <w:tcPr>
                  <w:tcW w:w="1310"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否</w:t>
                  </w:r>
                  <w:r>
                    <w:rPr>
                      <w:color w:val="auto"/>
                      <w:szCs w:val="21"/>
                    </w:rPr>
                    <w:sym w:font="Wingdings 2" w:char="00A3"/>
                  </w:r>
                </w:p>
              </w:tc>
            </w:tr>
          </w:tbl>
          <w:p>
            <w:pPr>
              <w:adjustRightInd w:val="0"/>
              <w:snapToGrid w:val="0"/>
              <w:spacing w:before="120" w:beforeLines="50" w:line="360" w:lineRule="auto"/>
              <w:ind w:firstLine="482" w:firstLineChars="200"/>
              <w:rPr>
                <w:rFonts w:hint="eastAsia"/>
                <w:b/>
                <w:bCs/>
                <w:color w:val="auto"/>
                <w:sz w:val="24"/>
              </w:rPr>
            </w:pPr>
            <w:r>
              <w:rPr>
                <w:rFonts w:hint="eastAsia"/>
                <w:b/>
                <w:bCs/>
                <w:color w:val="auto"/>
                <w:sz w:val="24"/>
                <w:lang w:val="en-US" w:eastAsia="zh-CN"/>
              </w:rPr>
              <w:t>4、</w:t>
            </w:r>
            <w:r>
              <w:rPr>
                <w:rFonts w:hint="eastAsia"/>
                <w:b/>
                <w:bCs/>
                <w:color w:val="auto"/>
                <w:sz w:val="24"/>
              </w:rPr>
              <w:t>废气排放情况一览表</w:t>
            </w:r>
          </w:p>
          <w:p>
            <w:pPr>
              <w:adjustRightInd w:val="0"/>
              <w:snapToGrid w:val="0"/>
              <w:spacing w:line="360" w:lineRule="auto"/>
              <w:ind w:firstLine="482" w:firstLineChars="200"/>
              <w:jc w:val="center"/>
              <w:rPr>
                <w:rFonts w:hint="eastAsia"/>
                <w:b/>
                <w:bCs/>
                <w:color w:val="auto"/>
                <w:sz w:val="24"/>
              </w:rPr>
            </w:pPr>
            <w:r>
              <w:rPr>
                <w:rFonts w:hint="eastAsia"/>
                <w:b/>
                <w:bCs/>
                <w:color w:val="auto"/>
                <w:sz w:val="24"/>
              </w:rPr>
              <w:t>表4-</w:t>
            </w:r>
            <w:r>
              <w:rPr>
                <w:rFonts w:hint="eastAsia"/>
                <w:b/>
                <w:bCs/>
                <w:color w:val="auto"/>
                <w:sz w:val="24"/>
                <w:lang w:val="en-US" w:eastAsia="zh-CN"/>
              </w:rPr>
              <w:t>3</w:t>
            </w:r>
            <w:r>
              <w:rPr>
                <w:rFonts w:hint="eastAsia"/>
                <w:b/>
                <w:bCs/>
                <w:color w:val="auto"/>
                <w:sz w:val="24"/>
              </w:rPr>
              <w:t xml:space="preserve">  废气排放情况一览表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75"/>
              <w:gridCol w:w="513"/>
              <w:gridCol w:w="837"/>
              <w:gridCol w:w="651"/>
              <w:gridCol w:w="513"/>
              <w:gridCol w:w="737"/>
              <w:gridCol w:w="750"/>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4" w:type="dxa"/>
                  <w:gridSpan w:val="6"/>
                  <w:noWrap w:val="0"/>
                  <w:vAlign w:val="center"/>
                </w:tcPr>
                <w:p>
                  <w:pPr>
                    <w:adjustRightInd w:val="0"/>
                    <w:snapToGrid w:val="0"/>
                    <w:jc w:val="center"/>
                    <w:rPr>
                      <w:rFonts w:hint="eastAsia"/>
                      <w:b/>
                      <w:bCs/>
                      <w:color w:val="auto"/>
                    </w:rPr>
                  </w:pPr>
                  <w:r>
                    <w:rPr>
                      <w:rFonts w:hint="eastAsia"/>
                      <w:b/>
                      <w:bCs/>
                      <w:color w:val="auto"/>
                    </w:rPr>
                    <w:t>排放口基本情况</w:t>
                  </w:r>
                </w:p>
              </w:tc>
              <w:tc>
                <w:tcPr>
                  <w:tcW w:w="1487" w:type="dxa"/>
                  <w:gridSpan w:val="2"/>
                  <w:noWrap w:val="0"/>
                  <w:vAlign w:val="center"/>
                </w:tcPr>
                <w:p>
                  <w:pPr>
                    <w:adjustRightInd w:val="0"/>
                    <w:snapToGrid w:val="0"/>
                    <w:jc w:val="center"/>
                    <w:rPr>
                      <w:rFonts w:hint="eastAsia"/>
                      <w:b/>
                      <w:bCs/>
                      <w:color w:val="auto"/>
                    </w:rPr>
                  </w:pPr>
                  <w:r>
                    <w:rPr>
                      <w:b/>
                      <w:bCs/>
                      <w:color w:val="auto"/>
                    </w:rPr>
                    <w:t>坐标(°)</w:t>
                  </w:r>
                </w:p>
              </w:tc>
              <w:tc>
                <w:tcPr>
                  <w:tcW w:w="2596" w:type="dxa"/>
                  <w:vMerge w:val="restart"/>
                  <w:noWrap w:val="0"/>
                  <w:vAlign w:val="center"/>
                </w:tcPr>
                <w:p>
                  <w:pPr>
                    <w:adjustRightInd w:val="0"/>
                    <w:snapToGrid w:val="0"/>
                    <w:jc w:val="center"/>
                    <w:rPr>
                      <w:rFonts w:hint="eastAsia"/>
                      <w:b/>
                      <w:bCs/>
                      <w:color w:val="auto"/>
                    </w:rPr>
                  </w:pPr>
                  <w:r>
                    <w:rPr>
                      <w:rFonts w:hint="eastAsia"/>
                      <w:b/>
                      <w:bCs/>
                      <w:color w:val="auto"/>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adjustRightInd w:val="0"/>
                    <w:snapToGrid w:val="0"/>
                    <w:jc w:val="center"/>
                    <w:rPr>
                      <w:rFonts w:hint="eastAsia"/>
                      <w:b/>
                      <w:bCs/>
                      <w:color w:val="auto"/>
                    </w:rPr>
                  </w:pPr>
                  <w:r>
                    <w:rPr>
                      <w:rFonts w:hint="eastAsia"/>
                      <w:b/>
                      <w:bCs/>
                      <w:color w:val="auto"/>
                    </w:rPr>
                    <w:t>排气筒高度</w:t>
                  </w:r>
                </w:p>
              </w:tc>
              <w:tc>
                <w:tcPr>
                  <w:tcW w:w="675" w:type="dxa"/>
                  <w:noWrap w:val="0"/>
                  <w:vAlign w:val="center"/>
                </w:tcPr>
                <w:p>
                  <w:pPr>
                    <w:adjustRightInd w:val="0"/>
                    <w:snapToGrid w:val="0"/>
                    <w:jc w:val="center"/>
                    <w:rPr>
                      <w:rFonts w:hint="eastAsia"/>
                      <w:b/>
                      <w:bCs/>
                      <w:color w:val="auto"/>
                    </w:rPr>
                  </w:pPr>
                  <w:r>
                    <w:rPr>
                      <w:rFonts w:hint="eastAsia"/>
                      <w:b/>
                      <w:bCs/>
                      <w:color w:val="auto"/>
                    </w:rPr>
                    <w:t>排气筒内径</w:t>
                  </w:r>
                </w:p>
              </w:tc>
              <w:tc>
                <w:tcPr>
                  <w:tcW w:w="513" w:type="dxa"/>
                  <w:noWrap w:val="0"/>
                  <w:vAlign w:val="center"/>
                </w:tcPr>
                <w:p>
                  <w:pPr>
                    <w:adjustRightInd w:val="0"/>
                    <w:snapToGrid w:val="0"/>
                    <w:jc w:val="center"/>
                    <w:rPr>
                      <w:rFonts w:hint="eastAsia"/>
                      <w:b/>
                      <w:bCs/>
                      <w:color w:val="auto"/>
                    </w:rPr>
                  </w:pPr>
                  <w:r>
                    <w:rPr>
                      <w:rFonts w:hint="eastAsia"/>
                      <w:b/>
                      <w:bCs/>
                      <w:color w:val="auto"/>
                    </w:rPr>
                    <w:t>温度</w:t>
                  </w:r>
                </w:p>
              </w:tc>
              <w:tc>
                <w:tcPr>
                  <w:tcW w:w="837" w:type="dxa"/>
                  <w:noWrap w:val="0"/>
                  <w:vAlign w:val="center"/>
                </w:tcPr>
                <w:p>
                  <w:pPr>
                    <w:adjustRightInd w:val="0"/>
                    <w:snapToGrid w:val="0"/>
                    <w:jc w:val="center"/>
                    <w:rPr>
                      <w:rFonts w:hint="eastAsia"/>
                      <w:b/>
                      <w:bCs/>
                      <w:color w:val="auto"/>
                    </w:rPr>
                  </w:pPr>
                  <w:r>
                    <w:rPr>
                      <w:rFonts w:hint="eastAsia"/>
                      <w:b/>
                      <w:bCs/>
                      <w:color w:val="auto"/>
                    </w:rPr>
                    <w:t>编号</w:t>
                  </w:r>
                </w:p>
              </w:tc>
              <w:tc>
                <w:tcPr>
                  <w:tcW w:w="651" w:type="dxa"/>
                  <w:noWrap w:val="0"/>
                  <w:vAlign w:val="center"/>
                </w:tcPr>
                <w:p>
                  <w:pPr>
                    <w:adjustRightInd w:val="0"/>
                    <w:snapToGrid w:val="0"/>
                    <w:jc w:val="center"/>
                    <w:rPr>
                      <w:rFonts w:hint="eastAsia"/>
                      <w:b/>
                      <w:bCs/>
                      <w:color w:val="auto"/>
                    </w:rPr>
                  </w:pPr>
                  <w:r>
                    <w:rPr>
                      <w:rFonts w:hint="eastAsia"/>
                      <w:b/>
                      <w:bCs/>
                      <w:color w:val="auto"/>
                    </w:rPr>
                    <w:t>名称</w:t>
                  </w:r>
                </w:p>
              </w:tc>
              <w:tc>
                <w:tcPr>
                  <w:tcW w:w="513" w:type="dxa"/>
                  <w:noWrap w:val="0"/>
                  <w:vAlign w:val="center"/>
                </w:tcPr>
                <w:p>
                  <w:pPr>
                    <w:adjustRightInd w:val="0"/>
                    <w:snapToGrid w:val="0"/>
                    <w:jc w:val="center"/>
                    <w:rPr>
                      <w:rFonts w:hint="eastAsia"/>
                      <w:b/>
                      <w:bCs/>
                      <w:color w:val="auto"/>
                    </w:rPr>
                  </w:pPr>
                  <w:r>
                    <w:rPr>
                      <w:rFonts w:hint="eastAsia"/>
                      <w:b/>
                      <w:bCs/>
                      <w:color w:val="auto"/>
                    </w:rPr>
                    <w:t>类型</w:t>
                  </w:r>
                </w:p>
              </w:tc>
              <w:tc>
                <w:tcPr>
                  <w:tcW w:w="737" w:type="dxa"/>
                  <w:noWrap w:val="0"/>
                  <w:vAlign w:val="center"/>
                </w:tcPr>
                <w:p>
                  <w:pPr>
                    <w:adjustRightInd w:val="0"/>
                    <w:snapToGrid w:val="0"/>
                    <w:jc w:val="center"/>
                    <w:rPr>
                      <w:rFonts w:hint="eastAsia"/>
                      <w:b/>
                      <w:bCs/>
                      <w:color w:val="auto"/>
                    </w:rPr>
                  </w:pPr>
                  <w:r>
                    <w:rPr>
                      <w:b/>
                      <w:bCs/>
                      <w:color w:val="auto"/>
                    </w:rPr>
                    <w:t>经度</w:t>
                  </w:r>
                </w:p>
              </w:tc>
              <w:tc>
                <w:tcPr>
                  <w:tcW w:w="750" w:type="dxa"/>
                  <w:noWrap w:val="0"/>
                  <w:vAlign w:val="center"/>
                </w:tcPr>
                <w:p>
                  <w:pPr>
                    <w:adjustRightInd w:val="0"/>
                    <w:snapToGrid w:val="0"/>
                    <w:jc w:val="center"/>
                    <w:rPr>
                      <w:rFonts w:hint="eastAsia"/>
                      <w:b/>
                      <w:bCs/>
                      <w:color w:val="auto"/>
                    </w:rPr>
                  </w:pPr>
                  <w:r>
                    <w:rPr>
                      <w:b/>
                      <w:bCs/>
                      <w:color w:val="auto"/>
                    </w:rPr>
                    <w:t>纬度</w:t>
                  </w:r>
                </w:p>
              </w:tc>
              <w:tc>
                <w:tcPr>
                  <w:tcW w:w="2596" w:type="dxa"/>
                  <w:vMerge w:val="continue"/>
                  <w:noWrap w:val="0"/>
                  <w:vAlign w:val="center"/>
                </w:tcPr>
                <w:p>
                  <w:pPr>
                    <w:adjustRightInd w:val="0"/>
                    <w:snapToGrid w:val="0"/>
                    <w:jc w:val="center"/>
                    <w:rPr>
                      <w:rFonts w:hint="eastAsia"/>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665" w:type="dxa"/>
                  <w:noWrap w:val="0"/>
                  <w:vAlign w:val="center"/>
                </w:tcPr>
                <w:p>
                  <w:pPr>
                    <w:adjustRightInd w:val="0"/>
                    <w:snapToGrid w:val="0"/>
                    <w:jc w:val="center"/>
                    <w:rPr>
                      <w:color w:val="auto"/>
                    </w:rPr>
                  </w:pPr>
                  <w:r>
                    <w:rPr>
                      <w:rFonts w:hint="eastAsia"/>
                      <w:color w:val="auto"/>
                    </w:rPr>
                    <w:t>15m</w:t>
                  </w:r>
                </w:p>
              </w:tc>
              <w:tc>
                <w:tcPr>
                  <w:tcW w:w="675" w:type="dxa"/>
                  <w:noWrap w:val="0"/>
                  <w:vAlign w:val="center"/>
                </w:tcPr>
                <w:p>
                  <w:pPr>
                    <w:adjustRightInd w:val="0"/>
                    <w:snapToGrid w:val="0"/>
                    <w:jc w:val="center"/>
                    <w:rPr>
                      <w:color w:val="auto"/>
                    </w:rPr>
                  </w:pPr>
                  <w:r>
                    <w:rPr>
                      <w:rFonts w:hint="eastAsia"/>
                      <w:color w:val="auto"/>
                    </w:rPr>
                    <w:t>0.</w:t>
                  </w:r>
                  <w:r>
                    <w:rPr>
                      <w:rFonts w:hint="eastAsia"/>
                      <w:color w:val="auto"/>
                      <w:lang w:val="en-US" w:eastAsia="zh-CN"/>
                    </w:rPr>
                    <w:t>6</w:t>
                  </w:r>
                  <w:r>
                    <w:rPr>
                      <w:rFonts w:hint="eastAsia"/>
                      <w:color w:val="auto"/>
                    </w:rPr>
                    <w:t>m</w:t>
                  </w:r>
                </w:p>
              </w:tc>
              <w:tc>
                <w:tcPr>
                  <w:tcW w:w="513" w:type="dxa"/>
                  <w:noWrap w:val="0"/>
                  <w:vAlign w:val="center"/>
                </w:tcPr>
                <w:p>
                  <w:pPr>
                    <w:adjustRightInd w:val="0"/>
                    <w:snapToGrid w:val="0"/>
                    <w:jc w:val="center"/>
                    <w:rPr>
                      <w:color w:val="auto"/>
                    </w:rPr>
                  </w:pPr>
                  <w:r>
                    <w:rPr>
                      <w:rFonts w:hint="eastAsia"/>
                      <w:color w:val="auto"/>
                      <w:lang w:val="en-US" w:eastAsia="zh-CN"/>
                    </w:rPr>
                    <w:t>20</w:t>
                  </w:r>
                  <w:r>
                    <w:rPr>
                      <w:color w:val="auto"/>
                    </w:rPr>
                    <w:t>℃</w:t>
                  </w:r>
                </w:p>
              </w:tc>
              <w:tc>
                <w:tcPr>
                  <w:tcW w:w="837" w:type="dxa"/>
                  <w:noWrap w:val="0"/>
                  <w:vAlign w:val="center"/>
                </w:tcPr>
                <w:p>
                  <w:pPr>
                    <w:adjustRightInd w:val="0"/>
                    <w:snapToGrid w:val="0"/>
                    <w:jc w:val="center"/>
                    <w:rPr>
                      <w:rFonts w:hint="default" w:eastAsia="宋体"/>
                      <w:color w:val="auto"/>
                      <w:lang w:val="en-US" w:eastAsia="zh-CN"/>
                    </w:rPr>
                  </w:pPr>
                  <w:r>
                    <w:rPr>
                      <w:rFonts w:hint="eastAsia"/>
                      <w:color w:val="auto"/>
                    </w:rPr>
                    <w:t>DA001</w:t>
                  </w:r>
                </w:p>
              </w:tc>
              <w:tc>
                <w:tcPr>
                  <w:tcW w:w="651" w:type="dxa"/>
                  <w:noWrap w:val="0"/>
                  <w:vAlign w:val="center"/>
                </w:tcPr>
                <w:p>
                  <w:pPr>
                    <w:adjustRightInd w:val="0"/>
                    <w:snapToGrid w:val="0"/>
                    <w:jc w:val="center"/>
                    <w:rPr>
                      <w:color w:val="auto"/>
                    </w:rPr>
                  </w:pPr>
                  <w:r>
                    <w:rPr>
                      <w:rFonts w:hint="eastAsia"/>
                      <w:color w:val="auto"/>
                      <w:lang w:eastAsia="zh-CN"/>
                    </w:rPr>
                    <w:t>注塑吹塑废气</w:t>
                  </w:r>
                  <w:r>
                    <w:rPr>
                      <w:rFonts w:hint="eastAsia"/>
                      <w:color w:val="auto"/>
                    </w:rPr>
                    <w:t>排放口</w:t>
                  </w:r>
                </w:p>
              </w:tc>
              <w:tc>
                <w:tcPr>
                  <w:tcW w:w="513" w:type="dxa"/>
                  <w:noWrap w:val="0"/>
                  <w:vAlign w:val="center"/>
                </w:tcPr>
                <w:p>
                  <w:pPr>
                    <w:adjustRightInd w:val="0"/>
                    <w:snapToGrid w:val="0"/>
                    <w:jc w:val="center"/>
                    <w:rPr>
                      <w:rFonts w:hint="eastAsia"/>
                      <w:color w:val="auto"/>
                    </w:rPr>
                  </w:pPr>
                  <w:r>
                    <w:rPr>
                      <w:rFonts w:hint="eastAsia"/>
                      <w:color w:val="auto"/>
                    </w:rPr>
                    <w:t>一般排放口</w:t>
                  </w:r>
                </w:p>
              </w:tc>
              <w:tc>
                <w:tcPr>
                  <w:tcW w:w="737" w:type="dxa"/>
                  <w:noWrap w:val="0"/>
                  <w:vAlign w:val="center"/>
                </w:tcPr>
                <w:p>
                  <w:pPr>
                    <w:adjustRightInd w:val="0"/>
                    <w:snapToGrid w:val="0"/>
                    <w:jc w:val="center"/>
                    <w:rPr>
                      <w:rFonts w:hint="default" w:eastAsia="宋体"/>
                      <w:color w:val="auto"/>
                      <w:lang w:val="en-US" w:eastAsia="zh-CN"/>
                    </w:rPr>
                  </w:pPr>
                  <w:r>
                    <w:rPr>
                      <w:rFonts w:hint="eastAsia"/>
                      <w:color w:val="auto"/>
                    </w:rPr>
                    <w:t>11</w:t>
                  </w:r>
                  <w:r>
                    <w:rPr>
                      <w:rFonts w:hint="eastAsia"/>
                      <w:color w:val="auto"/>
                      <w:lang w:val="en-US" w:eastAsia="zh-CN"/>
                    </w:rPr>
                    <w:t>6.95176</w:t>
                  </w:r>
                </w:p>
              </w:tc>
              <w:tc>
                <w:tcPr>
                  <w:tcW w:w="750" w:type="dxa"/>
                  <w:noWrap w:val="0"/>
                  <w:vAlign w:val="center"/>
                </w:tcPr>
                <w:p>
                  <w:pPr>
                    <w:adjustRightInd w:val="0"/>
                    <w:snapToGrid w:val="0"/>
                    <w:jc w:val="center"/>
                    <w:rPr>
                      <w:rFonts w:hint="default" w:eastAsia="宋体"/>
                      <w:color w:val="auto"/>
                      <w:lang w:val="en-US" w:eastAsia="zh-CN"/>
                    </w:rPr>
                  </w:pPr>
                  <w:r>
                    <w:rPr>
                      <w:rFonts w:hint="eastAsia"/>
                      <w:color w:val="auto"/>
                    </w:rPr>
                    <w:t>31.</w:t>
                  </w:r>
                  <w:r>
                    <w:rPr>
                      <w:rFonts w:hint="eastAsia"/>
                      <w:color w:val="auto"/>
                      <w:lang w:val="en-US" w:eastAsia="zh-CN"/>
                    </w:rPr>
                    <w:t>49128</w:t>
                  </w:r>
                </w:p>
              </w:tc>
              <w:tc>
                <w:tcPr>
                  <w:tcW w:w="2596" w:type="dxa"/>
                  <w:noWrap w:val="0"/>
                  <w:vAlign w:val="center"/>
                </w:tcPr>
                <w:p>
                  <w:pPr>
                    <w:adjustRightInd w:val="0"/>
                    <w:snapToGrid w:val="0"/>
                    <w:jc w:val="center"/>
                    <w:rPr>
                      <w:rFonts w:hint="eastAsia"/>
                      <w:color w:val="auto"/>
                    </w:rPr>
                  </w:pPr>
                  <w:r>
                    <w:rPr>
                      <w:rFonts w:hint="eastAsia"/>
                      <w:color w:val="auto"/>
                      <w:lang w:eastAsia="zh-CN"/>
                    </w:rPr>
                    <w:t>非甲烷总烃排放执行《合成树脂工业污染物排放标准》（GB31572-2015）表5中大气污染物特别排放限值及表9中企业边界大气污染物浓度限值，厂区内非甲烷总烃无组织排放监控点浓度限值执行《挥发性有机物无组织排放控制标准》（GB37822-2019）附录A中表A.1的特别排放限值</w:t>
                  </w:r>
                </w:p>
              </w:tc>
            </w:tr>
          </w:tbl>
          <w:p>
            <w:pPr>
              <w:adjustRightInd w:val="0"/>
              <w:snapToGrid w:val="0"/>
              <w:spacing w:before="120" w:beforeLines="50" w:line="360" w:lineRule="auto"/>
              <w:ind w:firstLine="482" w:firstLineChars="200"/>
              <w:rPr>
                <w:b/>
                <w:bCs/>
                <w:color w:val="auto"/>
                <w:sz w:val="24"/>
              </w:rPr>
            </w:pPr>
            <w:r>
              <w:rPr>
                <w:rFonts w:hint="eastAsia"/>
                <w:b/>
                <w:bCs/>
                <w:color w:val="auto"/>
                <w:sz w:val="24"/>
                <w:lang w:val="en-US" w:eastAsia="zh-CN"/>
              </w:rPr>
              <w:t>5、</w:t>
            </w:r>
            <w:r>
              <w:rPr>
                <w:rFonts w:hint="eastAsia"/>
                <w:b/>
                <w:bCs/>
                <w:color w:val="auto"/>
                <w:sz w:val="24"/>
              </w:rPr>
              <w:t>废气监测计划一览表</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color w:val="auto"/>
                <w:sz w:val="24"/>
              </w:rPr>
            </w:pPr>
            <w:r>
              <w:rPr>
                <w:rFonts w:hint="eastAsia"/>
                <w:color w:val="auto"/>
                <w:sz w:val="24"/>
              </w:rPr>
              <w:t xml:space="preserve">根据项目生产工艺特点以及《排污单位自行监测技术指南总则》（HJ819-2017），项目属于非重点排污单位，且全厂废气排放口为非主要排放口，结合《排污许可证申请与核发技术规范 </w:t>
            </w:r>
            <w:r>
              <w:rPr>
                <w:rFonts w:hint="eastAsia"/>
                <w:color w:val="auto"/>
                <w:sz w:val="24"/>
                <w:lang w:eastAsia="zh-CN"/>
              </w:rPr>
              <w:t>橡胶和塑料制品工</w:t>
            </w:r>
            <w:r>
              <w:rPr>
                <w:rFonts w:hint="eastAsia"/>
                <w:color w:val="auto"/>
                <w:sz w:val="24"/>
              </w:rPr>
              <w:t>业》，制定以下监测计划。</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color w:val="auto"/>
                <w:sz w:val="24"/>
                <w:u w:val="single"/>
                <w:lang w:val="en-US" w:eastAsia="zh-CN"/>
              </w:rPr>
            </w:pPr>
            <w:r>
              <w:rPr>
                <w:rFonts w:hint="eastAsia" w:ascii="Times New Roman" w:hAnsi="Times New Roman" w:cs="Times New Roman"/>
                <w:color w:val="auto"/>
                <w:sz w:val="24"/>
                <w:u w:val="single"/>
                <w:lang w:val="en-US" w:eastAsia="zh-CN"/>
              </w:rPr>
              <w:t>本项目为日用塑料制品制造行业，根据《固定污染源排污许可分类管理名录》（2019版），确定为</w:t>
            </w:r>
            <w:r>
              <w:rPr>
                <w:rFonts w:hint="eastAsia" w:ascii="Times New Roman" w:hAnsi="Times New Roman" w:cs="Times New Roman"/>
                <w:b/>
                <w:bCs/>
                <w:color w:val="auto"/>
                <w:sz w:val="24"/>
                <w:u w:val="single"/>
                <w:lang w:val="en-US" w:eastAsia="zh-CN"/>
              </w:rPr>
              <w:t>登记</w:t>
            </w:r>
            <w:r>
              <w:rPr>
                <w:rFonts w:hint="eastAsia" w:ascii="Times New Roman" w:hAnsi="Times New Roman" w:cs="Times New Roman"/>
                <w:color w:val="auto"/>
                <w:sz w:val="24"/>
                <w:u w:val="single"/>
                <w:lang w:val="en-US" w:eastAsia="zh-CN"/>
              </w:rPr>
              <w:t>管理。</w:t>
            </w:r>
          </w:p>
          <w:p>
            <w:pPr>
              <w:adjustRightInd w:val="0"/>
              <w:snapToGrid w:val="0"/>
              <w:spacing w:line="360" w:lineRule="auto"/>
              <w:ind w:firstLine="482" w:firstLineChars="200"/>
              <w:jc w:val="center"/>
              <w:rPr>
                <w:b/>
                <w:bCs/>
                <w:color w:val="auto"/>
                <w:sz w:val="24"/>
              </w:rPr>
            </w:pPr>
            <w:r>
              <w:rPr>
                <w:rFonts w:hint="eastAsia"/>
                <w:b/>
                <w:bCs/>
                <w:color w:val="auto"/>
                <w:sz w:val="24"/>
              </w:rPr>
              <w:t>表4-</w:t>
            </w:r>
            <w:r>
              <w:rPr>
                <w:rFonts w:hint="eastAsia"/>
                <w:b/>
                <w:bCs/>
                <w:color w:val="auto"/>
                <w:sz w:val="24"/>
                <w:lang w:val="en-US" w:eastAsia="zh-CN"/>
              </w:rPr>
              <w:t>4</w:t>
            </w:r>
            <w:r>
              <w:rPr>
                <w:rFonts w:hint="eastAsia"/>
                <w:b/>
                <w:bCs/>
                <w:color w:val="auto"/>
                <w:sz w:val="24"/>
              </w:rPr>
              <w:t xml:space="preserve"> 废气监测计划一览表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887"/>
              <w:gridCol w:w="1275"/>
              <w:gridCol w:w="1275"/>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15" w:type="dxa"/>
                  <w:gridSpan w:val="2"/>
                  <w:noWrap w:val="0"/>
                  <w:vAlign w:val="center"/>
                </w:tcPr>
                <w:p>
                  <w:pPr>
                    <w:jc w:val="center"/>
                    <w:rPr>
                      <w:b/>
                      <w:bCs/>
                      <w:color w:val="auto"/>
                      <w:szCs w:val="21"/>
                    </w:rPr>
                  </w:pPr>
                  <w:r>
                    <w:rPr>
                      <w:rFonts w:hint="eastAsia"/>
                      <w:b/>
                      <w:bCs/>
                      <w:color w:val="auto"/>
                      <w:szCs w:val="21"/>
                    </w:rPr>
                    <w:t>监测点位</w:t>
                  </w:r>
                </w:p>
              </w:tc>
              <w:tc>
                <w:tcPr>
                  <w:tcW w:w="1275" w:type="dxa"/>
                  <w:noWrap w:val="0"/>
                  <w:vAlign w:val="center"/>
                </w:tcPr>
                <w:p>
                  <w:pPr>
                    <w:jc w:val="center"/>
                    <w:rPr>
                      <w:rFonts w:hint="eastAsia"/>
                      <w:b/>
                      <w:bCs/>
                      <w:color w:val="auto"/>
                      <w:szCs w:val="21"/>
                    </w:rPr>
                  </w:pPr>
                  <w:r>
                    <w:rPr>
                      <w:rFonts w:hint="eastAsia"/>
                      <w:b/>
                      <w:bCs/>
                      <w:color w:val="auto"/>
                      <w:szCs w:val="21"/>
                    </w:rPr>
                    <w:t>监测因子</w:t>
                  </w:r>
                </w:p>
              </w:tc>
              <w:tc>
                <w:tcPr>
                  <w:tcW w:w="1275" w:type="dxa"/>
                  <w:noWrap w:val="0"/>
                  <w:vAlign w:val="center"/>
                </w:tcPr>
                <w:p>
                  <w:pPr>
                    <w:jc w:val="center"/>
                    <w:rPr>
                      <w:rFonts w:hint="eastAsia"/>
                      <w:b/>
                      <w:bCs/>
                      <w:color w:val="auto"/>
                      <w:szCs w:val="21"/>
                    </w:rPr>
                  </w:pPr>
                  <w:r>
                    <w:rPr>
                      <w:rFonts w:hint="eastAsia"/>
                      <w:b/>
                      <w:bCs/>
                      <w:color w:val="auto"/>
                      <w:szCs w:val="21"/>
                    </w:rPr>
                    <w:t>监测频次</w:t>
                  </w:r>
                </w:p>
              </w:tc>
              <w:tc>
                <w:tcPr>
                  <w:tcW w:w="2972" w:type="dxa"/>
                  <w:noWrap w:val="0"/>
                  <w:vAlign w:val="center"/>
                </w:tcPr>
                <w:p>
                  <w:pPr>
                    <w:jc w:val="center"/>
                    <w:rPr>
                      <w:rFonts w:hint="eastAsia"/>
                      <w:b/>
                      <w:bCs/>
                      <w:color w:val="auto"/>
                      <w:szCs w:val="21"/>
                    </w:rPr>
                  </w:pPr>
                  <w:r>
                    <w:rPr>
                      <w:rFonts w:hint="eastAsia"/>
                      <w:b/>
                      <w:bCs/>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528" w:type="dxa"/>
                  <w:noWrap w:val="0"/>
                  <w:vAlign w:val="center"/>
                </w:tcPr>
                <w:p>
                  <w:pPr>
                    <w:adjustRightInd w:val="0"/>
                    <w:snapToGrid w:val="0"/>
                    <w:jc w:val="center"/>
                    <w:rPr>
                      <w:rFonts w:hint="eastAsia"/>
                      <w:color w:val="auto"/>
                      <w:szCs w:val="21"/>
                    </w:rPr>
                  </w:pPr>
                  <w:r>
                    <w:rPr>
                      <w:rFonts w:hint="eastAsia"/>
                      <w:color w:val="auto"/>
                      <w:lang w:eastAsia="zh-CN"/>
                    </w:rPr>
                    <w:t>注塑吹塑废气</w:t>
                  </w:r>
                  <w:r>
                    <w:rPr>
                      <w:rFonts w:hint="eastAsia"/>
                      <w:color w:val="auto"/>
                    </w:rPr>
                    <w:t>排放口</w:t>
                  </w:r>
                </w:p>
              </w:tc>
              <w:tc>
                <w:tcPr>
                  <w:tcW w:w="887" w:type="dxa"/>
                  <w:noWrap w:val="0"/>
                  <w:vAlign w:val="center"/>
                </w:tcPr>
                <w:p>
                  <w:pPr>
                    <w:adjustRightInd w:val="0"/>
                    <w:snapToGrid w:val="0"/>
                    <w:jc w:val="center"/>
                    <w:rPr>
                      <w:rFonts w:hint="eastAsia"/>
                      <w:color w:val="auto"/>
                      <w:lang w:eastAsia="zh-CN"/>
                    </w:rPr>
                  </w:pPr>
                </w:p>
                <w:p>
                  <w:pPr>
                    <w:adjustRightInd w:val="0"/>
                    <w:snapToGrid w:val="0"/>
                    <w:jc w:val="center"/>
                    <w:rPr>
                      <w:rFonts w:hint="default"/>
                      <w:color w:val="auto"/>
                      <w:lang w:val="en-US" w:eastAsia="zh-CN"/>
                    </w:rPr>
                  </w:pPr>
                  <w:r>
                    <w:rPr>
                      <w:rFonts w:hint="eastAsia"/>
                      <w:color w:val="auto"/>
                      <w:lang w:eastAsia="zh-CN"/>
                    </w:rPr>
                    <w:t>DA00</w:t>
                  </w:r>
                  <w:r>
                    <w:rPr>
                      <w:rFonts w:hint="eastAsia"/>
                      <w:color w:val="auto"/>
                      <w:lang w:val="en-US" w:eastAsia="zh-CN"/>
                    </w:rPr>
                    <w:t>1</w:t>
                  </w:r>
                </w:p>
                <w:p>
                  <w:pPr>
                    <w:adjustRightInd w:val="0"/>
                    <w:snapToGrid w:val="0"/>
                    <w:jc w:val="center"/>
                    <w:rPr>
                      <w:rFonts w:hint="eastAsia"/>
                      <w:color w:val="auto"/>
                      <w:lang w:eastAsia="zh-CN"/>
                    </w:rPr>
                  </w:pPr>
                </w:p>
              </w:tc>
              <w:tc>
                <w:tcPr>
                  <w:tcW w:w="1275" w:type="dxa"/>
                  <w:noWrap w:val="0"/>
                  <w:vAlign w:val="center"/>
                </w:tcPr>
                <w:p>
                  <w:pPr>
                    <w:jc w:val="center"/>
                    <w:rPr>
                      <w:rFonts w:hint="eastAsia"/>
                      <w:color w:val="auto"/>
                      <w:szCs w:val="21"/>
                    </w:rPr>
                  </w:pPr>
                  <w:r>
                    <w:rPr>
                      <w:rFonts w:hint="eastAsia"/>
                      <w:color w:val="auto"/>
                      <w:szCs w:val="21"/>
                    </w:rPr>
                    <w:t>非甲烷总烃</w:t>
                  </w:r>
                </w:p>
              </w:tc>
              <w:tc>
                <w:tcPr>
                  <w:tcW w:w="1275" w:type="dxa"/>
                  <w:noWrap w:val="0"/>
                  <w:vAlign w:val="center"/>
                </w:tcPr>
                <w:p>
                  <w:pPr>
                    <w:widowControl/>
                    <w:jc w:val="center"/>
                    <w:rPr>
                      <w:color w:val="auto"/>
                      <w:szCs w:val="21"/>
                    </w:rPr>
                  </w:pPr>
                  <w:r>
                    <w:rPr>
                      <w:color w:val="auto"/>
                      <w:kern w:val="0"/>
                      <w:szCs w:val="21"/>
                      <w:lang w:bidi="ar"/>
                    </w:rPr>
                    <w:t xml:space="preserve">1 </w:t>
                  </w:r>
                  <w:r>
                    <w:rPr>
                      <w:rFonts w:hint="eastAsia" w:ascii="宋体" w:hAnsi="宋体" w:cs="宋体"/>
                      <w:color w:val="auto"/>
                      <w:kern w:val="0"/>
                      <w:szCs w:val="21"/>
                      <w:lang w:bidi="ar"/>
                    </w:rPr>
                    <w:t>次</w:t>
                  </w:r>
                  <w:r>
                    <w:rPr>
                      <w:color w:val="auto"/>
                      <w:kern w:val="0"/>
                      <w:szCs w:val="21"/>
                      <w:lang w:bidi="ar"/>
                    </w:rPr>
                    <w:t>/</w:t>
                  </w:r>
                  <w:r>
                    <w:rPr>
                      <w:rFonts w:hint="eastAsia" w:ascii="宋体" w:hAnsi="宋体" w:cs="宋体"/>
                      <w:color w:val="auto"/>
                      <w:kern w:val="0"/>
                      <w:szCs w:val="21"/>
                      <w:lang w:bidi="ar"/>
                    </w:rPr>
                    <w:t>年</w:t>
                  </w:r>
                </w:p>
              </w:tc>
              <w:tc>
                <w:tcPr>
                  <w:tcW w:w="2972" w:type="dxa"/>
                  <w:vMerge w:val="restart"/>
                  <w:noWrap w:val="0"/>
                  <w:vAlign w:val="center"/>
                </w:tcPr>
                <w:p>
                  <w:pPr>
                    <w:jc w:val="center"/>
                    <w:rPr>
                      <w:color w:val="auto"/>
                      <w:szCs w:val="21"/>
                    </w:rPr>
                  </w:pPr>
                  <w:r>
                    <w:rPr>
                      <w:rFonts w:hint="eastAsia"/>
                      <w:color w:val="auto"/>
                      <w:lang w:eastAsia="zh-CN"/>
                    </w:rPr>
                    <w:t>非甲烷总烃排放执行《合成树脂工业污染物排放标准》（GB31572-2015）表5中大气污染物特别排放限值及表9中企业边界大气污染物浓度限值，厂区内非甲烷总烃无组织排放监控点浓度限值执行《挥发性有机物无组织排放控制标准》（GB37822-2019）附录A中表A.1的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8" w:type="dxa"/>
                  <w:noWrap w:val="0"/>
                  <w:vAlign w:val="center"/>
                </w:tcPr>
                <w:p>
                  <w:pPr>
                    <w:jc w:val="center"/>
                    <w:rPr>
                      <w:rFonts w:hint="eastAsia"/>
                      <w:color w:val="auto"/>
                      <w:szCs w:val="21"/>
                    </w:rPr>
                  </w:pPr>
                  <w:r>
                    <w:rPr>
                      <w:rFonts w:hint="eastAsia"/>
                      <w:color w:val="auto"/>
                      <w:szCs w:val="21"/>
                    </w:rPr>
                    <w:t>无组织</w:t>
                  </w:r>
                </w:p>
              </w:tc>
              <w:tc>
                <w:tcPr>
                  <w:tcW w:w="887" w:type="dxa"/>
                  <w:noWrap w:val="0"/>
                  <w:vAlign w:val="center"/>
                </w:tcPr>
                <w:p>
                  <w:pPr>
                    <w:jc w:val="center"/>
                    <w:rPr>
                      <w:rFonts w:hint="eastAsia"/>
                      <w:color w:val="auto"/>
                      <w:szCs w:val="21"/>
                    </w:rPr>
                  </w:pPr>
                  <w:r>
                    <w:rPr>
                      <w:rFonts w:hint="eastAsia"/>
                      <w:color w:val="auto"/>
                      <w:szCs w:val="21"/>
                    </w:rPr>
                    <w:t>厂界</w:t>
                  </w:r>
                </w:p>
              </w:tc>
              <w:tc>
                <w:tcPr>
                  <w:tcW w:w="1275" w:type="dxa"/>
                  <w:noWrap w:val="0"/>
                  <w:vAlign w:val="center"/>
                </w:tcPr>
                <w:p>
                  <w:pPr>
                    <w:jc w:val="center"/>
                    <w:rPr>
                      <w:rFonts w:hint="eastAsia" w:eastAsia="宋体"/>
                      <w:color w:val="auto"/>
                      <w:szCs w:val="21"/>
                      <w:lang w:eastAsia="zh-CN"/>
                    </w:rPr>
                  </w:pPr>
                  <w:r>
                    <w:rPr>
                      <w:rFonts w:hint="eastAsia"/>
                      <w:color w:val="auto"/>
                      <w:szCs w:val="21"/>
                    </w:rPr>
                    <w:t>非甲烷总烃</w:t>
                  </w:r>
                </w:p>
              </w:tc>
              <w:tc>
                <w:tcPr>
                  <w:tcW w:w="1275" w:type="dxa"/>
                  <w:noWrap w:val="0"/>
                  <w:vAlign w:val="center"/>
                </w:tcPr>
                <w:p>
                  <w:pPr>
                    <w:widowControl/>
                    <w:jc w:val="center"/>
                    <w:rPr>
                      <w:color w:val="auto"/>
                      <w:szCs w:val="21"/>
                    </w:rPr>
                  </w:pPr>
                  <w:r>
                    <w:rPr>
                      <w:color w:val="auto"/>
                      <w:kern w:val="0"/>
                      <w:szCs w:val="21"/>
                      <w:lang w:bidi="ar"/>
                    </w:rPr>
                    <w:t xml:space="preserve">1 </w:t>
                  </w:r>
                  <w:r>
                    <w:rPr>
                      <w:rFonts w:hint="eastAsia" w:ascii="宋体" w:hAnsi="宋体" w:cs="宋体"/>
                      <w:color w:val="auto"/>
                      <w:kern w:val="0"/>
                      <w:szCs w:val="21"/>
                      <w:lang w:bidi="ar"/>
                    </w:rPr>
                    <w:t>次</w:t>
                  </w:r>
                  <w:r>
                    <w:rPr>
                      <w:color w:val="auto"/>
                      <w:kern w:val="0"/>
                      <w:szCs w:val="21"/>
                      <w:lang w:bidi="ar"/>
                    </w:rPr>
                    <w:t>/</w:t>
                  </w:r>
                  <w:r>
                    <w:rPr>
                      <w:rFonts w:hint="eastAsia" w:ascii="宋体" w:hAnsi="宋体" w:cs="宋体"/>
                      <w:color w:val="auto"/>
                      <w:kern w:val="0"/>
                      <w:szCs w:val="21"/>
                      <w:lang w:bidi="ar"/>
                    </w:rPr>
                    <w:t>年</w:t>
                  </w:r>
                </w:p>
              </w:tc>
              <w:tc>
                <w:tcPr>
                  <w:tcW w:w="2972" w:type="dxa"/>
                  <w:vMerge w:val="continue"/>
                  <w:noWrap w:val="0"/>
                  <w:vAlign w:val="center"/>
                </w:tcPr>
                <w:p>
                  <w:pPr>
                    <w:jc w:val="center"/>
                    <w:rPr>
                      <w:color w:val="auto"/>
                      <w:szCs w:val="21"/>
                    </w:rPr>
                  </w:pPr>
                </w:p>
              </w:tc>
            </w:tr>
          </w:tbl>
          <w:p>
            <w:pPr>
              <w:adjustRightInd w:val="0"/>
              <w:snapToGrid w:val="0"/>
              <w:spacing w:before="120" w:beforeLines="50" w:line="360" w:lineRule="auto"/>
              <w:ind w:firstLine="482" w:firstLineChars="200"/>
              <w:rPr>
                <w:rFonts w:hint="eastAsia" w:eastAsia="宋体"/>
                <w:b/>
                <w:bCs/>
                <w:color w:val="auto"/>
                <w:sz w:val="24"/>
                <w:lang w:val="en-US" w:eastAsia="zh-CN"/>
              </w:rPr>
            </w:pPr>
            <w:r>
              <w:rPr>
                <w:rFonts w:hint="eastAsia"/>
                <w:b/>
                <w:bCs/>
                <w:color w:val="auto"/>
                <w:sz w:val="24"/>
                <w:lang w:val="en-US" w:eastAsia="zh-CN"/>
              </w:rPr>
              <w:t>6、</w:t>
            </w:r>
            <w:r>
              <w:rPr>
                <w:rFonts w:hint="eastAsia"/>
                <w:b/>
                <w:bCs/>
                <w:color w:val="auto"/>
                <w:sz w:val="24"/>
              </w:rPr>
              <w:t>非正常工况排放</w:t>
            </w:r>
          </w:p>
          <w:p>
            <w:pPr>
              <w:pStyle w:val="25"/>
              <w:snapToGrid w:val="0"/>
              <w:spacing w:line="360" w:lineRule="auto"/>
              <w:ind w:firstLine="480" w:firstLineChars="200"/>
              <w:jc w:val="both"/>
              <w:rPr>
                <w:rFonts w:hint="eastAsia"/>
                <w:lang w:val="en-US" w:eastAsia="zh-CN"/>
              </w:rPr>
            </w:pPr>
            <w:r>
              <w:rPr>
                <w:rFonts w:hint="eastAsia"/>
                <w:color w:val="auto"/>
                <w:lang w:val="en-US" w:eastAsia="zh-CN"/>
              </w:rPr>
              <w:t>《环境影响评价技术导则 大气环境》（HJ2.2—2018）中非正常排放定义为“指生产过程中</w:t>
            </w:r>
            <w:r>
              <w:rPr>
                <w:rFonts w:hint="eastAsia"/>
                <w:lang w:val="en-US" w:eastAsia="zh-CN"/>
              </w:rPr>
              <w:t>开停车（工、炉）、设备检修、工艺设备运转异常等非正常工况下的污染物排放，以及污染物排放控制措施达不到应有效率等情况下的排放”。</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lang w:val="en-US" w:eastAsia="zh-CN"/>
              </w:rPr>
              <w:t xml:space="preserve"> </w:t>
            </w:r>
            <w:r>
              <w:rPr>
                <w:rFonts w:hint="eastAsia" w:ascii="Times New Roman" w:hAnsi="Times New Roman" w:eastAsia="宋体" w:cs="Times New Roman"/>
                <w:color w:val="auto"/>
                <w:kern w:val="0"/>
                <w:sz w:val="24"/>
                <w:szCs w:val="24"/>
                <w:lang w:val="en-US" w:eastAsia="zh-CN" w:bidi="ar"/>
              </w:rPr>
              <w:t>结合项目的生产特点，本项目非正常排放主要考虑</w:t>
            </w:r>
            <w:r>
              <w:rPr>
                <w:rFonts w:hint="eastAsia" w:ascii="宋体" w:hAnsi="宋体" w:cs="宋体"/>
                <w:color w:val="auto"/>
                <w:kern w:val="0"/>
                <w:sz w:val="24"/>
                <w:szCs w:val="24"/>
                <w:lang w:val="en-US" w:eastAsia="zh-CN" w:bidi="ar"/>
              </w:rPr>
              <w:t>注塑加热吹塑过程</w:t>
            </w:r>
            <w:r>
              <w:rPr>
                <w:rFonts w:hint="eastAsia" w:ascii="宋体" w:hAnsi="宋体" w:eastAsia="宋体" w:cs="宋体"/>
                <w:color w:val="auto"/>
                <w:kern w:val="0"/>
                <w:sz w:val="24"/>
                <w:szCs w:val="24"/>
                <w:lang w:val="en-US" w:eastAsia="zh-CN" w:bidi="ar"/>
              </w:rPr>
              <w:t>所配套的</w:t>
            </w:r>
            <w:r>
              <w:rPr>
                <w:rFonts w:hint="eastAsia"/>
                <w:color w:val="auto"/>
                <w:lang w:val="en-US" w:eastAsia="zh-CN"/>
              </w:rPr>
              <w:t>废气处理设施——</w:t>
            </w:r>
            <w:r>
              <w:rPr>
                <w:rFonts w:hint="eastAsia" w:ascii="Times New Roman" w:hAnsi="Times New Roman" w:eastAsia="宋体" w:cs="Times New Roman"/>
                <w:color w:val="auto"/>
                <w:kern w:val="0"/>
                <w:sz w:val="24"/>
                <w:szCs w:val="24"/>
                <w:lang w:val="en-US" w:eastAsia="zh-CN" w:bidi="ar"/>
              </w:rPr>
              <w:t>活性炭吸附装置运行中</w:t>
            </w:r>
            <w:r>
              <w:rPr>
                <w:rFonts w:hint="eastAsia" w:cs="Times New Roman"/>
                <w:color w:val="auto"/>
                <w:kern w:val="0"/>
                <w:sz w:val="24"/>
                <w:szCs w:val="24"/>
                <w:lang w:val="en-US" w:eastAsia="zh-CN" w:bidi="ar"/>
              </w:rPr>
              <w:t>达</w:t>
            </w:r>
            <w:r>
              <w:rPr>
                <w:rFonts w:hint="eastAsia" w:ascii="Times New Roman" w:hAnsi="Times New Roman" w:eastAsia="宋体" w:cs="Times New Roman"/>
                <w:color w:val="auto"/>
                <w:kern w:val="0"/>
                <w:sz w:val="24"/>
                <w:szCs w:val="24"/>
                <w:lang w:val="en-US" w:eastAsia="zh-CN" w:bidi="ar"/>
              </w:rPr>
              <w:t>不到设计指标时造成的超标排放。按照最不利因素考虑，本项目活性炭吸附趋于饱和或因其他原因导致活性炭失效，装置的去除效率几乎为0时超标排放，具体见下表。</w:t>
            </w:r>
          </w:p>
          <w:p>
            <w:pPr>
              <w:pStyle w:val="25"/>
              <w:snapToGrid w:val="0"/>
              <w:spacing w:line="360" w:lineRule="auto"/>
              <w:ind w:firstLine="480" w:firstLineChars="200"/>
              <w:jc w:val="both"/>
              <w:rPr>
                <w:rFonts w:hint="eastAsia" w:ascii="宋体" w:hAnsi="宋体" w:eastAsia="宋体" w:cs="宋体"/>
                <w:b/>
                <w:bCs/>
                <w:color w:val="auto"/>
                <w:kern w:val="0"/>
                <w:sz w:val="24"/>
                <w:szCs w:val="24"/>
                <w:lang w:val="en-US" w:eastAsia="zh-CN" w:bidi="ar"/>
              </w:rPr>
            </w:pPr>
            <w:r>
              <w:rPr>
                <w:rFonts w:hint="eastAsia" w:ascii="宋体" w:hAnsi="宋体" w:eastAsia="宋体" w:cs="宋体"/>
                <w:color w:val="auto"/>
                <w:kern w:val="0"/>
                <w:sz w:val="24"/>
                <w:szCs w:val="24"/>
                <w:lang w:val="en-US" w:eastAsia="zh-CN" w:bidi="ar"/>
              </w:rPr>
              <w:t>废气排放计算：</w:t>
            </w:r>
            <w:r>
              <w:rPr>
                <w:rFonts w:hint="eastAsia" w:ascii="Times" w:hAnsi="Times" w:eastAsia="宋体" w:cs="宋体"/>
                <w:color w:val="auto"/>
                <w:spacing w:val="0"/>
                <w:kern w:val="0"/>
                <w:sz w:val="24"/>
                <w:szCs w:val="24"/>
                <w:lang w:val="en-US" w:eastAsia="zh-CN" w:bidi="ar-SA"/>
              </w:rPr>
              <w:t>项目</w:t>
            </w:r>
            <w:r>
              <w:rPr>
                <w:rFonts w:hint="eastAsia" w:ascii="宋体" w:hAnsi="宋体" w:cs="宋体"/>
                <w:color w:val="auto"/>
                <w:kern w:val="0"/>
                <w:sz w:val="24"/>
                <w:szCs w:val="24"/>
                <w:lang w:val="en-US" w:eastAsia="zh-CN" w:bidi="ar"/>
              </w:rPr>
              <w:t>注塑加热吹塑</w:t>
            </w:r>
            <w:r>
              <w:rPr>
                <w:rFonts w:hint="eastAsia" w:ascii="Times" w:hAnsi="Times" w:eastAsia="宋体" w:cs="宋体"/>
                <w:color w:val="auto"/>
                <w:spacing w:val="0"/>
                <w:kern w:val="0"/>
                <w:sz w:val="24"/>
                <w:szCs w:val="24"/>
                <w:lang w:val="en-US" w:eastAsia="zh-CN" w:bidi="ar-SA"/>
              </w:rPr>
              <w:t>过程中产生的有机废气（以</w:t>
            </w:r>
            <w:r>
              <w:rPr>
                <w:rFonts w:hint="eastAsia" w:ascii="Times" w:hAnsi="Times" w:cs="宋体"/>
                <w:color w:val="auto"/>
                <w:spacing w:val="0"/>
                <w:kern w:val="0"/>
                <w:sz w:val="24"/>
                <w:szCs w:val="24"/>
                <w:lang w:val="en-US" w:eastAsia="zh-CN" w:bidi="ar-SA"/>
              </w:rPr>
              <w:t>非甲烷总烃计</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产生量为</w:t>
            </w:r>
            <w:r>
              <w:rPr>
                <w:rFonts w:hint="eastAsia"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84</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非正常状况下有机废气未进行处理而直排，排放速率约为</w:t>
            </w:r>
            <w:r>
              <w:rPr>
                <w:rFonts w:hint="eastAsia" w:cs="Times New Roman"/>
                <w:color w:val="auto"/>
                <w:kern w:val="0"/>
                <w:sz w:val="24"/>
                <w:szCs w:val="24"/>
                <w:lang w:val="en-US" w:eastAsia="zh-CN" w:bidi="ar"/>
              </w:rPr>
              <w:t>0.35</w:t>
            </w:r>
            <w:r>
              <w:rPr>
                <w:rFonts w:hint="eastAsia" w:ascii="Times New Roman" w:hAnsi="Times New Roman" w:eastAsia="宋体" w:cs="Times New Roman"/>
                <w:color w:val="auto"/>
                <w:kern w:val="0"/>
                <w:sz w:val="24"/>
                <w:szCs w:val="24"/>
                <w:lang w:val="en-US" w:eastAsia="zh-CN" w:bidi="ar"/>
              </w:rPr>
              <w:t>kg/h</w:t>
            </w:r>
            <w:r>
              <w:rPr>
                <w:rFonts w:hint="eastAsia"/>
                <w:color w:val="auto"/>
                <w:sz w:val="24"/>
                <w:szCs w:val="24"/>
                <w:lang w:val="en-US" w:eastAsia="zh-CN"/>
              </w:rPr>
              <w:t>。</w:t>
            </w:r>
          </w:p>
          <w:p>
            <w:pPr>
              <w:pStyle w:val="9"/>
              <w:jc w:val="center"/>
              <w:rPr>
                <w:rFonts w:hint="eastAsia" w:ascii="宋体" w:hAnsi="宋体" w:eastAsia="宋体" w:cs="宋体"/>
                <w:b/>
                <w:bCs/>
                <w:color w:val="auto"/>
                <w:kern w:val="0"/>
                <w:sz w:val="24"/>
                <w:szCs w:val="24"/>
                <w:lang w:val="en-US" w:eastAsia="zh-CN" w:bidi="ar"/>
              </w:rPr>
            </w:pPr>
          </w:p>
          <w:p>
            <w:pPr>
              <w:pStyle w:val="9"/>
              <w:jc w:val="center"/>
              <w:rPr>
                <w:rFonts w:hint="eastAsia" w:ascii="宋体" w:hAnsi="宋体" w:eastAsia="宋体" w:cs="宋体"/>
                <w:b/>
                <w:bCs/>
                <w:color w:val="auto"/>
                <w:kern w:val="0"/>
                <w:sz w:val="24"/>
                <w:szCs w:val="24"/>
                <w:lang w:val="en-US" w:eastAsia="zh-CN" w:bidi="ar"/>
              </w:rPr>
            </w:pPr>
          </w:p>
          <w:p>
            <w:pPr>
              <w:pStyle w:val="9"/>
              <w:jc w:val="center"/>
              <w:rPr>
                <w:rFonts w:hint="eastAsia" w:ascii="宋体" w:hAnsi="宋体" w:eastAsia="宋体" w:cs="宋体"/>
                <w:b/>
                <w:bCs/>
                <w:color w:val="auto"/>
                <w:kern w:val="0"/>
                <w:sz w:val="24"/>
                <w:szCs w:val="24"/>
                <w:lang w:val="en-US" w:eastAsia="zh-CN" w:bidi="ar"/>
              </w:rPr>
            </w:pPr>
          </w:p>
          <w:p>
            <w:pPr>
              <w:pStyle w:val="9"/>
              <w:jc w:val="center"/>
              <w:rPr>
                <w:rFonts w:hint="eastAsia"/>
                <w:b/>
                <w:bCs/>
                <w:color w:val="auto"/>
                <w:sz w:val="24"/>
                <w:szCs w:val="24"/>
                <w:lang w:val="en-US" w:eastAsia="zh-CN"/>
              </w:rPr>
            </w:pPr>
            <w:r>
              <w:rPr>
                <w:rFonts w:hint="eastAsia" w:ascii="宋体" w:hAnsi="宋体" w:eastAsia="宋体" w:cs="宋体"/>
                <w:b/>
                <w:bCs/>
                <w:color w:val="auto"/>
                <w:kern w:val="0"/>
                <w:sz w:val="24"/>
                <w:szCs w:val="24"/>
                <w:lang w:val="en-US" w:eastAsia="zh-CN" w:bidi="ar"/>
              </w:rPr>
              <w:t>表4-</w:t>
            </w:r>
            <w:r>
              <w:rPr>
                <w:rFonts w:hint="eastAsia" w:ascii="宋体" w:hAnsi="宋体" w:cs="宋体"/>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 xml:space="preserve">  </w:t>
            </w:r>
            <w:r>
              <w:rPr>
                <w:rFonts w:hint="eastAsia" w:eastAsia="宋体"/>
                <w:b/>
                <w:bCs/>
                <w:color w:val="auto"/>
                <w:sz w:val="24"/>
                <w:szCs w:val="24"/>
                <w:lang w:val="en-US" w:eastAsia="zh-CN"/>
              </w:rPr>
              <w:t>非正常状况下废气污染物排放情况一览表</w:t>
            </w:r>
          </w:p>
          <w:tbl>
            <w:tblPr>
              <w:tblStyle w:val="2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171"/>
              <w:gridCol w:w="2722"/>
              <w:gridCol w:w="1370"/>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304" w:type="dxa"/>
                  <w:vMerge w:val="restar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污染源</w:t>
                  </w:r>
                </w:p>
              </w:tc>
              <w:tc>
                <w:tcPr>
                  <w:tcW w:w="1171" w:type="dxa"/>
                  <w:vMerge w:val="restart"/>
                  <w:noWrap w:val="0"/>
                  <w:vAlign w:val="center"/>
                </w:tcPr>
                <w:p>
                  <w:pPr>
                    <w:spacing w:line="24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污染物</w:t>
                  </w:r>
                </w:p>
              </w:tc>
              <w:tc>
                <w:tcPr>
                  <w:tcW w:w="4092" w:type="dxa"/>
                  <w:gridSpan w:val="2"/>
                  <w:noWrap w:val="0"/>
                  <w:vAlign w:val="center"/>
                </w:tcPr>
                <w:p>
                  <w:pPr>
                    <w:spacing w:line="240" w:lineRule="auto"/>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事故状态下废气处理设施净化效</w:t>
                  </w:r>
                </w:p>
                <w:p>
                  <w:pPr>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率为 </w:t>
                  </w:r>
                  <w:r>
                    <w:rPr>
                      <w:rFonts w:ascii="Times New Roman" w:hAnsi="Times New Roman" w:eastAsia="宋体" w:cs="Times New Roman"/>
                      <w:b/>
                      <w:bCs/>
                      <w:color w:val="auto"/>
                      <w:sz w:val="21"/>
                      <w:szCs w:val="21"/>
                      <w:lang w:val="en-US" w:eastAsia="zh-CN"/>
                    </w:rPr>
                    <w:t>0</w:t>
                  </w:r>
                  <w:r>
                    <w:rPr>
                      <w:rFonts w:hint="eastAsia"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时</w:t>
                  </w:r>
                </w:p>
              </w:tc>
              <w:tc>
                <w:tcPr>
                  <w:tcW w:w="1370" w:type="dxa"/>
                  <w:vMerge w:val="restart"/>
                  <w:noWrap w:val="0"/>
                  <w:vAlign w:val="center"/>
                </w:tcPr>
                <w:p>
                  <w:pPr>
                    <w:spacing w:line="240" w:lineRule="auto"/>
                    <w:jc w:val="center"/>
                    <w:rPr>
                      <w:rFonts w:hint="default" w:ascii="Times New Roman" w:hAnsi="Times New Roman" w:eastAsia="宋体" w:cs="Times New Roman"/>
                      <w:b/>
                      <w:bCs/>
                      <w:color w:val="auto"/>
                      <w:sz w:val="21"/>
                      <w:szCs w:val="21"/>
                      <w:lang w:val="en-US"/>
                    </w:rPr>
                  </w:pPr>
                  <w:r>
                    <w:rPr>
                      <w:rFonts w:hint="eastAsia" w:cs="Times New Roman"/>
                      <w:b/>
                      <w:bCs/>
                      <w:color w:val="auto"/>
                      <w:sz w:val="21"/>
                      <w:szCs w:val="21"/>
                      <w:lang w:val="en-US" w:eastAsia="zh-CN"/>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04" w:type="dxa"/>
                  <w:vMerge w:val="continue"/>
                  <w:noWrap w:val="0"/>
                  <w:vAlign w:val="center"/>
                </w:tcPr>
                <w:p>
                  <w:pPr>
                    <w:spacing w:line="240" w:lineRule="auto"/>
                    <w:jc w:val="center"/>
                    <w:rPr>
                      <w:color w:val="auto"/>
                    </w:rPr>
                  </w:pPr>
                </w:p>
              </w:tc>
              <w:tc>
                <w:tcPr>
                  <w:tcW w:w="1171" w:type="dxa"/>
                  <w:vMerge w:val="continue"/>
                  <w:noWrap w:val="0"/>
                  <w:vAlign w:val="center"/>
                </w:tcPr>
                <w:p>
                  <w:pPr>
                    <w:spacing w:line="240" w:lineRule="auto"/>
                    <w:jc w:val="center"/>
                    <w:rPr>
                      <w:color w:val="auto"/>
                    </w:rPr>
                  </w:pPr>
                </w:p>
              </w:tc>
              <w:tc>
                <w:tcPr>
                  <w:tcW w:w="2722" w:type="dxa"/>
                  <w:noWrap w:val="0"/>
                  <w:vAlign w:val="center"/>
                </w:tcPr>
                <w:p>
                  <w:pPr>
                    <w:spacing w:line="240" w:lineRule="auto"/>
                    <w:jc w:val="center"/>
                    <w:rPr>
                      <w:rFonts w:hint="eastAsia"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排放速率</w:t>
                  </w:r>
                </w:p>
              </w:tc>
              <w:tc>
                <w:tcPr>
                  <w:tcW w:w="1370" w:type="dxa"/>
                  <w:noWrap w:val="0"/>
                  <w:vAlign w:val="center"/>
                </w:tcPr>
                <w:p>
                  <w:pPr>
                    <w:spacing w:line="24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排放浓度</w:t>
                  </w:r>
                </w:p>
              </w:tc>
              <w:tc>
                <w:tcPr>
                  <w:tcW w:w="1370" w:type="dxa"/>
                  <w:vMerge w:val="continue"/>
                  <w:noWrap w:val="0"/>
                  <w:vAlign w:val="center"/>
                </w:tcPr>
                <w:p>
                  <w:pPr>
                    <w:spacing w:line="240" w:lineRule="auto"/>
                    <w:jc w:val="center"/>
                    <w:rPr>
                      <w:rFonts w:hint="eastAsia" w:cs="Times New Roman"/>
                      <w:b/>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04" w:type="dxa"/>
                  <w:noWrap w:val="0"/>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注塑吹塑工序</w:t>
                  </w:r>
                </w:p>
              </w:tc>
              <w:tc>
                <w:tcPr>
                  <w:tcW w:w="1171" w:type="dxa"/>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w:t>
                  </w:r>
                </w:p>
              </w:tc>
              <w:tc>
                <w:tcPr>
                  <w:tcW w:w="272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0.35kg/h</w:t>
                  </w:r>
                </w:p>
              </w:tc>
              <w:tc>
                <w:tcPr>
                  <w:tcW w:w="1370" w:type="dxa"/>
                  <w:noWrap w:val="0"/>
                  <w:vAlign w:val="center"/>
                </w:tcPr>
                <w:p>
                  <w:pPr>
                    <w:spacing w:line="240" w:lineRule="auto"/>
                    <w:jc w:val="center"/>
                    <w:rPr>
                      <w:rFonts w:hint="eastAsia"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60</w:t>
                  </w:r>
                  <w:r>
                    <w:rPr>
                      <w:rFonts w:ascii="Times New Roman" w:hAnsi="Times New Roman"/>
                      <w:b/>
                      <w:color w:val="auto"/>
                      <w:szCs w:val="21"/>
                    </w:rPr>
                    <w:t>mg/m</w:t>
                  </w:r>
                  <w:r>
                    <w:rPr>
                      <w:rFonts w:ascii="Times New Roman" w:hAnsi="Times New Roman"/>
                      <w:b/>
                      <w:color w:val="auto"/>
                      <w:szCs w:val="21"/>
                      <w:vertAlign w:val="superscript"/>
                    </w:rPr>
                    <w:t>3</w:t>
                  </w:r>
                </w:p>
              </w:tc>
              <w:tc>
                <w:tcPr>
                  <w:tcW w:w="137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h</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b w:val="0"/>
                <w:bCs w:val="0"/>
                <w:color w:val="auto"/>
                <w:lang w:eastAsia="zh-CN"/>
              </w:rPr>
            </w:pPr>
            <w:r>
              <w:rPr>
                <w:rFonts w:hint="default" w:ascii="Times New Roman" w:hAnsi="Times New Roman" w:eastAsia="宋体" w:cs="Times New Roman"/>
                <w:color w:val="auto"/>
                <w:kern w:val="0"/>
                <w:sz w:val="24"/>
                <w:szCs w:val="24"/>
                <w:lang w:val="en-US" w:eastAsia="zh-CN" w:bidi="ar"/>
              </w:rPr>
              <w:t>当废气处理措施完全失效时，发生频率为1次/年，每次持续时间1h。</w:t>
            </w:r>
            <w:r>
              <w:rPr>
                <w:rFonts w:hint="eastAsia"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单位应加强废气处理设备的管理，</w:t>
            </w:r>
            <w:r>
              <w:rPr>
                <w:rFonts w:hint="eastAsia" w:ascii="Times New Roman" w:hAnsi="Times New Roman" w:cs="Times New Roman"/>
                <w:color w:val="auto"/>
                <w:kern w:val="0"/>
                <w:sz w:val="24"/>
                <w:szCs w:val="24"/>
                <w:lang w:val="en-US" w:eastAsia="zh-CN" w:bidi="ar"/>
              </w:rPr>
              <w:t>必要时配备</w:t>
            </w:r>
            <w:r>
              <w:rPr>
                <w:rFonts w:hint="eastAsia" w:cs="Times New Roman"/>
                <w:color w:val="auto"/>
                <w:kern w:val="0"/>
                <w:sz w:val="24"/>
                <w:szCs w:val="24"/>
                <w:lang w:val="en-US" w:eastAsia="zh-CN" w:bidi="ar"/>
              </w:rPr>
              <w:t>预警装置，</w:t>
            </w:r>
            <w:r>
              <w:rPr>
                <w:rFonts w:hint="default" w:ascii="Times New Roman" w:hAnsi="Times New Roman" w:eastAsia="宋体" w:cs="Times New Roman"/>
                <w:color w:val="auto"/>
                <w:kern w:val="0"/>
                <w:sz w:val="24"/>
                <w:szCs w:val="24"/>
                <w:lang w:val="en-US" w:eastAsia="zh-CN" w:bidi="ar"/>
              </w:rPr>
              <w:t>一旦发现异常，立即停产</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并派专业维修人员进行活性炭更换和相关设备的保养维护，待活性炭更换和相关设备的保养维护完成后，装置的各项性能满足设计指标后，方可</w:t>
            </w:r>
            <w:r>
              <w:rPr>
                <w:rFonts w:hint="eastAsia" w:cs="Times New Roman"/>
                <w:color w:val="auto"/>
                <w:kern w:val="0"/>
                <w:sz w:val="24"/>
                <w:szCs w:val="24"/>
                <w:lang w:val="en-US" w:eastAsia="zh-CN" w:bidi="ar"/>
              </w:rPr>
              <w:t>再</w:t>
            </w:r>
            <w:r>
              <w:rPr>
                <w:rFonts w:hint="default" w:ascii="Times New Roman" w:hAnsi="Times New Roman" w:eastAsia="宋体" w:cs="Times New Roman"/>
                <w:color w:val="auto"/>
                <w:kern w:val="0"/>
                <w:sz w:val="24"/>
                <w:szCs w:val="24"/>
                <w:lang w:val="en-US" w:eastAsia="zh-CN" w:bidi="ar"/>
              </w:rPr>
              <w:t>生产</w:t>
            </w:r>
            <w:r>
              <w:rPr>
                <w:rFonts w:hint="eastAsia" w:ascii="宋体" w:hAnsi="宋体" w:eastAsia="宋体" w:cs="宋体"/>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olor w:val="auto"/>
                <w:spacing w:val="-2"/>
                <w:kern w:val="28"/>
                <w:sz w:val="24"/>
              </w:rPr>
            </w:pPr>
            <w:r>
              <w:rPr>
                <w:rFonts w:hint="eastAsia"/>
                <w:b/>
                <w:bCs/>
                <w:color w:val="auto"/>
                <w:sz w:val="24"/>
                <w:lang w:val="en-US" w:eastAsia="zh-CN"/>
              </w:rPr>
              <w:t>7、</w:t>
            </w:r>
            <w:r>
              <w:rPr>
                <w:rFonts w:hint="eastAsia"/>
                <w:b/>
                <w:bCs/>
                <w:color w:val="auto"/>
                <w:sz w:val="24"/>
              </w:rPr>
              <w:t>废气达标排放分析</w:t>
            </w:r>
          </w:p>
          <w:p>
            <w:pPr>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注塑</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吹塑的加热段为全封闭，出料段采取集气罩局部收集后，引入二级活性炭吸附装置处理，尾气通过15m排气筒（DA001）排放</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非甲烷总烃排放执行《合成树脂工业污染物排放标准》（GB31572-2015）表5中大气污染物特别排放限值及表9中企业边界大气污染物浓度限值，厂区内非甲烷总烃无组织排放监控点浓度限值执行《挥发性有机物无组织排放控制标准》（GB37822-2019）附录A中表A.1的特别排放限值。</w:t>
            </w:r>
            <w:r>
              <w:rPr>
                <w:rFonts w:hint="eastAsia" w:ascii="Times New Roman" w:hAnsi="Times New Roman"/>
                <w:color w:val="auto"/>
                <w:sz w:val="24"/>
                <w:lang w:val="en-US" w:eastAsia="zh-CN"/>
              </w:rPr>
              <w:t>臭气浓度排放满足《恶臭</w:t>
            </w:r>
            <w:r>
              <w:rPr>
                <w:rFonts w:hint="eastAsia" w:ascii="Times New Roman" w:hAnsi="Times New Roman"/>
                <w:sz w:val="24"/>
                <w:lang w:val="en-US" w:eastAsia="zh-CN"/>
              </w:rPr>
              <w:t>污染物排放标准</w:t>
            </w:r>
            <w:r>
              <w:rPr>
                <w:rFonts w:hint="eastAsia" w:ascii="Times New Roman" w:hAnsi="Times New Roman" w:eastAsia="宋体" w:cs="Times New Roman"/>
                <w:color w:val="auto"/>
                <w:sz w:val="24"/>
                <w:lang w:val="en-US" w:eastAsia="zh-CN"/>
              </w:rPr>
              <w:t>》（GB14554-1993）表1中</w:t>
            </w:r>
            <w:r>
              <w:rPr>
                <w:rFonts w:hint="eastAsia"/>
                <w:sz w:val="24"/>
                <w:lang w:val="en-US" w:eastAsia="zh-CN"/>
              </w:rPr>
              <w:t>二</w:t>
            </w:r>
            <w:r>
              <w:rPr>
                <w:rFonts w:hint="eastAsia" w:ascii="Times New Roman" w:hAnsi="Times New Roman"/>
                <w:sz w:val="24"/>
                <w:lang w:val="en-US" w:eastAsia="zh-CN"/>
              </w:rPr>
              <w:t>级新扩改建标准限值。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项目</w:t>
            </w:r>
            <w:r>
              <w:rPr>
                <w:rFonts w:hint="eastAsia" w:ascii="Times New Roman" w:hAnsi="Times New Roman" w:eastAsia="宋体" w:cs="Times New Roman"/>
                <w:color w:val="auto"/>
                <w:kern w:val="0"/>
                <w:sz w:val="24"/>
                <w:szCs w:val="24"/>
                <w:lang w:val="en-US" w:eastAsia="zh-CN" w:bidi="ar"/>
              </w:rPr>
              <w:t>单位产品非甲烷总烃排放量为0.</w:t>
            </w:r>
            <w:r>
              <w:rPr>
                <w:rFonts w:hint="eastAsia" w:cs="Times New Roman"/>
                <w:color w:val="auto"/>
                <w:kern w:val="0"/>
                <w:sz w:val="24"/>
                <w:szCs w:val="24"/>
                <w:lang w:val="en-US" w:eastAsia="zh-CN" w:bidi="ar"/>
              </w:rPr>
              <w:t>038</w:t>
            </w:r>
            <w:r>
              <w:rPr>
                <w:rFonts w:hint="eastAsia" w:ascii="Times New Roman" w:hAnsi="Times New Roman" w:eastAsia="宋体" w:cs="Times New Roman"/>
                <w:color w:val="auto"/>
                <w:kern w:val="0"/>
                <w:sz w:val="24"/>
                <w:szCs w:val="24"/>
                <w:lang w:val="en-US" w:eastAsia="zh-CN" w:bidi="ar"/>
              </w:rPr>
              <w:t>kg/t产品，满足</w:t>
            </w:r>
            <w:r>
              <w:rPr>
                <w:rFonts w:hint="default" w:ascii="Times New Roman" w:hAnsi="Times New Roman" w:eastAsia="宋体" w:cs="Times New Roman"/>
                <w:color w:val="auto"/>
                <w:kern w:val="0"/>
                <w:sz w:val="24"/>
                <w:szCs w:val="24"/>
                <w:lang w:val="en-US" w:eastAsia="zh-CN" w:bidi="ar"/>
              </w:rPr>
              <w:t>《合成树脂工业污染物排放标准》（GB31572-2015）表5中</w:t>
            </w:r>
            <w:r>
              <w:rPr>
                <w:rFonts w:hint="eastAsia" w:ascii="Times New Roman" w:hAnsi="Times New Roman" w:eastAsia="宋体" w:cs="Times New Roman"/>
                <w:color w:val="auto"/>
                <w:kern w:val="0"/>
                <w:sz w:val="24"/>
                <w:szCs w:val="24"/>
                <w:lang w:val="en-US" w:eastAsia="zh-CN" w:bidi="ar"/>
              </w:rPr>
              <w:t>单位产品非甲烷总烃排放量0.3kg/t产品的要求。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rPr>
            </w:pPr>
            <w:r>
              <w:rPr>
                <w:rFonts w:hint="eastAsia"/>
                <w:b/>
                <w:bCs/>
                <w:color w:val="auto"/>
                <w:sz w:val="24"/>
                <w:lang w:val="en-US" w:eastAsia="zh-CN"/>
              </w:rPr>
              <w:t>8、</w:t>
            </w:r>
            <w:r>
              <w:rPr>
                <w:rFonts w:hint="eastAsia"/>
                <w:b/>
                <w:bCs/>
                <w:color w:val="auto"/>
                <w:sz w:val="24"/>
              </w:rPr>
              <w:t>废气排放环境影响</w:t>
            </w:r>
          </w:p>
          <w:p>
            <w:pPr>
              <w:spacing w:line="360" w:lineRule="auto"/>
              <w:ind w:firstLine="480" w:firstLineChars="200"/>
              <w:rPr>
                <w:rFonts w:hint="eastAsia"/>
                <w:color w:val="auto"/>
                <w:sz w:val="24"/>
                <w:lang w:eastAsia="zh-CN"/>
              </w:rPr>
            </w:pPr>
            <w:r>
              <w:rPr>
                <w:rFonts w:hint="eastAsia"/>
                <w:color w:val="auto"/>
                <w:sz w:val="24"/>
                <w:lang w:eastAsia="zh-CN"/>
              </w:rPr>
              <w:t>根据</w:t>
            </w:r>
            <w:r>
              <w:rPr>
                <w:rFonts w:hint="eastAsia"/>
                <w:color w:val="auto"/>
                <w:sz w:val="24"/>
              </w:rPr>
              <w:t>2020年11月公布的《安徽舒城经济开发区环境影响区域评估报告》中对</w:t>
            </w:r>
            <w:r>
              <w:rPr>
                <w:rFonts w:hint="eastAsia"/>
                <w:color w:val="auto"/>
                <w:sz w:val="24"/>
                <w:lang w:eastAsia="zh-CN"/>
              </w:rPr>
              <w:t>城关</w:t>
            </w:r>
            <w:r>
              <w:rPr>
                <w:rFonts w:hint="eastAsia"/>
                <w:color w:val="auto"/>
                <w:sz w:val="24"/>
              </w:rPr>
              <w:t>园区的空气环境质量现状结果</w:t>
            </w:r>
            <w:r>
              <w:rPr>
                <w:rFonts w:hint="eastAsia"/>
                <w:color w:val="auto"/>
                <w:sz w:val="24"/>
                <w:lang w:eastAsia="zh-CN"/>
              </w:rPr>
              <w:t>，区域空气环境质量达标</w:t>
            </w:r>
            <w:r>
              <w:rPr>
                <w:rFonts w:hint="eastAsia"/>
                <w:color w:val="auto"/>
                <w:sz w:val="24"/>
              </w:rPr>
              <w:t>。项目厂界外500米范围内无自然保护区、风景名胜区、文化区等保护目标</w:t>
            </w:r>
            <w:r>
              <w:rPr>
                <w:rFonts w:hint="eastAsia"/>
                <w:color w:val="auto"/>
                <w:sz w:val="24"/>
                <w:lang w:eastAsia="zh-CN"/>
              </w:rPr>
              <w:t>，</w:t>
            </w:r>
            <w:r>
              <w:rPr>
                <w:rFonts w:hint="eastAsia" w:ascii="Times New Roman" w:hAnsi="Times New Roman"/>
                <w:color w:val="auto"/>
                <w:sz w:val="24"/>
                <w:szCs w:val="24"/>
                <w:lang w:eastAsia="zh-CN"/>
              </w:rPr>
              <w:t>主要环境保护目标为附近的</w:t>
            </w:r>
            <w:r>
              <w:rPr>
                <w:rFonts w:hint="eastAsia" w:cs="Times New Roman"/>
                <w:color w:val="auto"/>
                <w:sz w:val="24"/>
                <w:szCs w:val="24"/>
                <w:lang w:eastAsia="zh-CN"/>
              </w:rPr>
              <w:t>居民区</w:t>
            </w:r>
            <w:r>
              <w:rPr>
                <w:rFonts w:hint="eastAsia"/>
                <w:color w:val="auto"/>
                <w:sz w:val="24"/>
              </w:rPr>
              <w:t xml:space="preserve">。项目采取的污染治理措施为《排污许可证申请与核发技术规范 </w:t>
            </w:r>
            <w:r>
              <w:rPr>
                <w:rFonts w:hint="eastAsia"/>
                <w:color w:val="auto"/>
                <w:sz w:val="24"/>
                <w:lang w:eastAsia="zh-CN"/>
              </w:rPr>
              <w:t>橡胶和塑料制品工</w:t>
            </w:r>
            <w:r>
              <w:rPr>
                <w:rFonts w:hint="eastAsia"/>
                <w:color w:val="auto"/>
                <w:sz w:val="24"/>
              </w:rPr>
              <w:t>业》推荐的可行性技术，能够做到达标排放，且污染物排放强度小，为间接排放，对区域空气环境质量影响在可接受范围之内。</w:t>
            </w:r>
          </w:p>
          <w:p>
            <w:pPr>
              <w:adjustRightInd w:val="0"/>
              <w:snapToGrid w:val="0"/>
              <w:spacing w:line="360" w:lineRule="auto"/>
              <w:ind w:firstLine="482" w:firstLineChars="200"/>
              <w:rPr>
                <w:b/>
                <w:bCs/>
                <w:color w:val="auto"/>
                <w:sz w:val="24"/>
              </w:rPr>
            </w:pPr>
            <w:r>
              <w:rPr>
                <w:rFonts w:hint="eastAsia"/>
                <w:b/>
                <w:bCs/>
                <w:color w:val="auto"/>
                <w:sz w:val="24"/>
                <w:lang w:eastAsia="zh-CN"/>
              </w:rPr>
              <w:t>（二）</w:t>
            </w:r>
            <w:r>
              <w:rPr>
                <w:b/>
                <w:bCs/>
                <w:color w:val="auto"/>
                <w:sz w:val="24"/>
              </w:rPr>
              <w:t>废水</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color w:val="auto"/>
                <w:sz w:val="24"/>
              </w:rPr>
            </w:pPr>
            <w:r>
              <w:rPr>
                <w:rFonts w:hint="eastAsia"/>
                <w:b/>
                <w:bCs/>
                <w:color w:val="auto"/>
                <w:sz w:val="24"/>
                <w:lang w:val="en-US" w:eastAsia="zh-CN"/>
              </w:rPr>
              <w:t>1、</w:t>
            </w:r>
            <w:r>
              <w:rPr>
                <w:b/>
                <w:bCs/>
                <w:color w:val="auto"/>
                <w:sz w:val="24"/>
              </w:rPr>
              <w:t>污染源强核算：</w:t>
            </w:r>
          </w:p>
          <w:p>
            <w:pPr>
              <w:adjustRightInd w:val="0"/>
              <w:snapToGrid w:val="0"/>
              <w:spacing w:line="360" w:lineRule="auto"/>
              <w:ind w:firstLine="482" w:firstLineChars="200"/>
              <w:rPr>
                <w:b/>
                <w:bCs/>
                <w:i w:val="0"/>
                <w:iCs w:val="0"/>
                <w:color w:val="auto"/>
                <w:sz w:val="24"/>
                <w:lang w:val="en-US" w:eastAsia="zh-CN"/>
              </w:rPr>
            </w:pPr>
            <w:r>
              <w:rPr>
                <w:rFonts w:hint="eastAsia"/>
                <w:b/>
                <w:bCs/>
                <w:i w:val="0"/>
                <w:iCs w:val="0"/>
                <w:color w:val="auto"/>
                <w:sz w:val="24"/>
              </w:rPr>
              <w:t>（</w:t>
            </w:r>
            <w:r>
              <w:rPr>
                <w:rFonts w:hint="eastAsia"/>
                <w:b/>
                <w:bCs/>
                <w:i w:val="0"/>
                <w:iCs w:val="0"/>
                <w:color w:val="auto"/>
                <w:sz w:val="24"/>
                <w:lang w:val="en-US" w:eastAsia="zh-CN"/>
              </w:rPr>
              <w:t>1</w:t>
            </w:r>
            <w:r>
              <w:rPr>
                <w:rFonts w:hint="eastAsia"/>
                <w:b/>
                <w:bCs/>
                <w:i w:val="0"/>
                <w:iCs w:val="0"/>
                <w:color w:val="auto"/>
                <w:sz w:val="24"/>
              </w:rPr>
              <w:t>）</w:t>
            </w:r>
            <w:r>
              <w:rPr>
                <w:rFonts w:hint="eastAsia"/>
                <w:b/>
                <w:bCs/>
                <w:i w:val="0"/>
                <w:iCs w:val="0"/>
                <w:color w:val="auto"/>
                <w:sz w:val="24"/>
                <w:lang w:val="en-US" w:eastAsia="zh-CN"/>
              </w:rPr>
              <w:t>生产用水</w:t>
            </w:r>
          </w:p>
          <w:p>
            <w:pPr>
              <w:adjustRightInd w:val="0"/>
              <w:snapToGrid w:val="0"/>
              <w:spacing w:line="360" w:lineRule="auto"/>
              <w:ind w:firstLine="480" w:firstLineChars="200"/>
              <w:rPr>
                <w:rFonts w:hint="default"/>
                <w:color w:val="auto"/>
                <w:sz w:val="24"/>
                <w:lang w:val="en-US"/>
              </w:rPr>
            </w:pPr>
            <w:r>
              <w:rPr>
                <w:rFonts w:hAnsi="宋体"/>
                <w:color w:val="000000"/>
                <w:sz w:val="24"/>
                <w:szCs w:val="24"/>
              </w:rPr>
              <w:t>本项目使用的生产</w:t>
            </w:r>
            <w:r>
              <w:rPr>
                <w:rFonts w:ascii="Times New Roman" w:hAnsi="宋体" w:cs="Times New Roman"/>
                <w:color w:val="000000"/>
                <w:sz w:val="24"/>
                <w:szCs w:val="24"/>
              </w:rPr>
              <w:t>用水</w:t>
            </w:r>
            <w:r>
              <w:rPr>
                <w:rFonts w:hint="eastAsia" w:ascii="Times New Roman" w:hAnsi="宋体" w:cs="Times New Roman"/>
                <w:color w:val="000000"/>
                <w:sz w:val="24"/>
                <w:szCs w:val="24"/>
                <w:lang w:eastAsia="zh-CN"/>
              </w:rPr>
              <w:t>来源于冷水塔和冷却水池</w:t>
            </w:r>
            <w:r>
              <w:rPr>
                <w:rFonts w:hAnsi="宋体"/>
                <w:color w:val="000000"/>
                <w:sz w:val="24"/>
                <w:szCs w:val="24"/>
              </w:rPr>
              <w:t>，主要是对注塑</w:t>
            </w:r>
            <w:r>
              <w:rPr>
                <w:rFonts w:hint="eastAsia" w:hAnsi="宋体"/>
                <w:color w:val="000000"/>
                <w:sz w:val="24"/>
                <w:szCs w:val="24"/>
                <w:lang w:eastAsia="zh-CN"/>
              </w:rPr>
              <w:t>、</w:t>
            </w:r>
            <w:r>
              <w:rPr>
                <w:rFonts w:hAnsi="宋体"/>
                <w:color w:val="000000"/>
                <w:sz w:val="24"/>
                <w:szCs w:val="24"/>
              </w:rPr>
              <w:t>吹塑过程中进行间接冷却，</w:t>
            </w:r>
            <w:r>
              <w:rPr>
                <w:rFonts w:hint="eastAsia" w:hAnsi="宋体"/>
                <w:color w:val="000000"/>
                <w:sz w:val="24"/>
                <w:szCs w:val="24"/>
                <w:lang w:eastAsia="zh-CN"/>
              </w:rPr>
              <w:t>冷却</w:t>
            </w:r>
            <w:r>
              <w:rPr>
                <w:rFonts w:hAnsi="宋体"/>
                <w:color w:val="000000"/>
                <w:sz w:val="24"/>
                <w:szCs w:val="24"/>
              </w:rPr>
              <w:t>水</w:t>
            </w:r>
            <w:r>
              <w:rPr>
                <w:rFonts w:hint="eastAsia" w:hAnsi="宋体"/>
                <w:color w:val="000000"/>
                <w:sz w:val="24"/>
                <w:szCs w:val="24"/>
                <w:lang w:eastAsia="zh-CN"/>
              </w:rPr>
              <w:t>需定期补充，一次补充量约</w:t>
            </w:r>
            <w:r>
              <w:rPr>
                <w:rFonts w:hint="eastAsia" w:hAnsi="宋体"/>
                <w:color w:val="000000"/>
                <w:sz w:val="24"/>
                <w:szCs w:val="24"/>
                <w:lang w:val="en-US" w:eastAsia="zh-CN"/>
              </w:rPr>
              <w:t>2m</w:t>
            </w:r>
            <w:r>
              <w:rPr>
                <w:rFonts w:hint="eastAsia" w:hAnsi="宋体"/>
                <w:color w:val="000000"/>
                <w:sz w:val="24"/>
                <w:szCs w:val="24"/>
                <w:vertAlign w:val="superscript"/>
                <w:lang w:val="en-US" w:eastAsia="zh-CN"/>
              </w:rPr>
              <w:t>3</w:t>
            </w:r>
            <w:r>
              <w:rPr>
                <w:rFonts w:hint="eastAsia" w:hAnsi="宋体"/>
                <w:color w:val="000000"/>
                <w:sz w:val="24"/>
                <w:szCs w:val="24"/>
                <w:vertAlign w:val="baseline"/>
                <w:lang w:val="en-US" w:eastAsia="zh-CN"/>
              </w:rPr>
              <w:t>。</w:t>
            </w:r>
            <w:r>
              <w:rPr>
                <w:rFonts w:hAnsi="宋体"/>
                <w:color w:val="000000"/>
                <w:sz w:val="24"/>
                <w:szCs w:val="24"/>
              </w:rPr>
              <w:t>冷</w:t>
            </w:r>
            <w:r>
              <w:rPr>
                <w:rFonts w:hint="eastAsia" w:hAnsi="宋体"/>
                <w:color w:val="000000"/>
                <w:sz w:val="24"/>
                <w:szCs w:val="24"/>
                <w:lang w:eastAsia="zh-CN"/>
              </w:rPr>
              <w:t>却用水循环使用，不外排，</w:t>
            </w:r>
            <w:r>
              <w:rPr>
                <w:rFonts w:hAnsi="宋体"/>
                <w:color w:val="000000"/>
                <w:sz w:val="24"/>
                <w:szCs w:val="24"/>
              </w:rPr>
              <w:t>年用水量</w:t>
            </w:r>
            <w:r>
              <w:rPr>
                <w:rFonts w:hint="eastAsia" w:hAnsi="宋体"/>
                <w:color w:val="000000"/>
                <w:sz w:val="24"/>
                <w:szCs w:val="24"/>
                <w:lang w:eastAsia="zh-CN"/>
              </w:rPr>
              <w:t>约</w:t>
            </w:r>
            <w:r>
              <w:rPr>
                <w:color w:val="000000"/>
                <w:sz w:val="24"/>
                <w:szCs w:val="24"/>
              </w:rPr>
              <w:t>600</w:t>
            </w:r>
            <w:r>
              <w:rPr>
                <w:rFonts w:hint="eastAsia"/>
                <w:color w:val="000000"/>
                <w:sz w:val="24"/>
                <w:szCs w:val="24"/>
                <w:lang w:val="en-US" w:eastAsia="zh-CN"/>
              </w:rPr>
              <w:t>m</w:t>
            </w:r>
            <w:r>
              <w:rPr>
                <w:rFonts w:hint="eastAsia"/>
                <w:color w:val="000000"/>
                <w:sz w:val="24"/>
                <w:szCs w:val="24"/>
                <w:vertAlign w:val="superscript"/>
                <w:lang w:val="en-US" w:eastAsia="zh-CN"/>
              </w:rPr>
              <w:t>3</w:t>
            </w:r>
            <w:r>
              <w:rPr>
                <w:rFonts w:hint="eastAsia"/>
                <w:color w:val="000000"/>
                <w:sz w:val="24"/>
                <w:szCs w:val="24"/>
                <w:lang w:eastAsia="zh-CN"/>
              </w:rPr>
              <w:t>。</w:t>
            </w:r>
          </w:p>
          <w:p>
            <w:pPr>
              <w:adjustRightInd w:val="0"/>
              <w:snapToGrid w:val="0"/>
              <w:spacing w:line="360" w:lineRule="auto"/>
              <w:ind w:firstLine="482" w:firstLineChars="200"/>
              <w:rPr>
                <w:b/>
                <w:bCs/>
                <w:color w:val="auto"/>
                <w:sz w:val="24"/>
              </w:rPr>
            </w:pPr>
            <w:r>
              <w:rPr>
                <w:b/>
                <w:bCs/>
                <w:color w:val="auto"/>
                <w:sz w:val="24"/>
              </w:rPr>
              <w:t>（</w:t>
            </w:r>
            <w:r>
              <w:rPr>
                <w:rFonts w:hint="eastAsia"/>
                <w:b/>
                <w:bCs/>
                <w:color w:val="auto"/>
                <w:sz w:val="24"/>
                <w:lang w:val="en-US" w:eastAsia="zh-CN"/>
              </w:rPr>
              <w:t>2</w:t>
            </w:r>
            <w:r>
              <w:rPr>
                <w:b/>
                <w:bCs/>
                <w:color w:val="auto"/>
                <w:sz w:val="24"/>
              </w:rPr>
              <w:t>）生活污水</w:t>
            </w:r>
          </w:p>
          <w:p>
            <w:pPr>
              <w:adjustRightInd w:val="0"/>
              <w:snapToGrid w:val="0"/>
              <w:spacing w:line="360" w:lineRule="auto"/>
              <w:ind w:firstLine="480" w:firstLineChars="200"/>
              <w:rPr>
                <w:rFonts w:hint="eastAsia" w:eastAsia="宋体"/>
                <w:b/>
                <w:color w:val="auto"/>
                <w:sz w:val="24"/>
                <w:lang w:eastAsia="zh-CN"/>
              </w:rPr>
            </w:pPr>
            <w:r>
              <w:rPr>
                <w:color w:val="auto"/>
                <w:sz w:val="24"/>
              </w:rPr>
              <w:t>项目共有职工</w:t>
            </w:r>
            <w:r>
              <w:rPr>
                <w:rFonts w:hint="eastAsia"/>
                <w:color w:val="auto"/>
                <w:sz w:val="24"/>
                <w:lang w:val="en-US" w:eastAsia="zh-CN"/>
              </w:rPr>
              <w:t>15</w:t>
            </w:r>
            <w:r>
              <w:rPr>
                <w:color w:val="auto"/>
                <w:sz w:val="24"/>
              </w:rPr>
              <w:t>人，厂区不设置食堂及宿舍，用水标准参考《建筑给水排水设计规范》(GB50015 2009)的工业企业职工生活用水定额计算，人员用水按照50L/（人•d）计算，年生产</w:t>
            </w:r>
            <w:r>
              <w:rPr>
                <w:rFonts w:hint="eastAsia"/>
                <w:color w:val="auto"/>
                <w:sz w:val="24"/>
                <w:lang w:val="en-US" w:eastAsia="zh-CN"/>
              </w:rPr>
              <w:t>300</w:t>
            </w:r>
            <w:r>
              <w:rPr>
                <w:color w:val="auto"/>
                <w:sz w:val="24"/>
              </w:rPr>
              <w:t>天，则生活用水量为2</w:t>
            </w:r>
            <w:r>
              <w:rPr>
                <w:rFonts w:hint="eastAsia"/>
                <w:color w:val="auto"/>
                <w:sz w:val="24"/>
                <w:lang w:val="en-US" w:eastAsia="zh-CN"/>
              </w:rPr>
              <w:t>25</w:t>
            </w:r>
            <w:r>
              <w:rPr>
                <w:color w:val="auto"/>
                <w:sz w:val="24"/>
              </w:rPr>
              <w:t>m</w:t>
            </w:r>
            <w:r>
              <w:rPr>
                <w:color w:val="auto"/>
                <w:sz w:val="24"/>
                <w:vertAlign w:val="superscript"/>
              </w:rPr>
              <w:t>3</w:t>
            </w:r>
            <w:r>
              <w:rPr>
                <w:color w:val="auto"/>
                <w:sz w:val="24"/>
              </w:rPr>
              <w:t>/a，产污系数取0.8，则生活污水量为</w:t>
            </w:r>
            <w:r>
              <w:rPr>
                <w:rFonts w:hint="eastAsia"/>
                <w:color w:val="auto"/>
                <w:sz w:val="24"/>
                <w:lang w:val="en-US" w:eastAsia="zh-CN"/>
              </w:rPr>
              <w:t>180</w:t>
            </w:r>
            <w:r>
              <w:rPr>
                <w:color w:val="auto"/>
                <w:sz w:val="24"/>
              </w:rPr>
              <w:t>m</w:t>
            </w:r>
            <w:r>
              <w:rPr>
                <w:color w:val="auto"/>
                <w:sz w:val="24"/>
                <w:vertAlign w:val="superscript"/>
              </w:rPr>
              <w:t>3</w:t>
            </w:r>
            <w:r>
              <w:rPr>
                <w:color w:val="auto"/>
                <w:sz w:val="24"/>
              </w:rPr>
              <w:t>/a。</w:t>
            </w:r>
            <w:r>
              <w:rPr>
                <w:rFonts w:hAnsi="宋体"/>
                <w:color w:val="000000"/>
                <w:sz w:val="24"/>
                <w:szCs w:val="24"/>
              </w:rPr>
              <w:t>运营期污水产生情况详见下表</w:t>
            </w:r>
            <w:r>
              <w:rPr>
                <w:rFonts w:hint="eastAsia" w:hAnsi="宋体"/>
                <w:color w:val="000000"/>
                <w:sz w:val="24"/>
                <w:szCs w:val="24"/>
                <w:lang w:eastAsia="zh-CN"/>
              </w:rPr>
              <w:t>；</w:t>
            </w:r>
          </w:p>
          <w:p>
            <w:pPr>
              <w:widowControl/>
              <w:adjustRightInd w:val="0"/>
              <w:snapToGrid w:val="0"/>
              <w:spacing w:line="360" w:lineRule="auto"/>
              <w:jc w:val="center"/>
              <w:rPr>
                <w:b/>
                <w:color w:val="auto"/>
                <w:sz w:val="24"/>
              </w:rPr>
            </w:pPr>
            <w:r>
              <w:rPr>
                <w:b/>
                <w:color w:val="auto"/>
                <w:sz w:val="24"/>
              </w:rPr>
              <w:t>表4-</w:t>
            </w:r>
            <w:r>
              <w:rPr>
                <w:rFonts w:hint="eastAsia"/>
                <w:b/>
                <w:color w:val="auto"/>
                <w:sz w:val="24"/>
                <w:lang w:val="en-US" w:eastAsia="zh-CN"/>
              </w:rPr>
              <w:t>6</w:t>
            </w:r>
            <w:r>
              <w:rPr>
                <w:b/>
                <w:color w:val="auto"/>
                <w:sz w:val="24"/>
              </w:rPr>
              <w:t xml:space="preserve"> 项目废水源强及排放情况</w:t>
            </w:r>
          </w:p>
          <w:tbl>
            <w:tblPr>
              <w:tblStyle w:val="19"/>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03"/>
              <w:gridCol w:w="802"/>
              <w:gridCol w:w="843"/>
              <w:gridCol w:w="938"/>
              <w:gridCol w:w="751"/>
              <w:gridCol w:w="957"/>
              <w:gridCol w:w="915"/>
              <w:gridCol w:w="816"/>
              <w:gridCol w:w="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5" w:type="dxa"/>
                  <w:vMerge w:val="restart"/>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种类</w:t>
                  </w:r>
                </w:p>
              </w:tc>
              <w:tc>
                <w:tcPr>
                  <w:tcW w:w="803" w:type="dxa"/>
                  <w:vMerge w:val="restart"/>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废水量</w:t>
                  </w:r>
                </w:p>
                <w:p>
                  <w:pPr>
                    <w:snapToGrid w:val="0"/>
                    <w:jc w:val="center"/>
                    <w:rPr>
                      <w:rFonts w:ascii="Times New Roman" w:hAnsi="Times New Roman"/>
                      <w:b/>
                      <w:bCs/>
                      <w:color w:val="auto"/>
                      <w:szCs w:val="21"/>
                    </w:rPr>
                  </w:pPr>
                  <w:r>
                    <w:rPr>
                      <w:rFonts w:ascii="Times New Roman" w:hAnsi="Times New Roman"/>
                      <w:b/>
                      <w:bCs/>
                      <w:color w:val="auto"/>
                      <w:szCs w:val="21"/>
                    </w:rPr>
                    <w:t>(m</w:t>
                  </w:r>
                  <w:r>
                    <w:rPr>
                      <w:rFonts w:ascii="Times New Roman" w:hAnsi="Times New Roman"/>
                      <w:b/>
                      <w:bCs/>
                      <w:color w:val="auto"/>
                      <w:szCs w:val="21"/>
                      <w:vertAlign w:val="superscript"/>
                    </w:rPr>
                    <w:t>3</w:t>
                  </w:r>
                  <w:r>
                    <w:rPr>
                      <w:rFonts w:ascii="Times New Roman" w:hAnsi="Times New Roman"/>
                      <w:b/>
                      <w:bCs/>
                      <w:color w:val="auto"/>
                      <w:szCs w:val="21"/>
                    </w:rPr>
                    <w:t>/a)</w:t>
                  </w:r>
                </w:p>
              </w:tc>
              <w:tc>
                <w:tcPr>
                  <w:tcW w:w="802" w:type="dxa"/>
                  <w:vMerge w:val="restart"/>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污染物</w:t>
                  </w:r>
                </w:p>
                <w:p>
                  <w:pPr>
                    <w:snapToGrid w:val="0"/>
                    <w:jc w:val="center"/>
                    <w:rPr>
                      <w:rFonts w:ascii="Times New Roman" w:hAnsi="Times New Roman"/>
                      <w:b/>
                      <w:bCs/>
                      <w:color w:val="auto"/>
                      <w:szCs w:val="21"/>
                    </w:rPr>
                  </w:pPr>
                  <w:r>
                    <w:rPr>
                      <w:rFonts w:ascii="Times New Roman" w:hAnsi="Times New Roman"/>
                      <w:b/>
                      <w:bCs/>
                      <w:color w:val="auto"/>
                      <w:szCs w:val="21"/>
                    </w:rPr>
                    <w:t>名称</w:t>
                  </w:r>
                </w:p>
              </w:tc>
              <w:tc>
                <w:tcPr>
                  <w:tcW w:w="1781" w:type="dxa"/>
                  <w:gridSpan w:val="2"/>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污染物产生情况</w:t>
                  </w:r>
                </w:p>
              </w:tc>
              <w:tc>
                <w:tcPr>
                  <w:tcW w:w="751" w:type="dxa"/>
                  <w:vMerge w:val="restart"/>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治理</w:t>
                  </w:r>
                </w:p>
                <w:p>
                  <w:pPr>
                    <w:snapToGrid w:val="0"/>
                    <w:jc w:val="center"/>
                    <w:rPr>
                      <w:rFonts w:ascii="Times New Roman" w:hAnsi="Times New Roman"/>
                      <w:b/>
                      <w:bCs/>
                      <w:color w:val="auto"/>
                      <w:szCs w:val="21"/>
                    </w:rPr>
                  </w:pPr>
                  <w:r>
                    <w:rPr>
                      <w:rFonts w:ascii="Times New Roman" w:hAnsi="Times New Roman"/>
                      <w:b/>
                      <w:bCs/>
                      <w:color w:val="auto"/>
                      <w:szCs w:val="21"/>
                    </w:rPr>
                    <w:t>措施</w:t>
                  </w:r>
                </w:p>
              </w:tc>
              <w:tc>
                <w:tcPr>
                  <w:tcW w:w="1872" w:type="dxa"/>
                  <w:gridSpan w:val="2"/>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污染物排放情况</w:t>
                  </w:r>
                </w:p>
              </w:tc>
              <w:tc>
                <w:tcPr>
                  <w:tcW w:w="816" w:type="dxa"/>
                  <w:vMerge w:val="restart"/>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接管标准</w:t>
                  </w:r>
                </w:p>
              </w:tc>
              <w:tc>
                <w:tcPr>
                  <w:tcW w:w="697" w:type="dxa"/>
                  <w:vMerge w:val="restart"/>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5" w:type="dxa"/>
                  <w:vMerge w:val="continue"/>
                  <w:noWrap w:val="0"/>
                  <w:vAlign w:val="center"/>
                </w:tcPr>
                <w:p>
                  <w:pPr>
                    <w:snapToGrid w:val="0"/>
                    <w:jc w:val="center"/>
                    <w:rPr>
                      <w:rFonts w:ascii="Times New Roman" w:hAnsi="Times New Roman"/>
                      <w:b/>
                      <w:bCs/>
                      <w:szCs w:val="21"/>
                    </w:rPr>
                  </w:pPr>
                </w:p>
              </w:tc>
              <w:tc>
                <w:tcPr>
                  <w:tcW w:w="803" w:type="dxa"/>
                  <w:vMerge w:val="continue"/>
                  <w:noWrap w:val="0"/>
                  <w:vAlign w:val="center"/>
                </w:tcPr>
                <w:p>
                  <w:pPr>
                    <w:snapToGrid w:val="0"/>
                    <w:jc w:val="center"/>
                    <w:rPr>
                      <w:rFonts w:ascii="Times New Roman" w:hAnsi="Times New Roman"/>
                      <w:b/>
                      <w:bCs/>
                      <w:szCs w:val="21"/>
                    </w:rPr>
                  </w:pPr>
                </w:p>
              </w:tc>
              <w:tc>
                <w:tcPr>
                  <w:tcW w:w="802" w:type="dxa"/>
                  <w:vMerge w:val="continue"/>
                  <w:noWrap w:val="0"/>
                  <w:vAlign w:val="center"/>
                </w:tcPr>
                <w:p>
                  <w:pPr>
                    <w:snapToGrid w:val="0"/>
                    <w:jc w:val="center"/>
                    <w:rPr>
                      <w:rFonts w:ascii="Times New Roman" w:hAnsi="Times New Roman"/>
                      <w:b/>
                      <w:bCs/>
                      <w:szCs w:val="21"/>
                    </w:rPr>
                  </w:pPr>
                </w:p>
              </w:tc>
              <w:tc>
                <w:tcPr>
                  <w:tcW w:w="843" w:type="dxa"/>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浓度(mg/L)</w:t>
                  </w:r>
                </w:p>
              </w:tc>
              <w:tc>
                <w:tcPr>
                  <w:tcW w:w="938" w:type="dxa"/>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产生量</w:t>
                  </w:r>
                </w:p>
                <w:p>
                  <w:pPr>
                    <w:snapToGrid w:val="0"/>
                    <w:jc w:val="center"/>
                    <w:rPr>
                      <w:rFonts w:ascii="Times New Roman" w:hAnsi="Times New Roman"/>
                      <w:b/>
                      <w:bCs/>
                      <w:color w:val="auto"/>
                      <w:szCs w:val="21"/>
                    </w:rPr>
                  </w:pPr>
                  <w:r>
                    <w:rPr>
                      <w:rFonts w:ascii="Times New Roman" w:hAnsi="Times New Roman"/>
                      <w:b/>
                      <w:bCs/>
                      <w:color w:val="auto"/>
                      <w:szCs w:val="21"/>
                    </w:rPr>
                    <w:t>(t/a)</w:t>
                  </w:r>
                </w:p>
              </w:tc>
              <w:tc>
                <w:tcPr>
                  <w:tcW w:w="751" w:type="dxa"/>
                  <w:vMerge w:val="continue"/>
                  <w:noWrap w:val="0"/>
                  <w:vAlign w:val="center"/>
                </w:tcPr>
                <w:p>
                  <w:pPr>
                    <w:snapToGrid w:val="0"/>
                    <w:jc w:val="center"/>
                    <w:rPr>
                      <w:rFonts w:ascii="Times New Roman" w:hAnsi="Times New Roman"/>
                      <w:b/>
                      <w:bCs/>
                      <w:color w:val="auto"/>
                      <w:szCs w:val="21"/>
                    </w:rPr>
                  </w:pPr>
                </w:p>
              </w:tc>
              <w:tc>
                <w:tcPr>
                  <w:tcW w:w="957" w:type="dxa"/>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浓度</w:t>
                  </w:r>
                </w:p>
                <w:p>
                  <w:pPr>
                    <w:snapToGrid w:val="0"/>
                    <w:jc w:val="center"/>
                    <w:rPr>
                      <w:rFonts w:ascii="Times New Roman" w:hAnsi="Times New Roman"/>
                      <w:b/>
                      <w:bCs/>
                      <w:color w:val="auto"/>
                      <w:szCs w:val="21"/>
                    </w:rPr>
                  </w:pPr>
                  <w:r>
                    <w:rPr>
                      <w:rFonts w:ascii="Times New Roman" w:hAnsi="Times New Roman"/>
                      <w:b/>
                      <w:bCs/>
                      <w:color w:val="auto"/>
                      <w:szCs w:val="21"/>
                    </w:rPr>
                    <w:t>(mg/L)</w:t>
                  </w:r>
                </w:p>
              </w:tc>
              <w:tc>
                <w:tcPr>
                  <w:tcW w:w="915" w:type="dxa"/>
                  <w:noWrap w:val="0"/>
                  <w:vAlign w:val="center"/>
                </w:tcPr>
                <w:p>
                  <w:pPr>
                    <w:snapToGrid w:val="0"/>
                    <w:jc w:val="center"/>
                    <w:rPr>
                      <w:rFonts w:ascii="Times New Roman" w:hAnsi="Times New Roman"/>
                      <w:b/>
                      <w:bCs/>
                      <w:color w:val="auto"/>
                      <w:szCs w:val="21"/>
                    </w:rPr>
                  </w:pPr>
                  <w:r>
                    <w:rPr>
                      <w:rFonts w:ascii="Times New Roman" w:hAnsi="Times New Roman"/>
                      <w:b/>
                      <w:bCs/>
                      <w:color w:val="auto"/>
                      <w:szCs w:val="21"/>
                    </w:rPr>
                    <w:t>排放量</w:t>
                  </w:r>
                </w:p>
                <w:p>
                  <w:pPr>
                    <w:snapToGrid w:val="0"/>
                    <w:jc w:val="center"/>
                    <w:rPr>
                      <w:rFonts w:ascii="Times New Roman" w:hAnsi="Times New Roman"/>
                      <w:b/>
                      <w:bCs/>
                      <w:color w:val="auto"/>
                      <w:szCs w:val="21"/>
                    </w:rPr>
                  </w:pPr>
                  <w:r>
                    <w:rPr>
                      <w:rFonts w:ascii="Times New Roman" w:hAnsi="Times New Roman"/>
                      <w:b/>
                      <w:bCs/>
                      <w:color w:val="auto"/>
                      <w:szCs w:val="21"/>
                    </w:rPr>
                    <w:t>(t/a)</w:t>
                  </w:r>
                </w:p>
              </w:tc>
              <w:tc>
                <w:tcPr>
                  <w:tcW w:w="816" w:type="dxa"/>
                  <w:vMerge w:val="continue"/>
                  <w:noWrap w:val="0"/>
                  <w:vAlign w:val="top"/>
                </w:tcPr>
                <w:p>
                  <w:pPr>
                    <w:snapToGrid w:val="0"/>
                    <w:jc w:val="center"/>
                    <w:rPr>
                      <w:rFonts w:ascii="Times New Roman" w:hAnsi="Times New Roman"/>
                      <w:b/>
                      <w:bCs/>
                      <w:szCs w:val="21"/>
                    </w:rPr>
                  </w:pPr>
                </w:p>
              </w:tc>
              <w:tc>
                <w:tcPr>
                  <w:tcW w:w="697" w:type="dxa"/>
                  <w:vMerge w:val="continue"/>
                  <w:noWrap w:val="0"/>
                  <w:vAlign w:val="top"/>
                </w:tcPr>
                <w:p>
                  <w:pPr>
                    <w:snapToGrid w:val="0"/>
                    <w:jc w:val="center"/>
                    <w:rPr>
                      <w:rFonts w:ascii="Times New Roman" w:hAnsi="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restart"/>
                  <w:noWrap w:val="0"/>
                  <w:vAlign w:val="center"/>
                </w:tcPr>
                <w:p>
                  <w:pPr>
                    <w:snapToGrid w:val="0"/>
                    <w:jc w:val="center"/>
                    <w:rPr>
                      <w:rFonts w:ascii="Times New Roman" w:hAnsi="Times New Roman"/>
                      <w:bCs/>
                      <w:szCs w:val="21"/>
                    </w:rPr>
                  </w:pPr>
                  <w:r>
                    <w:rPr>
                      <w:rFonts w:ascii="Times New Roman" w:hAnsi="Times New Roman"/>
                      <w:bCs/>
                      <w:szCs w:val="21"/>
                    </w:rPr>
                    <w:t>生活污水</w:t>
                  </w:r>
                </w:p>
              </w:tc>
              <w:tc>
                <w:tcPr>
                  <w:tcW w:w="803" w:type="dxa"/>
                  <w:vMerge w:val="restart"/>
                  <w:noWrap w:val="0"/>
                  <w:vAlign w:val="center"/>
                </w:tcPr>
                <w:p>
                  <w:pPr>
                    <w:snapToGrid w:val="0"/>
                    <w:jc w:val="center"/>
                    <w:rPr>
                      <w:rFonts w:hint="default" w:ascii="Times New Roman" w:hAnsi="Times New Roman" w:eastAsia="宋体"/>
                      <w:snapToGrid w:val="0"/>
                      <w:kern w:val="0"/>
                      <w:szCs w:val="21"/>
                      <w:lang w:val="en-US" w:eastAsia="zh-CN"/>
                    </w:rPr>
                  </w:pPr>
                  <w:r>
                    <w:rPr>
                      <w:rFonts w:hint="eastAsia" w:ascii="Times New Roman" w:hAnsi="Times New Roman"/>
                      <w:szCs w:val="21"/>
                      <w:lang w:val="en-US" w:eastAsia="zh-CN"/>
                    </w:rPr>
                    <w:t>1</w:t>
                  </w:r>
                  <w:r>
                    <w:rPr>
                      <w:rFonts w:hint="eastAsia"/>
                      <w:szCs w:val="21"/>
                      <w:lang w:val="en-US" w:eastAsia="zh-CN"/>
                    </w:rPr>
                    <w:t>80</w:t>
                  </w:r>
                </w:p>
              </w:tc>
              <w:tc>
                <w:tcPr>
                  <w:tcW w:w="802" w:type="dxa"/>
                  <w:noWrap w:val="0"/>
                  <w:vAlign w:val="center"/>
                </w:tcPr>
                <w:p>
                  <w:pPr>
                    <w:snapToGrid w:val="0"/>
                    <w:jc w:val="center"/>
                    <w:rPr>
                      <w:rFonts w:ascii="Times New Roman" w:hAnsi="Times New Roman"/>
                      <w:bCs/>
                      <w:szCs w:val="21"/>
                    </w:rPr>
                  </w:pPr>
                  <w:r>
                    <w:rPr>
                      <w:rFonts w:ascii="Times New Roman" w:hAnsi="Times New Roman"/>
                      <w:bCs/>
                      <w:szCs w:val="21"/>
                    </w:rPr>
                    <w:t>pH</w:t>
                  </w:r>
                </w:p>
              </w:tc>
              <w:tc>
                <w:tcPr>
                  <w:tcW w:w="1781" w:type="dxa"/>
                  <w:gridSpan w:val="2"/>
                  <w:noWrap w:val="0"/>
                  <w:vAlign w:val="center"/>
                </w:tcPr>
                <w:p>
                  <w:pPr>
                    <w:snapToGrid w:val="0"/>
                    <w:jc w:val="center"/>
                    <w:rPr>
                      <w:rFonts w:ascii="Times New Roman" w:hAnsi="Times New Roman"/>
                      <w:color w:val="auto"/>
                      <w:kern w:val="0"/>
                      <w:szCs w:val="21"/>
                    </w:rPr>
                  </w:pPr>
                  <w:r>
                    <w:rPr>
                      <w:rFonts w:ascii="Times New Roman" w:hAnsi="Times New Roman"/>
                      <w:color w:val="auto"/>
                      <w:kern w:val="0"/>
                      <w:szCs w:val="21"/>
                    </w:rPr>
                    <w:t>6~7</w:t>
                  </w:r>
                </w:p>
              </w:tc>
              <w:tc>
                <w:tcPr>
                  <w:tcW w:w="751" w:type="dxa"/>
                  <w:vMerge w:val="restart"/>
                  <w:noWrap w:val="0"/>
                  <w:vAlign w:val="center"/>
                </w:tcPr>
                <w:p>
                  <w:pPr>
                    <w:snapToGrid w:val="0"/>
                    <w:jc w:val="center"/>
                    <w:rPr>
                      <w:rFonts w:ascii="Times New Roman" w:hAnsi="Times New Roman"/>
                      <w:color w:val="auto"/>
                      <w:szCs w:val="21"/>
                    </w:rPr>
                  </w:pPr>
                  <w:r>
                    <w:rPr>
                      <w:rFonts w:ascii="Times New Roman" w:hAnsi="Times New Roman"/>
                      <w:color w:val="auto"/>
                      <w:szCs w:val="21"/>
                    </w:rPr>
                    <w:t>化粪池</w:t>
                  </w:r>
                </w:p>
              </w:tc>
              <w:tc>
                <w:tcPr>
                  <w:tcW w:w="1872" w:type="dxa"/>
                  <w:gridSpan w:val="2"/>
                  <w:noWrap w:val="0"/>
                  <w:vAlign w:val="center"/>
                </w:tcPr>
                <w:p>
                  <w:pPr>
                    <w:snapToGrid w:val="0"/>
                    <w:jc w:val="center"/>
                    <w:rPr>
                      <w:rFonts w:ascii="Times New Roman" w:hAnsi="Times New Roman"/>
                      <w:color w:val="auto"/>
                      <w:kern w:val="0"/>
                      <w:szCs w:val="21"/>
                    </w:rPr>
                  </w:pPr>
                  <w:r>
                    <w:rPr>
                      <w:rFonts w:ascii="Times New Roman" w:hAnsi="Times New Roman"/>
                      <w:color w:val="auto"/>
                      <w:kern w:val="0"/>
                      <w:szCs w:val="21"/>
                    </w:rPr>
                    <w:t>6~7</w:t>
                  </w:r>
                </w:p>
              </w:tc>
              <w:tc>
                <w:tcPr>
                  <w:tcW w:w="816" w:type="dxa"/>
                  <w:noWrap w:val="0"/>
                  <w:vAlign w:val="center"/>
                </w:tcPr>
                <w:p>
                  <w:pPr>
                    <w:snapToGrid w:val="0"/>
                    <w:jc w:val="center"/>
                    <w:rPr>
                      <w:rFonts w:ascii="Times New Roman" w:hAnsi="Times New Roman"/>
                      <w:kern w:val="0"/>
                      <w:szCs w:val="21"/>
                    </w:rPr>
                  </w:pPr>
                  <w:r>
                    <w:rPr>
                      <w:rFonts w:ascii="Times New Roman" w:hAnsi="Times New Roman"/>
                      <w:kern w:val="0"/>
                      <w:szCs w:val="21"/>
                    </w:rPr>
                    <w:t>6~9</w:t>
                  </w:r>
                </w:p>
              </w:tc>
              <w:tc>
                <w:tcPr>
                  <w:tcW w:w="697" w:type="dxa"/>
                  <w:vMerge w:val="restart"/>
                  <w:noWrap w:val="0"/>
                  <w:vAlign w:val="center"/>
                </w:tcPr>
                <w:p>
                  <w:pPr>
                    <w:snapToGrid w:val="0"/>
                    <w:jc w:val="center"/>
                    <w:rPr>
                      <w:rFonts w:ascii="Times New Roman" w:hAnsi="Times New Roman"/>
                      <w:kern w:val="0"/>
                      <w:szCs w:val="21"/>
                    </w:rPr>
                  </w:pPr>
                  <w:r>
                    <w:rPr>
                      <w:rFonts w:hint="eastAsia" w:ascii="Times New Roman" w:hAnsi="Times New Roman"/>
                      <w:bCs/>
                      <w:szCs w:val="21"/>
                      <w:lang w:eastAsia="zh-CN"/>
                    </w:rPr>
                    <w:t>舒城经济开发区</w:t>
                  </w:r>
                  <w:r>
                    <w:rPr>
                      <w:rFonts w:ascii="Times New Roman" w:hAnsi="Times New Roman"/>
                      <w:bCs/>
                      <w:szCs w:val="21"/>
                    </w:rPr>
                    <w:t>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pPr>
                    <w:snapToGrid w:val="0"/>
                    <w:jc w:val="center"/>
                    <w:rPr>
                      <w:rFonts w:ascii="Times New Roman" w:hAnsi="Times New Roman"/>
                      <w:bCs/>
                      <w:szCs w:val="21"/>
                    </w:rPr>
                  </w:pPr>
                </w:p>
              </w:tc>
              <w:tc>
                <w:tcPr>
                  <w:tcW w:w="803" w:type="dxa"/>
                  <w:vMerge w:val="continue"/>
                  <w:noWrap w:val="0"/>
                  <w:vAlign w:val="center"/>
                </w:tcPr>
                <w:p>
                  <w:pPr>
                    <w:snapToGrid w:val="0"/>
                    <w:jc w:val="center"/>
                    <w:rPr>
                      <w:rFonts w:ascii="Times New Roman" w:hAnsi="Times New Roman"/>
                      <w:snapToGrid w:val="0"/>
                      <w:kern w:val="0"/>
                      <w:szCs w:val="21"/>
                    </w:rPr>
                  </w:pPr>
                </w:p>
              </w:tc>
              <w:tc>
                <w:tcPr>
                  <w:tcW w:w="802" w:type="dxa"/>
                  <w:noWrap w:val="0"/>
                  <w:vAlign w:val="center"/>
                </w:tcPr>
                <w:p>
                  <w:pPr>
                    <w:snapToGrid w:val="0"/>
                    <w:jc w:val="center"/>
                    <w:rPr>
                      <w:rFonts w:ascii="Times New Roman" w:hAnsi="Times New Roman"/>
                      <w:bCs/>
                      <w:szCs w:val="21"/>
                    </w:rPr>
                  </w:pPr>
                  <w:r>
                    <w:rPr>
                      <w:rFonts w:ascii="Times New Roman" w:hAnsi="Times New Roman"/>
                      <w:bCs/>
                      <w:szCs w:val="21"/>
                    </w:rPr>
                    <w:t>COD</w:t>
                  </w:r>
                </w:p>
              </w:tc>
              <w:tc>
                <w:tcPr>
                  <w:tcW w:w="843" w:type="dxa"/>
                  <w:noWrap w:val="0"/>
                  <w:vAlign w:val="center"/>
                </w:tcPr>
                <w:p>
                  <w:pPr>
                    <w:snapToGrid w:val="0"/>
                    <w:jc w:val="center"/>
                    <w:rPr>
                      <w:rFonts w:ascii="Times New Roman" w:hAnsi="Times New Roman"/>
                      <w:bCs/>
                      <w:color w:val="auto"/>
                      <w:szCs w:val="21"/>
                    </w:rPr>
                  </w:pPr>
                  <w:r>
                    <w:rPr>
                      <w:rFonts w:ascii="Times New Roman" w:hAnsi="Times New Roman"/>
                      <w:color w:val="auto"/>
                      <w:szCs w:val="21"/>
                    </w:rPr>
                    <w:t>350</w:t>
                  </w:r>
                </w:p>
              </w:tc>
              <w:tc>
                <w:tcPr>
                  <w:tcW w:w="938"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0.063</w:t>
                  </w:r>
                </w:p>
              </w:tc>
              <w:tc>
                <w:tcPr>
                  <w:tcW w:w="751" w:type="dxa"/>
                  <w:vMerge w:val="continue"/>
                  <w:noWrap w:val="0"/>
                  <w:vAlign w:val="center"/>
                </w:tcPr>
                <w:p>
                  <w:pPr>
                    <w:snapToGrid w:val="0"/>
                    <w:jc w:val="center"/>
                    <w:rPr>
                      <w:rFonts w:ascii="Times New Roman" w:hAnsi="Times New Roman"/>
                      <w:color w:val="auto"/>
                      <w:szCs w:val="21"/>
                    </w:rPr>
                  </w:pPr>
                </w:p>
              </w:tc>
              <w:tc>
                <w:tcPr>
                  <w:tcW w:w="957" w:type="dxa"/>
                  <w:noWrap w:val="0"/>
                  <w:vAlign w:val="center"/>
                </w:tcPr>
                <w:p>
                  <w:pPr>
                    <w:snapToGrid w:val="0"/>
                    <w:jc w:val="center"/>
                    <w:rPr>
                      <w:rFonts w:hint="default" w:ascii="Times New Roman" w:hAnsi="Times New Roman" w:eastAsia="宋体"/>
                      <w:bCs/>
                      <w:color w:val="auto"/>
                      <w:szCs w:val="21"/>
                      <w:lang w:val="en-US" w:eastAsia="zh-CN"/>
                    </w:rPr>
                  </w:pPr>
                  <w:r>
                    <w:rPr>
                      <w:rFonts w:hint="eastAsia"/>
                      <w:color w:val="auto"/>
                      <w:szCs w:val="21"/>
                      <w:lang w:val="en-US" w:eastAsia="zh-CN"/>
                    </w:rPr>
                    <w:t>280</w:t>
                  </w:r>
                </w:p>
              </w:tc>
              <w:tc>
                <w:tcPr>
                  <w:tcW w:w="915"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0.050</w:t>
                  </w:r>
                </w:p>
              </w:tc>
              <w:tc>
                <w:tcPr>
                  <w:tcW w:w="816" w:type="dxa"/>
                  <w:noWrap w:val="0"/>
                  <w:vAlign w:val="center"/>
                </w:tcPr>
                <w:p>
                  <w:pPr>
                    <w:snapToGrid w:val="0"/>
                    <w:spacing w:line="320" w:lineRule="exact"/>
                    <w:jc w:val="center"/>
                    <w:rPr>
                      <w:rFonts w:ascii="Times New Roman" w:hAnsi="Times New Roman"/>
                      <w:kern w:val="0"/>
                      <w:szCs w:val="21"/>
                    </w:rPr>
                  </w:pPr>
                  <w:r>
                    <w:rPr>
                      <w:rFonts w:ascii="Times New Roman" w:hAnsi="Times New Roman"/>
                      <w:szCs w:val="22"/>
                    </w:rPr>
                    <w:t>≤</w:t>
                  </w:r>
                  <w:r>
                    <w:rPr>
                      <w:rFonts w:hint="eastAsia" w:ascii="Times New Roman" w:hAnsi="Times New Roman"/>
                      <w:szCs w:val="22"/>
                      <w:lang w:val="en-US" w:eastAsia="zh-CN"/>
                    </w:rPr>
                    <w:t>400</w:t>
                  </w:r>
                </w:p>
              </w:tc>
              <w:tc>
                <w:tcPr>
                  <w:tcW w:w="697" w:type="dxa"/>
                  <w:vMerge w:val="continue"/>
                  <w:noWrap w:val="0"/>
                  <w:vAlign w:val="top"/>
                </w:tcPr>
                <w:p>
                  <w:pPr>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pPr>
                    <w:snapToGrid w:val="0"/>
                    <w:jc w:val="center"/>
                    <w:rPr>
                      <w:rFonts w:ascii="Times New Roman" w:hAnsi="Times New Roman"/>
                      <w:bCs/>
                      <w:szCs w:val="21"/>
                    </w:rPr>
                  </w:pPr>
                </w:p>
              </w:tc>
              <w:tc>
                <w:tcPr>
                  <w:tcW w:w="803" w:type="dxa"/>
                  <w:vMerge w:val="continue"/>
                  <w:noWrap w:val="0"/>
                  <w:vAlign w:val="center"/>
                </w:tcPr>
                <w:p>
                  <w:pPr>
                    <w:snapToGrid w:val="0"/>
                    <w:jc w:val="center"/>
                    <w:rPr>
                      <w:rFonts w:ascii="Times New Roman" w:hAnsi="Times New Roman"/>
                      <w:snapToGrid w:val="0"/>
                      <w:kern w:val="0"/>
                      <w:szCs w:val="21"/>
                    </w:rPr>
                  </w:pPr>
                </w:p>
              </w:tc>
              <w:tc>
                <w:tcPr>
                  <w:tcW w:w="802" w:type="dxa"/>
                  <w:noWrap w:val="0"/>
                  <w:vAlign w:val="center"/>
                </w:tcPr>
                <w:p>
                  <w:pPr>
                    <w:snapToGrid w:val="0"/>
                    <w:jc w:val="center"/>
                    <w:rPr>
                      <w:rFonts w:ascii="Times New Roman" w:hAnsi="Times New Roman"/>
                      <w:bCs/>
                      <w:szCs w:val="21"/>
                    </w:rPr>
                  </w:pPr>
                  <w:r>
                    <w:rPr>
                      <w:rFonts w:ascii="Times New Roman" w:hAnsi="Times New Roman"/>
                      <w:bCs/>
                      <w:szCs w:val="21"/>
                    </w:rPr>
                    <w:t>BOD</w:t>
                  </w:r>
                  <w:r>
                    <w:rPr>
                      <w:rFonts w:ascii="Times New Roman" w:hAnsi="Times New Roman"/>
                      <w:bCs/>
                      <w:szCs w:val="21"/>
                      <w:vertAlign w:val="subscript"/>
                    </w:rPr>
                    <w:t>5</w:t>
                  </w:r>
                </w:p>
              </w:tc>
              <w:tc>
                <w:tcPr>
                  <w:tcW w:w="843" w:type="dxa"/>
                  <w:noWrap w:val="0"/>
                  <w:vAlign w:val="center"/>
                </w:tcPr>
                <w:p>
                  <w:pPr>
                    <w:snapToGrid w:val="0"/>
                    <w:jc w:val="center"/>
                    <w:rPr>
                      <w:rFonts w:ascii="Times New Roman" w:hAnsi="Times New Roman"/>
                      <w:color w:val="auto"/>
                      <w:szCs w:val="21"/>
                    </w:rPr>
                  </w:pPr>
                  <w:r>
                    <w:rPr>
                      <w:rFonts w:ascii="Times New Roman" w:hAnsi="Times New Roman"/>
                      <w:color w:val="auto"/>
                      <w:szCs w:val="21"/>
                    </w:rPr>
                    <w:t>200</w:t>
                  </w:r>
                </w:p>
              </w:tc>
              <w:tc>
                <w:tcPr>
                  <w:tcW w:w="938" w:type="dxa"/>
                  <w:noWrap w:val="0"/>
                  <w:vAlign w:val="center"/>
                </w:tcPr>
                <w:p>
                  <w:pPr>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0.036</w:t>
                  </w:r>
                </w:p>
              </w:tc>
              <w:tc>
                <w:tcPr>
                  <w:tcW w:w="751" w:type="dxa"/>
                  <w:vMerge w:val="continue"/>
                  <w:noWrap w:val="0"/>
                  <w:vAlign w:val="center"/>
                </w:tcPr>
                <w:p>
                  <w:pPr>
                    <w:snapToGrid w:val="0"/>
                    <w:jc w:val="center"/>
                    <w:rPr>
                      <w:rFonts w:ascii="Times New Roman" w:hAnsi="Times New Roman"/>
                      <w:color w:val="auto"/>
                      <w:szCs w:val="21"/>
                    </w:rPr>
                  </w:pPr>
                </w:p>
              </w:tc>
              <w:tc>
                <w:tcPr>
                  <w:tcW w:w="957" w:type="dxa"/>
                  <w:noWrap w:val="0"/>
                  <w:vAlign w:val="center"/>
                </w:tcPr>
                <w:p>
                  <w:pPr>
                    <w:snapToGrid w:val="0"/>
                    <w:jc w:val="center"/>
                    <w:rPr>
                      <w:rFonts w:ascii="Times New Roman" w:hAnsi="Times New Roman"/>
                      <w:bCs/>
                      <w:color w:val="auto"/>
                      <w:szCs w:val="21"/>
                    </w:rPr>
                  </w:pPr>
                  <w:r>
                    <w:rPr>
                      <w:rFonts w:ascii="Times New Roman" w:hAnsi="Times New Roman"/>
                      <w:color w:val="auto"/>
                      <w:szCs w:val="21"/>
                    </w:rPr>
                    <w:t>180</w:t>
                  </w:r>
                </w:p>
              </w:tc>
              <w:tc>
                <w:tcPr>
                  <w:tcW w:w="915"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0.032</w:t>
                  </w:r>
                </w:p>
              </w:tc>
              <w:tc>
                <w:tcPr>
                  <w:tcW w:w="816" w:type="dxa"/>
                  <w:noWrap w:val="0"/>
                  <w:vAlign w:val="center"/>
                </w:tcPr>
                <w:p>
                  <w:pPr>
                    <w:snapToGrid w:val="0"/>
                    <w:spacing w:line="320" w:lineRule="exact"/>
                    <w:jc w:val="center"/>
                    <w:rPr>
                      <w:rFonts w:hint="default" w:ascii="Times New Roman" w:hAnsi="Times New Roman" w:eastAsia="宋体"/>
                      <w:kern w:val="0"/>
                      <w:szCs w:val="21"/>
                      <w:lang w:val="en-US" w:eastAsia="zh-CN"/>
                    </w:rPr>
                  </w:pPr>
                  <w:r>
                    <w:rPr>
                      <w:rFonts w:ascii="Times New Roman" w:hAnsi="Times New Roman"/>
                      <w:szCs w:val="22"/>
                    </w:rPr>
                    <w:t>≤</w:t>
                  </w:r>
                  <w:r>
                    <w:rPr>
                      <w:rFonts w:hint="eastAsia" w:ascii="Times New Roman" w:hAnsi="Times New Roman"/>
                      <w:szCs w:val="22"/>
                      <w:lang w:val="en-US" w:eastAsia="zh-CN"/>
                    </w:rPr>
                    <w:t>220</w:t>
                  </w:r>
                </w:p>
              </w:tc>
              <w:tc>
                <w:tcPr>
                  <w:tcW w:w="697" w:type="dxa"/>
                  <w:vMerge w:val="continue"/>
                  <w:noWrap w:val="0"/>
                  <w:vAlign w:val="top"/>
                </w:tcPr>
                <w:p>
                  <w:pPr>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pPr>
                    <w:snapToGrid w:val="0"/>
                    <w:jc w:val="center"/>
                    <w:rPr>
                      <w:rFonts w:ascii="Times New Roman" w:hAnsi="Times New Roman"/>
                      <w:bCs/>
                      <w:szCs w:val="21"/>
                    </w:rPr>
                  </w:pPr>
                </w:p>
              </w:tc>
              <w:tc>
                <w:tcPr>
                  <w:tcW w:w="803" w:type="dxa"/>
                  <w:vMerge w:val="continue"/>
                  <w:noWrap w:val="0"/>
                  <w:vAlign w:val="center"/>
                </w:tcPr>
                <w:p>
                  <w:pPr>
                    <w:snapToGrid w:val="0"/>
                    <w:jc w:val="center"/>
                    <w:rPr>
                      <w:rFonts w:ascii="Times New Roman" w:hAnsi="Times New Roman"/>
                      <w:snapToGrid w:val="0"/>
                      <w:kern w:val="0"/>
                      <w:szCs w:val="21"/>
                    </w:rPr>
                  </w:pPr>
                </w:p>
              </w:tc>
              <w:tc>
                <w:tcPr>
                  <w:tcW w:w="802" w:type="dxa"/>
                  <w:noWrap w:val="0"/>
                  <w:vAlign w:val="center"/>
                </w:tcPr>
                <w:p>
                  <w:pPr>
                    <w:snapToGrid w:val="0"/>
                    <w:jc w:val="center"/>
                    <w:rPr>
                      <w:rFonts w:ascii="Times New Roman" w:hAnsi="Times New Roman"/>
                      <w:bCs/>
                      <w:szCs w:val="21"/>
                    </w:rPr>
                  </w:pPr>
                  <w:r>
                    <w:rPr>
                      <w:rFonts w:ascii="Times New Roman" w:hAnsi="Times New Roman"/>
                      <w:bCs/>
                      <w:szCs w:val="21"/>
                    </w:rPr>
                    <w:t>SS</w:t>
                  </w:r>
                </w:p>
              </w:tc>
              <w:tc>
                <w:tcPr>
                  <w:tcW w:w="843" w:type="dxa"/>
                  <w:noWrap w:val="0"/>
                  <w:vAlign w:val="center"/>
                </w:tcPr>
                <w:p>
                  <w:pPr>
                    <w:snapToGrid w:val="0"/>
                    <w:jc w:val="center"/>
                    <w:rPr>
                      <w:rFonts w:ascii="Times New Roman" w:hAnsi="Times New Roman"/>
                      <w:bCs/>
                      <w:color w:val="auto"/>
                      <w:szCs w:val="21"/>
                    </w:rPr>
                  </w:pPr>
                  <w:r>
                    <w:rPr>
                      <w:rFonts w:ascii="Times New Roman" w:hAnsi="Times New Roman"/>
                      <w:color w:val="auto"/>
                      <w:szCs w:val="21"/>
                    </w:rPr>
                    <w:t>200</w:t>
                  </w:r>
                </w:p>
              </w:tc>
              <w:tc>
                <w:tcPr>
                  <w:tcW w:w="938"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0.036</w:t>
                  </w:r>
                </w:p>
              </w:tc>
              <w:tc>
                <w:tcPr>
                  <w:tcW w:w="751" w:type="dxa"/>
                  <w:vMerge w:val="continue"/>
                  <w:noWrap w:val="0"/>
                  <w:vAlign w:val="center"/>
                </w:tcPr>
                <w:p>
                  <w:pPr>
                    <w:snapToGrid w:val="0"/>
                    <w:jc w:val="center"/>
                    <w:rPr>
                      <w:rFonts w:ascii="Times New Roman" w:hAnsi="Times New Roman"/>
                      <w:color w:val="auto"/>
                      <w:szCs w:val="21"/>
                    </w:rPr>
                  </w:pPr>
                </w:p>
              </w:tc>
              <w:tc>
                <w:tcPr>
                  <w:tcW w:w="957" w:type="dxa"/>
                  <w:noWrap w:val="0"/>
                  <w:vAlign w:val="center"/>
                </w:tcPr>
                <w:p>
                  <w:pPr>
                    <w:snapToGrid w:val="0"/>
                    <w:jc w:val="center"/>
                    <w:rPr>
                      <w:rFonts w:ascii="Times New Roman" w:hAnsi="Times New Roman"/>
                      <w:bCs/>
                      <w:color w:val="auto"/>
                      <w:szCs w:val="21"/>
                    </w:rPr>
                  </w:pPr>
                  <w:r>
                    <w:rPr>
                      <w:rFonts w:ascii="Times New Roman" w:hAnsi="Times New Roman"/>
                      <w:color w:val="auto"/>
                      <w:szCs w:val="21"/>
                    </w:rPr>
                    <w:t>140</w:t>
                  </w:r>
                </w:p>
              </w:tc>
              <w:tc>
                <w:tcPr>
                  <w:tcW w:w="915"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0.025</w:t>
                  </w:r>
                </w:p>
              </w:tc>
              <w:tc>
                <w:tcPr>
                  <w:tcW w:w="816" w:type="dxa"/>
                  <w:noWrap w:val="0"/>
                  <w:vAlign w:val="center"/>
                </w:tcPr>
                <w:p>
                  <w:pPr>
                    <w:snapToGrid w:val="0"/>
                    <w:spacing w:line="320" w:lineRule="exact"/>
                    <w:jc w:val="center"/>
                    <w:rPr>
                      <w:rFonts w:ascii="Times New Roman" w:hAnsi="Times New Roman"/>
                      <w:kern w:val="0"/>
                      <w:szCs w:val="21"/>
                    </w:rPr>
                  </w:pPr>
                  <w:r>
                    <w:rPr>
                      <w:rFonts w:ascii="Times New Roman" w:hAnsi="Times New Roman"/>
                      <w:szCs w:val="22"/>
                    </w:rPr>
                    <w:t>≤</w:t>
                  </w:r>
                  <w:r>
                    <w:rPr>
                      <w:rFonts w:hint="eastAsia" w:ascii="Times New Roman" w:hAnsi="Times New Roman"/>
                      <w:szCs w:val="22"/>
                      <w:lang w:val="en-US" w:eastAsia="zh-CN"/>
                    </w:rPr>
                    <w:t>350</w:t>
                  </w:r>
                </w:p>
              </w:tc>
              <w:tc>
                <w:tcPr>
                  <w:tcW w:w="697" w:type="dxa"/>
                  <w:vMerge w:val="continue"/>
                  <w:noWrap w:val="0"/>
                  <w:vAlign w:val="top"/>
                </w:tcPr>
                <w:p>
                  <w:pPr>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pPr>
                    <w:snapToGrid w:val="0"/>
                    <w:jc w:val="center"/>
                    <w:rPr>
                      <w:rFonts w:ascii="Times New Roman" w:hAnsi="Times New Roman"/>
                      <w:bCs/>
                      <w:szCs w:val="21"/>
                    </w:rPr>
                  </w:pPr>
                </w:p>
              </w:tc>
              <w:tc>
                <w:tcPr>
                  <w:tcW w:w="803" w:type="dxa"/>
                  <w:vMerge w:val="continue"/>
                  <w:noWrap w:val="0"/>
                  <w:vAlign w:val="center"/>
                </w:tcPr>
                <w:p>
                  <w:pPr>
                    <w:snapToGrid w:val="0"/>
                    <w:jc w:val="center"/>
                    <w:rPr>
                      <w:rFonts w:ascii="Times New Roman" w:hAnsi="Times New Roman"/>
                      <w:snapToGrid w:val="0"/>
                      <w:kern w:val="0"/>
                      <w:szCs w:val="21"/>
                    </w:rPr>
                  </w:pPr>
                </w:p>
              </w:tc>
              <w:tc>
                <w:tcPr>
                  <w:tcW w:w="802" w:type="dxa"/>
                  <w:noWrap w:val="0"/>
                  <w:vAlign w:val="center"/>
                </w:tcPr>
                <w:p>
                  <w:pPr>
                    <w:snapToGrid w:val="0"/>
                    <w:jc w:val="center"/>
                    <w:rPr>
                      <w:rFonts w:ascii="Times New Roman" w:hAnsi="Times New Roman"/>
                      <w:bCs/>
                      <w:szCs w:val="21"/>
                    </w:rPr>
                  </w:pPr>
                  <w:r>
                    <w:rPr>
                      <w:rFonts w:ascii="Times New Roman" w:hAnsi="Times New Roman"/>
                      <w:bCs/>
                      <w:szCs w:val="21"/>
                    </w:rPr>
                    <w:t>NH</w:t>
                  </w:r>
                  <w:r>
                    <w:rPr>
                      <w:rFonts w:ascii="Times New Roman" w:hAnsi="Times New Roman"/>
                      <w:bCs/>
                      <w:szCs w:val="21"/>
                      <w:vertAlign w:val="subscript"/>
                    </w:rPr>
                    <w:t>3</w:t>
                  </w:r>
                  <w:r>
                    <w:rPr>
                      <w:rFonts w:ascii="Times New Roman" w:hAnsi="Times New Roman"/>
                      <w:bCs/>
                      <w:szCs w:val="21"/>
                    </w:rPr>
                    <w:t>-N</w:t>
                  </w:r>
                </w:p>
              </w:tc>
              <w:tc>
                <w:tcPr>
                  <w:tcW w:w="843" w:type="dxa"/>
                  <w:noWrap w:val="0"/>
                  <w:vAlign w:val="center"/>
                </w:tcPr>
                <w:p>
                  <w:pPr>
                    <w:snapToGrid w:val="0"/>
                    <w:jc w:val="center"/>
                    <w:rPr>
                      <w:rFonts w:ascii="Times New Roman" w:hAnsi="Times New Roman"/>
                      <w:bCs/>
                      <w:color w:val="auto"/>
                      <w:szCs w:val="21"/>
                    </w:rPr>
                  </w:pPr>
                  <w:r>
                    <w:rPr>
                      <w:rFonts w:hint="eastAsia"/>
                      <w:color w:val="auto"/>
                      <w:szCs w:val="21"/>
                      <w:lang w:val="en-US" w:eastAsia="zh-CN"/>
                    </w:rPr>
                    <w:t>3</w:t>
                  </w:r>
                  <w:r>
                    <w:rPr>
                      <w:rFonts w:hint="eastAsia" w:ascii="Times New Roman" w:hAnsi="Times New Roman"/>
                      <w:color w:val="auto"/>
                      <w:szCs w:val="21"/>
                    </w:rPr>
                    <w:t>5</w:t>
                  </w:r>
                </w:p>
              </w:tc>
              <w:tc>
                <w:tcPr>
                  <w:tcW w:w="938"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0.0063</w:t>
                  </w:r>
                </w:p>
              </w:tc>
              <w:tc>
                <w:tcPr>
                  <w:tcW w:w="751" w:type="dxa"/>
                  <w:vMerge w:val="continue"/>
                  <w:noWrap w:val="0"/>
                  <w:vAlign w:val="center"/>
                </w:tcPr>
                <w:p>
                  <w:pPr>
                    <w:snapToGrid w:val="0"/>
                    <w:jc w:val="center"/>
                    <w:rPr>
                      <w:rFonts w:ascii="Times New Roman" w:hAnsi="Times New Roman"/>
                      <w:color w:val="auto"/>
                      <w:szCs w:val="21"/>
                    </w:rPr>
                  </w:pPr>
                </w:p>
              </w:tc>
              <w:tc>
                <w:tcPr>
                  <w:tcW w:w="957" w:type="dxa"/>
                  <w:noWrap w:val="0"/>
                  <w:vAlign w:val="center"/>
                </w:tcPr>
                <w:p>
                  <w:pPr>
                    <w:snapToGrid w:val="0"/>
                    <w:jc w:val="center"/>
                    <w:rPr>
                      <w:rFonts w:hint="default" w:ascii="Times New Roman" w:hAnsi="Times New Roman" w:eastAsia="宋体"/>
                      <w:bCs/>
                      <w:color w:val="auto"/>
                      <w:szCs w:val="21"/>
                      <w:lang w:val="en-US" w:eastAsia="zh-CN"/>
                    </w:rPr>
                  </w:pPr>
                  <w:r>
                    <w:rPr>
                      <w:rFonts w:hint="eastAsia"/>
                      <w:color w:val="auto"/>
                      <w:szCs w:val="21"/>
                      <w:lang w:val="en-US" w:eastAsia="zh-CN"/>
                    </w:rPr>
                    <w:t>33</w:t>
                  </w:r>
                </w:p>
              </w:tc>
              <w:tc>
                <w:tcPr>
                  <w:tcW w:w="915"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0.0059</w:t>
                  </w:r>
                </w:p>
              </w:tc>
              <w:tc>
                <w:tcPr>
                  <w:tcW w:w="816" w:type="dxa"/>
                  <w:noWrap w:val="0"/>
                  <w:vAlign w:val="center"/>
                </w:tcPr>
                <w:p>
                  <w:pPr>
                    <w:snapToGrid w:val="0"/>
                    <w:spacing w:line="320" w:lineRule="exact"/>
                    <w:jc w:val="center"/>
                    <w:rPr>
                      <w:rFonts w:ascii="Times New Roman" w:hAnsi="Times New Roman"/>
                      <w:kern w:val="0"/>
                      <w:szCs w:val="21"/>
                    </w:rPr>
                  </w:pPr>
                  <w:r>
                    <w:rPr>
                      <w:rFonts w:ascii="Times New Roman" w:hAnsi="Times New Roman"/>
                      <w:szCs w:val="22"/>
                    </w:rPr>
                    <w:t>≤</w:t>
                  </w:r>
                  <w:r>
                    <w:rPr>
                      <w:rFonts w:hint="eastAsia"/>
                      <w:szCs w:val="22"/>
                      <w:lang w:val="en-US" w:eastAsia="zh-CN"/>
                    </w:rPr>
                    <w:t>35</w:t>
                  </w:r>
                </w:p>
              </w:tc>
              <w:tc>
                <w:tcPr>
                  <w:tcW w:w="697" w:type="dxa"/>
                  <w:vMerge w:val="continue"/>
                  <w:noWrap w:val="0"/>
                  <w:vAlign w:val="top"/>
                </w:tcPr>
                <w:p>
                  <w:pPr>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dxa"/>
                  <w:vMerge w:val="continue"/>
                  <w:noWrap w:val="0"/>
                  <w:vAlign w:val="center"/>
                </w:tcPr>
                <w:p>
                  <w:pPr>
                    <w:snapToGrid w:val="0"/>
                    <w:jc w:val="center"/>
                    <w:rPr>
                      <w:rFonts w:ascii="Times New Roman" w:hAnsi="Times New Roman"/>
                      <w:bCs/>
                      <w:szCs w:val="21"/>
                    </w:rPr>
                  </w:pPr>
                </w:p>
              </w:tc>
              <w:tc>
                <w:tcPr>
                  <w:tcW w:w="803" w:type="dxa"/>
                  <w:vMerge w:val="continue"/>
                  <w:noWrap w:val="0"/>
                  <w:vAlign w:val="center"/>
                </w:tcPr>
                <w:p>
                  <w:pPr>
                    <w:snapToGrid w:val="0"/>
                    <w:jc w:val="center"/>
                    <w:rPr>
                      <w:rFonts w:ascii="Times New Roman" w:hAnsi="Times New Roman"/>
                      <w:snapToGrid w:val="0"/>
                      <w:kern w:val="0"/>
                      <w:szCs w:val="21"/>
                    </w:rPr>
                  </w:pPr>
                </w:p>
              </w:tc>
              <w:tc>
                <w:tcPr>
                  <w:tcW w:w="802" w:type="dxa"/>
                  <w:noWrap w:val="0"/>
                  <w:vAlign w:val="center"/>
                </w:tcPr>
                <w:p>
                  <w:pPr>
                    <w:snapToGrid w:val="0"/>
                    <w:jc w:val="center"/>
                    <w:rPr>
                      <w:rFonts w:ascii="Times New Roman" w:hAnsi="Times New Roman"/>
                      <w:bCs/>
                      <w:szCs w:val="21"/>
                    </w:rPr>
                  </w:pPr>
                  <w:r>
                    <w:rPr>
                      <w:rFonts w:ascii="Times New Roman" w:hAnsi="Times New Roman"/>
                      <w:bCs/>
                      <w:szCs w:val="21"/>
                    </w:rPr>
                    <w:t>TP</w:t>
                  </w:r>
                </w:p>
              </w:tc>
              <w:tc>
                <w:tcPr>
                  <w:tcW w:w="843" w:type="dxa"/>
                  <w:noWrap w:val="0"/>
                  <w:vAlign w:val="center"/>
                </w:tcPr>
                <w:p>
                  <w:pPr>
                    <w:snapToGrid w:val="0"/>
                    <w:jc w:val="center"/>
                    <w:rPr>
                      <w:rFonts w:ascii="Times New Roman" w:hAnsi="Times New Roman"/>
                      <w:bCs/>
                      <w:color w:val="auto"/>
                      <w:szCs w:val="21"/>
                    </w:rPr>
                  </w:pPr>
                  <w:r>
                    <w:rPr>
                      <w:rFonts w:ascii="Times New Roman" w:hAnsi="Times New Roman"/>
                      <w:color w:val="auto"/>
                      <w:szCs w:val="21"/>
                    </w:rPr>
                    <w:t>3</w:t>
                  </w:r>
                </w:p>
              </w:tc>
              <w:tc>
                <w:tcPr>
                  <w:tcW w:w="938" w:type="dxa"/>
                  <w:noWrap w:val="0"/>
                  <w:vAlign w:val="center"/>
                </w:tcPr>
                <w:p>
                  <w:pPr>
                    <w:snapToGrid w:val="0"/>
                    <w:jc w:val="center"/>
                    <w:rPr>
                      <w:rFonts w:hint="default" w:ascii="Times New Roman" w:hAnsi="Times New Roman" w:eastAsia="宋体"/>
                      <w:color w:val="auto"/>
                      <w:kern w:val="0"/>
                      <w:szCs w:val="21"/>
                      <w:lang w:val="en-US" w:eastAsia="zh-CN"/>
                    </w:rPr>
                  </w:pPr>
                  <w:r>
                    <w:rPr>
                      <w:rFonts w:hint="eastAsia"/>
                      <w:color w:val="auto"/>
                      <w:kern w:val="0"/>
                      <w:szCs w:val="21"/>
                      <w:lang w:val="en-US" w:eastAsia="zh-CN"/>
                    </w:rPr>
                    <w:t>0.0005</w:t>
                  </w:r>
                </w:p>
              </w:tc>
              <w:tc>
                <w:tcPr>
                  <w:tcW w:w="751" w:type="dxa"/>
                  <w:vMerge w:val="continue"/>
                  <w:noWrap w:val="0"/>
                  <w:vAlign w:val="center"/>
                </w:tcPr>
                <w:p>
                  <w:pPr>
                    <w:snapToGrid w:val="0"/>
                    <w:jc w:val="center"/>
                    <w:rPr>
                      <w:rFonts w:ascii="Times New Roman" w:hAnsi="Times New Roman"/>
                      <w:color w:val="auto"/>
                      <w:szCs w:val="21"/>
                    </w:rPr>
                  </w:pPr>
                </w:p>
              </w:tc>
              <w:tc>
                <w:tcPr>
                  <w:tcW w:w="957" w:type="dxa"/>
                  <w:noWrap w:val="0"/>
                  <w:vAlign w:val="center"/>
                </w:tcPr>
                <w:p>
                  <w:pPr>
                    <w:snapToGrid w:val="0"/>
                    <w:jc w:val="center"/>
                    <w:rPr>
                      <w:rFonts w:ascii="Times New Roman" w:hAnsi="Times New Roman"/>
                      <w:bCs/>
                      <w:color w:val="auto"/>
                      <w:szCs w:val="21"/>
                    </w:rPr>
                  </w:pPr>
                  <w:r>
                    <w:rPr>
                      <w:rFonts w:ascii="Times New Roman" w:hAnsi="Times New Roman"/>
                      <w:color w:val="auto"/>
                      <w:szCs w:val="21"/>
                    </w:rPr>
                    <w:t>3</w:t>
                  </w:r>
                </w:p>
              </w:tc>
              <w:tc>
                <w:tcPr>
                  <w:tcW w:w="915" w:type="dxa"/>
                  <w:noWrap w:val="0"/>
                  <w:vAlign w:val="center"/>
                </w:tcPr>
                <w:p>
                  <w:pPr>
                    <w:snapToGrid w:val="0"/>
                    <w:jc w:val="center"/>
                    <w:rPr>
                      <w:rFonts w:hint="default" w:ascii="Times New Roman" w:hAnsi="Times New Roman" w:eastAsia="宋体"/>
                      <w:color w:val="auto"/>
                      <w:kern w:val="0"/>
                      <w:szCs w:val="21"/>
                      <w:lang w:val="en-US" w:eastAsia="zh-CN"/>
                    </w:rPr>
                  </w:pPr>
                  <w:r>
                    <w:rPr>
                      <w:rFonts w:ascii="Times New Roman" w:hAnsi="Times New Roman"/>
                      <w:color w:val="auto"/>
                      <w:kern w:val="0"/>
                      <w:szCs w:val="21"/>
                    </w:rPr>
                    <w:t>0.00</w:t>
                  </w:r>
                  <w:r>
                    <w:rPr>
                      <w:rFonts w:hint="eastAsia"/>
                      <w:color w:val="auto"/>
                      <w:kern w:val="0"/>
                      <w:szCs w:val="21"/>
                      <w:lang w:val="en-US" w:eastAsia="zh-CN"/>
                    </w:rPr>
                    <w:t>05</w:t>
                  </w:r>
                </w:p>
              </w:tc>
              <w:tc>
                <w:tcPr>
                  <w:tcW w:w="816" w:type="dxa"/>
                  <w:noWrap w:val="0"/>
                  <w:vAlign w:val="center"/>
                </w:tcPr>
                <w:p>
                  <w:pPr>
                    <w:snapToGrid w:val="0"/>
                    <w:spacing w:line="320" w:lineRule="exact"/>
                    <w:jc w:val="center"/>
                    <w:rPr>
                      <w:rFonts w:ascii="Times New Roman" w:hAnsi="Times New Roman"/>
                      <w:kern w:val="0"/>
                      <w:szCs w:val="21"/>
                    </w:rPr>
                  </w:pPr>
                  <w:r>
                    <w:rPr>
                      <w:rFonts w:ascii="Times New Roman" w:hAnsi="Times New Roman"/>
                      <w:szCs w:val="22"/>
                    </w:rPr>
                    <w:t>≤</w:t>
                  </w:r>
                  <w:r>
                    <w:rPr>
                      <w:rFonts w:hint="eastAsia"/>
                      <w:szCs w:val="22"/>
                      <w:lang w:val="en-US" w:eastAsia="zh-CN"/>
                    </w:rPr>
                    <w:t>4.5</w:t>
                  </w:r>
                </w:p>
              </w:tc>
              <w:tc>
                <w:tcPr>
                  <w:tcW w:w="697" w:type="dxa"/>
                  <w:vMerge w:val="continue"/>
                  <w:noWrap w:val="0"/>
                  <w:vAlign w:val="top"/>
                </w:tcPr>
                <w:p>
                  <w:pPr>
                    <w:snapToGrid w:val="0"/>
                    <w:jc w:val="center"/>
                    <w:rPr>
                      <w:rFonts w:ascii="Times New Roman" w:hAnsi="Times New Roman"/>
                      <w:kern w:val="0"/>
                      <w:szCs w:val="21"/>
                    </w:rPr>
                  </w:pPr>
                </w:p>
              </w:tc>
            </w:tr>
          </w:tbl>
          <w:p>
            <w:pPr>
              <w:pStyle w:val="25"/>
              <w:jc w:val="center"/>
              <w:rPr>
                <w:rFonts w:ascii="宋体" w:hAnsi="宋体" w:eastAsia="宋体" w:cs="宋体"/>
                <w:sz w:val="24"/>
                <w:szCs w:val="24"/>
              </w:rPr>
            </w:pPr>
          </w:p>
          <w:p>
            <w:pPr>
              <w:pStyle w:val="25"/>
              <w:jc w:val="center"/>
              <w:rPr>
                <w:rFonts w:hint="eastAsia"/>
                <w:b/>
                <w:bCs/>
                <w:color w:val="auto"/>
                <w:sz w:val="24"/>
                <w:lang w:val="en-US" w:eastAsia="zh-CN"/>
              </w:rPr>
            </w:pPr>
            <w:r>
              <w:rPr>
                <w:rFonts w:ascii="宋体" w:hAnsi="宋体" w:eastAsia="宋体" w:cs="宋体"/>
                <w:sz w:val="24"/>
                <w:szCs w:val="24"/>
              </w:rPr>
              <w:drawing>
                <wp:inline distT="0" distB="0" distL="114300" distR="114300">
                  <wp:extent cx="4822190" cy="1510030"/>
                  <wp:effectExtent l="0" t="0" r="16510" b="1397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6"/>
                          <a:stretch>
                            <a:fillRect/>
                          </a:stretch>
                        </pic:blipFill>
                        <pic:spPr>
                          <a:xfrm>
                            <a:off x="0" y="0"/>
                            <a:ext cx="4822190" cy="1510030"/>
                          </a:xfrm>
                          <a:prstGeom prst="rect">
                            <a:avLst/>
                          </a:prstGeom>
                          <a:noFill/>
                          <a:ln>
                            <a:noFill/>
                          </a:ln>
                        </pic:spPr>
                      </pic:pic>
                    </a:graphicData>
                  </a:graphic>
                </wp:inline>
              </w:drawing>
            </w:r>
          </w:p>
          <w:p>
            <w:pPr>
              <w:jc w:val="center"/>
            </w:pPr>
            <w:r>
              <w:rPr>
                <w:rFonts w:hint="eastAsia"/>
                <w:b/>
                <w:sz w:val="24"/>
              </w:rPr>
              <w:t>图</w:t>
            </w:r>
            <w:r>
              <w:rPr>
                <w:rFonts w:hint="eastAsia"/>
                <w:b/>
                <w:sz w:val="24"/>
                <w:lang w:val="en-US" w:eastAsia="zh-CN"/>
              </w:rPr>
              <w:t>4-1</w:t>
            </w:r>
            <w:r>
              <w:rPr>
                <w:rFonts w:hint="eastAsia"/>
                <w:b/>
                <w:sz w:val="24"/>
              </w:rPr>
              <w:t xml:space="preserve">  项目运营期水平衡图（单位t/d）</w:t>
            </w:r>
          </w:p>
          <w:p>
            <w:pPr>
              <w:adjustRightInd w:val="0"/>
              <w:snapToGrid w:val="0"/>
              <w:spacing w:before="120" w:beforeLines="50" w:line="360" w:lineRule="auto"/>
              <w:ind w:firstLine="482" w:firstLineChars="200"/>
              <w:rPr>
                <w:rFonts w:hint="eastAsia"/>
                <w:b/>
                <w:color w:val="auto"/>
                <w:szCs w:val="20"/>
              </w:rPr>
            </w:pPr>
            <w:r>
              <w:rPr>
                <w:rFonts w:hint="eastAsia"/>
                <w:b/>
                <w:bCs/>
                <w:color w:val="auto"/>
                <w:sz w:val="24"/>
                <w:lang w:val="en-US" w:eastAsia="zh-CN"/>
              </w:rPr>
              <w:t>2、</w:t>
            </w:r>
            <w:r>
              <w:rPr>
                <w:rFonts w:hint="eastAsia"/>
                <w:b/>
                <w:color w:val="auto"/>
                <w:kern w:val="0"/>
                <w:sz w:val="24"/>
                <w:szCs w:val="20"/>
              </w:rPr>
              <w:t>项目废水类别、污染物及排放口信息</w:t>
            </w:r>
            <w:r>
              <w:rPr>
                <w:b/>
                <w:color w:val="auto"/>
                <w:kern w:val="0"/>
                <w:sz w:val="24"/>
                <w:szCs w:val="20"/>
              </w:rPr>
              <w:t>：</w:t>
            </w:r>
          </w:p>
          <w:p>
            <w:pPr>
              <w:widowControl/>
              <w:adjustRightInd w:val="0"/>
              <w:snapToGrid w:val="0"/>
              <w:spacing w:line="360" w:lineRule="auto"/>
              <w:jc w:val="center"/>
              <w:rPr>
                <w:b/>
                <w:color w:val="auto"/>
                <w:sz w:val="24"/>
              </w:rPr>
            </w:pPr>
            <w:r>
              <w:rPr>
                <w:rFonts w:hint="eastAsia"/>
                <w:b/>
                <w:color w:val="auto"/>
                <w:sz w:val="24"/>
              </w:rPr>
              <w:t>表4-</w:t>
            </w:r>
            <w:r>
              <w:rPr>
                <w:rFonts w:hint="eastAsia"/>
                <w:b/>
                <w:color w:val="auto"/>
                <w:sz w:val="24"/>
                <w:lang w:val="en-US" w:eastAsia="zh-CN"/>
              </w:rPr>
              <w:t>7</w:t>
            </w:r>
            <w:r>
              <w:rPr>
                <w:b/>
                <w:color w:val="auto"/>
                <w:sz w:val="24"/>
              </w:rPr>
              <w:t xml:space="preserve"> </w:t>
            </w:r>
            <w:r>
              <w:rPr>
                <w:rFonts w:hint="eastAsia"/>
                <w:b/>
                <w:color w:val="auto"/>
                <w:sz w:val="24"/>
              </w:rPr>
              <w:t>项目废水类别、污染物及排放口信息表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096"/>
              <w:gridCol w:w="906"/>
              <w:gridCol w:w="1311"/>
              <w:gridCol w:w="1180"/>
              <w:gridCol w:w="970"/>
              <w:gridCol w:w="889"/>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27" w:type="pct"/>
                  <w:vMerge w:val="restart"/>
                  <w:noWrap w:val="0"/>
                  <w:vAlign w:val="center"/>
                </w:tcPr>
                <w:p>
                  <w:pPr>
                    <w:snapToGrid w:val="0"/>
                    <w:jc w:val="center"/>
                    <w:rPr>
                      <w:b/>
                      <w:color w:val="auto"/>
                    </w:rPr>
                  </w:pPr>
                  <w:r>
                    <w:rPr>
                      <w:rFonts w:hint="eastAsia"/>
                      <w:b/>
                      <w:color w:val="auto"/>
                    </w:rPr>
                    <w:t>废水</w:t>
                  </w:r>
                </w:p>
                <w:p>
                  <w:pPr>
                    <w:snapToGrid w:val="0"/>
                    <w:jc w:val="center"/>
                    <w:rPr>
                      <w:b/>
                      <w:color w:val="auto"/>
                    </w:rPr>
                  </w:pPr>
                  <w:r>
                    <w:rPr>
                      <w:rFonts w:hint="eastAsia"/>
                      <w:b/>
                      <w:color w:val="auto"/>
                    </w:rPr>
                    <w:t>类别</w:t>
                  </w:r>
                </w:p>
              </w:tc>
              <w:tc>
                <w:tcPr>
                  <w:tcW w:w="690" w:type="pct"/>
                  <w:vMerge w:val="restart"/>
                  <w:noWrap w:val="0"/>
                  <w:vAlign w:val="center"/>
                </w:tcPr>
                <w:p>
                  <w:pPr>
                    <w:jc w:val="center"/>
                    <w:rPr>
                      <w:b/>
                      <w:color w:val="auto"/>
                    </w:rPr>
                  </w:pPr>
                  <w:r>
                    <w:rPr>
                      <w:rFonts w:hint="eastAsia"/>
                      <w:b/>
                      <w:color w:val="auto"/>
                    </w:rPr>
                    <w:t>污染物种类</w:t>
                  </w:r>
                </w:p>
              </w:tc>
              <w:tc>
                <w:tcPr>
                  <w:tcW w:w="570" w:type="pct"/>
                  <w:vMerge w:val="restart"/>
                  <w:noWrap w:val="0"/>
                  <w:vAlign w:val="center"/>
                </w:tcPr>
                <w:p>
                  <w:pPr>
                    <w:jc w:val="center"/>
                    <w:rPr>
                      <w:b/>
                      <w:color w:val="auto"/>
                    </w:rPr>
                  </w:pPr>
                  <w:r>
                    <w:rPr>
                      <w:rFonts w:hint="eastAsia"/>
                      <w:b/>
                      <w:color w:val="auto"/>
                    </w:rPr>
                    <w:t>排放</w:t>
                  </w:r>
                </w:p>
                <w:p>
                  <w:pPr>
                    <w:jc w:val="center"/>
                    <w:rPr>
                      <w:b/>
                      <w:color w:val="auto"/>
                    </w:rPr>
                  </w:pPr>
                  <w:r>
                    <w:rPr>
                      <w:rFonts w:hint="eastAsia"/>
                      <w:b/>
                      <w:color w:val="auto"/>
                    </w:rPr>
                    <w:t>去向</w:t>
                  </w:r>
                </w:p>
              </w:tc>
              <w:tc>
                <w:tcPr>
                  <w:tcW w:w="825" w:type="pct"/>
                  <w:vMerge w:val="restart"/>
                  <w:noWrap w:val="0"/>
                  <w:vAlign w:val="center"/>
                </w:tcPr>
                <w:p>
                  <w:pPr>
                    <w:snapToGrid w:val="0"/>
                    <w:jc w:val="center"/>
                    <w:rPr>
                      <w:rFonts w:hint="eastAsia"/>
                      <w:b/>
                      <w:color w:val="auto"/>
                    </w:rPr>
                  </w:pPr>
                  <w:r>
                    <w:rPr>
                      <w:rFonts w:hint="eastAsia"/>
                      <w:b/>
                      <w:color w:val="auto"/>
                    </w:rPr>
                    <w:t>排放</w:t>
                  </w:r>
                </w:p>
                <w:p>
                  <w:pPr>
                    <w:snapToGrid w:val="0"/>
                    <w:jc w:val="center"/>
                    <w:rPr>
                      <w:rFonts w:hint="eastAsia"/>
                      <w:b/>
                      <w:color w:val="auto"/>
                    </w:rPr>
                  </w:pPr>
                  <w:r>
                    <w:rPr>
                      <w:rFonts w:hint="eastAsia"/>
                      <w:b/>
                      <w:color w:val="auto"/>
                    </w:rPr>
                    <w:t>规律</w:t>
                  </w:r>
                </w:p>
              </w:tc>
              <w:tc>
                <w:tcPr>
                  <w:tcW w:w="743" w:type="pct"/>
                  <w:vMerge w:val="restart"/>
                  <w:noWrap w:val="0"/>
                  <w:vAlign w:val="center"/>
                </w:tcPr>
                <w:p>
                  <w:pPr>
                    <w:snapToGrid w:val="0"/>
                    <w:jc w:val="center"/>
                    <w:rPr>
                      <w:rFonts w:hint="eastAsia"/>
                      <w:b/>
                      <w:color w:val="auto"/>
                    </w:rPr>
                  </w:pPr>
                  <w:r>
                    <w:rPr>
                      <w:rFonts w:hint="eastAsia"/>
                      <w:b/>
                      <w:color w:val="auto"/>
                    </w:rPr>
                    <w:t>排放口</w:t>
                  </w:r>
                </w:p>
                <w:p>
                  <w:pPr>
                    <w:snapToGrid w:val="0"/>
                    <w:jc w:val="center"/>
                    <w:rPr>
                      <w:rFonts w:hint="eastAsia"/>
                      <w:b/>
                      <w:color w:val="auto"/>
                    </w:rPr>
                  </w:pPr>
                  <w:r>
                    <w:rPr>
                      <w:rFonts w:hint="eastAsia"/>
                      <w:b/>
                      <w:color w:val="auto"/>
                    </w:rPr>
                    <w:t>编号</w:t>
                  </w:r>
                </w:p>
              </w:tc>
              <w:tc>
                <w:tcPr>
                  <w:tcW w:w="611" w:type="pct"/>
                  <w:vMerge w:val="restart"/>
                  <w:noWrap w:val="0"/>
                  <w:vAlign w:val="center"/>
                </w:tcPr>
                <w:p>
                  <w:pPr>
                    <w:snapToGrid w:val="0"/>
                    <w:jc w:val="center"/>
                    <w:rPr>
                      <w:rFonts w:hint="eastAsia"/>
                      <w:b/>
                      <w:color w:val="auto"/>
                    </w:rPr>
                  </w:pPr>
                  <w:r>
                    <w:rPr>
                      <w:rFonts w:hint="eastAsia"/>
                      <w:b/>
                      <w:color w:val="auto"/>
                    </w:rPr>
                    <w:t>排放口</w:t>
                  </w:r>
                </w:p>
                <w:p>
                  <w:pPr>
                    <w:snapToGrid w:val="0"/>
                    <w:jc w:val="center"/>
                    <w:rPr>
                      <w:rFonts w:hint="eastAsia"/>
                      <w:b/>
                      <w:color w:val="auto"/>
                    </w:rPr>
                  </w:pPr>
                  <w:r>
                    <w:rPr>
                      <w:rFonts w:hint="eastAsia"/>
                      <w:b/>
                      <w:color w:val="auto"/>
                    </w:rPr>
                    <w:t>类型、名称</w:t>
                  </w:r>
                </w:p>
              </w:tc>
              <w:tc>
                <w:tcPr>
                  <w:tcW w:w="1131" w:type="pct"/>
                  <w:gridSpan w:val="2"/>
                  <w:noWrap w:val="0"/>
                  <w:vAlign w:val="center"/>
                </w:tcPr>
                <w:p>
                  <w:pPr>
                    <w:snapToGrid w:val="0"/>
                    <w:jc w:val="center"/>
                    <w:rPr>
                      <w:rFonts w:hint="eastAsia"/>
                      <w:b/>
                      <w:color w:val="auto"/>
                    </w:rPr>
                  </w:pPr>
                  <w:r>
                    <w:rPr>
                      <w:rFonts w:hint="eastAsia"/>
                      <w:b/>
                      <w:color w:val="auto"/>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pct"/>
                  <w:vMerge w:val="continue"/>
                  <w:noWrap w:val="0"/>
                  <w:vAlign w:val="center"/>
                </w:tcPr>
                <w:p>
                  <w:pPr>
                    <w:snapToGrid w:val="0"/>
                    <w:jc w:val="center"/>
                    <w:rPr>
                      <w:color w:val="auto"/>
                    </w:rPr>
                  </w:pPr>
                </w:p>
              </w:tc>
              <w:tc>
                <w:tcPr>
                  <w:tcW w:w="690" w:type="pct"/>
                  <w:vMerge w:val="continue"/>
                  <w:noWrap w:val="0"/>
                  <w:vAlign w:val="center"/>
                </w:tcPr>
                <w:p>
                  <w:pPr>
                    <w:jc w:val="center"/>
                    <w:rPr>
                      <w:color w:val="auto"/>
                    </w:rPr>
                  </w:pPr>
                </w:p>
              </w:tc>
              <w:tc>
                <w:tcPr>
                  <w:tcW w:w="570" w:type="pct"/>
                  <w:vMerge w:val="continue"/>
                  <w:noWrap w:val="0"/>
                  <w:vAlign w:val="center"/>
                </w:tcPr>
                <w:p>
                  <w:pPr>
                    <w:jc w:val="center"/>
                    <w:rPr>
                      <w:color w:val="auto"/>
                    </w:rPr>
                  </w:pPr>
                </w:p>
              </w:tc>
              <w:tc>
                <w:tcPr>
                  <w:tcW w:w="825" w:type="pct"/>
                  <w:vMerge w:val="continue"/>
                  <w:noWrap w:val="0"/>
                  <w:vAlign w:val="center"/>
                </w:tcPr>
                <w:p>
                  <w:pPr>
                    <w:snapToGrid w:val="0"/>
                    <w:jc w:val="center"/>
                    <w:rPr>
                      <w:rFonts w:hint="eastAsia"/>
                      <w:b/>
                      <w:color w:val="auto"/>
                    </w:rPr>
                  </w:pPr>
                </w:p>
              </w:tc>
              <w:tc>
                <w:tcPr>
                  <w:tcW w:w="743" w:type="pct"/>
                  <w:vMerge w:val="continue"/>
                  <w:noWrap w:val="0"/>
                  <w:vAlign w:val="center"/>
                </w:tcPr>
                <w:p>
                  <w:pPr>
                    <w:snapToGrid w:val="0"/>
                    <w:jc w:val="center"/>
                    <w:rPr>
                      <w:rFonts w:hint="eastAsia"/>
                      <w:b/>
                      <w:color w:val="auto"/>
                    </w:rPr>
                  </w:pPr>
                </w:p>
              </w:tc>
              <w:tc>
                <w:tcPr>
                  <w:tcW w:w="611" w:type="pct"/>
                  <w:vMerge w:val="continue"/>
                  <w:noWrap w:val="0"/>
                  <w:vAlign w:val="center"/>
                </w:tcPr>
                <w:p>
                  <w:pPr>
                    <w:snapToGrid w:val="0"/>
                    <w:jc w:val="center"/>
                    <w:rPr>
                      <w:rFonts w:hint="eastAsia"/>
                      <w:b/>
                      <w:color w:val="auto"/>
                    </w:rPr>
                  </w:pPr>
                </w:p>
              </w:tc>
              <w:tc>
                <w:tcPr>
                  <w:tcW w:w="560" w:type="pct"/>
                  <w:noWrap w:val="0"/>
                  <w:vAlign w:val="center"/>
                </w:tcPr>
                <w:p>
                  <w:pPr>
                    <w:snapToGrid w:val="0"/>
                    <w:jc w:val="center"/>
                    <w:rPr>
                      <w:rFonts w:hint="eastAsia"/>
                      <w:b/>
                      <w:color w:val="auto"/>
                    </w:rPr>
                  </w:pPr>
                  <w:r>
                    <w:rPr>
                      <w:rFonts w:hint="eastAsia"/>
                      <w:b/>
                      <w:color w:val="auto"/>
                    </w:rPr>
                    <w:t>经度</w:t>
                  </w:r>
                </w:p>
              </w:tc>
              <w:tc>
                <w:tcPr>
                  <w:tcW w:w="570" w:type="pct"/>
                  <w:noWrap w:val="0"/>
                  <w:vAlign w:val="center"/>
                </w:tcPr>
                <w:p>
                  <w:pPr>
                    <w:snapToGrid w:val="0"/>
                    <w:jc w:val="center"/>
                    <w:rPr>
                      <w:rFonts w:hint="eastAsia"/>
                      <w:b/>
                      <w:color w:val="auto"/>
                    </w:rPr>
                  </w:pPr>
                  <w:r>
                    <w:rPr>
                      <w:rFonts w:hint="eastAsia"/>
                      <w:b/>
                      <w:color w:val="auto"/>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noWrap w:val="0"/>
                  <w:vAlign w:val="center"/>
                </w:tcPr>
                <w:p>
                  <w:pPr>
                    <w:snapToGrid w:val="0"/>
                    <w:jc w:val="center"/>
                    <w:rPr>
                      <w:color w:val="auto"/>
                    </w:rPr>
                  </w:pPr>
                  <w:r>
                    <w:rPr>
                      <w:rFonts w:hint="eastAsia"/>
                      <w:color w:val="auto"/>
                    </w:rPr>
                    <w:t>生活污水</w:t>
                  </w:r>
                </w:p>
              </w:tc>
              <w:tc>
                <w:tcPr>
                  <w:tcW w:w="690" w:type="pct"/>
                  <w:noWrap w:val="0"/>
                  <w:vAlign w:val="center"/>
                </w:tcPr>
                <w:p>
                  <w:pPr>
                    <w:snapToGrid w:val="0"/>
                    <w:jc w:val="center"/>
                    <w:rPr>
                      <w:rFonts w:hint="eastAsia"/>
                      <w:color w:val="auto"/>
                    </w:rPr>
                  </w:pPr>
                  <w:r>
                    <w:rPr>
                      <w:rFonts w:hint="eastAsia"/>
                      <w:color w:val="auto"/>
                    </w:rPr>
                    <w:t>COD、氨氮、T</w:t>
                  </w:r>
                  <w:r>
                    <w:rPr>
                      <w:color w:val="auto"/>
                    </w:rPr>
                    <w:t>P</w:t>
                  </w:r>
                  <w:r>
                    <w:rPr>
                      <w:rFonts w:hint="eastAsia"/>
                      <w:color w:val="auto"/>
                    </w:rPr>
                    <w:t>、SS、B</w:t>
                  </w:r>
                  <w:r>
                    <w:rPr>
                      <w:color w:val="auto"/>
                    </w:rPr>
                    <w:t>OD</w:t>
                  </w:r>
                  <w:r>
                    <w:rPr>
                      <w:color w:val="auto"/>
                      <w:vertAlign w:val="subscript"/>
                    </w:rPr>
                    <w:t>5</w:t>
                  </w:r>
                </w:p>
              </w:tc>
              <w:tc>
                <w:tcPr>
                  <w:tcW w:w="570" w:type="pct"/>
                  <w:noWrap w:val="0"/>
                  <w:vAlign w:val="center"/>
                </w:tcPr>
                <w:p>
                  <w:pPr>
                    <w:widowControl/>
                    <w:adjustRightInd w:val="0"/>
                    <w:snapToGrid w:val="0"/>
                    <w:jc w:val="center"/>
                    <w:rPr>
                      <w:color w:val="auto"/>
                    </w:rPr>
                  </w:pPr>
                  <w:r>
                    <w:rPr>
                      <w:rFonts w:hint="eastAsia"/>
                      <w:color w:val="auto"/>
                      <w:szCs w:val="21"/>
                      <w:lang w:eastAsia="zh-CN"/>
                    </w:rPr>
                    <w:t>舒城经济开发</w:t>
                  </w:r>
                  <w:r>
                    <w:rPr>
                      <w:color w:val="auto"/>
                      <w:szCs w:val="21"/>
                    </w:rPr>
                    <w:t>污水处理厂</w:t>
                  </w:r>
                </w:p>
              </w:tc>
              <w:tc>
                <w:tcPr>
                  <w:tcW w:w="825" w:type="pct"/>
                  <w:noWrap w:val="0"/>
                  <w:vAlign w:val="center"/>
                </w:tcPr>
                <w:p>
                  <w:pPr>
                    <w:snapToGrid w:val="0"/>
                    <w:jc w:val="center"/>
                    <w:rPr>
                      <w:color w:val="auto"/>
                    </w:rPr>
                  </w:pPr>
                  <w:r>
                    <w:rPr>
                      <w:rFonts w:hint="eastAsia"/>
                      <w:color w:val="auto"/>
                    </w:rPr>
                    <w:t>间断排放，排放期间流量稳定</w:t>
                  </w:r>
                </w:p>
              </w:tc>
              <w:tc>
                <w:tcPr>
                  <w:tcW w:w="743" w:type="pct"/>
                  <w:noWrap w:val="0"/>
                  <w:vAlign w:val="center"/>
                </w:tcPr>
                <w:p>
                  <w:pPr>
                    <w:snapToGrid w:val="0"/>
                    <w:jc w:val="center"/>
                    <w:rPr>
                      <w:color w:val="auto"/>
                    </w:rPr>
                  </w:pPr>
                  <w:r>
                    <w:rPr>
                      <w:color w:val="auto"/>
                    </w:rPr>
                    <w:t>DW001</w:t>
                  </w:r>
                </w:p>
              </w:tc>
              <w:tc>
                <w:tcPr>
                  <w:tcW w:w="611" w:type="pct"/>
                  <w:noWrap w:val="0"/>
                  <w:vAlign w:val="center"/>
                </w:tcPr>
                <w:p>
                  <w:pPr>
                    <w:snapToGrid w:val="0"/>
                    <w:jc w:val="center"/>
                    <w:rPr>
                      <w:color w:val="auto"/>
                    </w:rPr>
                  </w:pPr>
                  <w:r>
                    <w:rPr>
                      <w:rFonts w:hint="eastAsia"/>
                      <w:color w:val="auto"/>
                    </w:rPr>
                    <w:t>生活</w:t>
                  </w:r>
                  <w:r>
                    <w:rPr>
                      <w:rFonts w:hint="eastAsia"/>
                      <w:color w:val="auto"/>
                      <w:lang w:eastAsia="zh-CN"/>
                    </w:rPr>
                    <w:t>污</w:t>
                  </w:r>
                  <w:r>
                    <w:rPr>
                      <w:rFonts w:hint="eastAsia"/>
                      <w:color w:val="auto"/>
                    </w:rPr>
                    <w:t>排放口</w:t>
                  </w:r>
                </w:p>
              </w:tc>
              <w:tc>
                <w:tcPr>
                  <w:tcW w:w="560" w:type="pct"/>
                  <w:noWrap w:val="0"/>
                  <w:vAlign w:val="center"/>
                </w:tcPr>
                <w:p>
                  <w:pPr>
                    <w:snapToGrid w:val="0"/>
                    <w:jc w:val="center"/>
                    <w:rPr>
                      <w:rFonts w:hint="default" w:eastAsia="宋体"/>
                      <w:color w:val="auto"/>
                      <w:lang w:val="en-US" w:eastAsia="zh-CN"/>
                    </w:rPr>
                  </w:pPr>
                  <w:r>
                    <w:rPr>
                      <w:rFonts w:hint="eastAsia"/>
                      <w:color w:val="auto"/>
                    </w:rPr>
                    <w:t>11</w:t>
                  </w:r>
                  <w:r>
                    <w:rPr>
                      <w:rFonts w:hint="eastAsia"/>
                      <w:color w:val="auto"/>
                      <w:lang w:val="en-US" w:eastAsia="zh-CN"/>
                    </w:rPr>
                    <w:t>6</w:t>
                  </w:r>
                  <w:r>
                    <w:rPr>
                      <w:rFonts w:hint="eastAsia"/>
                      <w:color w:val="auto"/>
                    </w:rPr>
                    <w:t>.</w:t>
                  </w:r>
                  <w:r>
                    <w:rPr>
                      <w:rFonts w:hint="eastAsia"/>
                      <w:color w:val="auto"/>
                      <w:lang w:val="en-US" w:eastAsia="zh-CN"/>
                    </w:rPr>
                    <w:t>952200</w:t>
                  </w:r>
                </w:p>
              </w:tc>
              <w:tc>
                <w:tcPr>
                  <w:tcW w:w="570" w:type="pct"/>
                  <w:noWrap w:val="0"/>
                  <w:vAlign w:val="center"/>
                </w:tcPr>
                <w:p>
                  <w:pPr>
                    <w:snapToGrid w:val="0"/>
                    <w:jc w:val="center"/>
                    <w:rPr>
                      <w:rFonts w:hint="default" w:eastAsia="宋体"/>
                      <w:color w:val="auto"/>
                      <w:lang w:val="en-US" w:eastAsia="zh-CN"/>
                    </w:rPr>
                  </w:pPr>
                  <w:r>
                    <w:rPr>
                      <w:rFonts w:hint="eastAsia"/>
                      <w:color w:val="auto"/>
                    </w:rPr>
                    <w:t>31.</w:t>
                  </w:r>
                  <w:r>
                    <w:rPr>
                      <w:rFonts w:hint="eastAsia"/>
                      <w:color w:val="auto"/>
                      <w:lang w:val="en-US" w:eastAsia="zh-CN"/>
                    </w:rPr>
                    <w:t>491202</w:t>
                  </w:r>
                </w:p>
              </w:tc>
            </w:tr>
          </w:tbl>
          <w:p>
            <w:pPr>
              <w:pStyle w:val="25"/>
              <w:snapToGrid w:val="0"/>
              <w:spacing w:before="120" w:beforeLines="50" w:line="360" w:lineRule="auto"/>
              <w:ind w:firstLine="482" w:firstLineChars="200"/>
              <w:jc w:val="center"/>
              <w:rPr>
                <w:b/>
                <w:color w:val="auto"/>
                <w:szCs w:val="20"/>
              </w:rPr>
            </w:pPr>
            <w:r>
              <w:rPr>
                <w:rFonts w:hint="eastAsia"/>
                <w:b/>
                <w:color w:val="auto"/>
                <w:szCs w:val="20"/>
              </w:rPr>
              <w:t>表4</w:t>
            </w:r>
            <w:r>
              <w:rPr>
                <w:rFonts w:hint="eastAsia"/>
                <w:b/>
                <w:color w:val="auto"/>
                <w:szCs w:val="20"/>
                <w:lang w:val="en-US" w:eastAsia="zh-CN"/>
              </w:rPr>
              <w:t>-8</w:t>
            </w:r>
            <w:r>
              <w:rPr>
                <w:b/>
                <w:color w:val="auto"/>
                <w:szCs w:val="20"/>
              </w:rPr>
              <w:t xml:space="preserve"> </w:t>
            </w:r>
            <w:r>
              <w:rPr>
                <w:rFonts w:hint="eastAsia"/>
                <w:b/>
                <w:color w:val="auto"/>
                <w:szCs w:val="20"/>
              </w:rPr>
              <w:t>项目废水间接排放口基本情况表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890"/>
              <w:gridCol w:w="659"/>
              <w:gridCol w:w="850"/>
              <w:gridCol w:w="709"/>
              <w:gridCol w:w="657"/>
              <w:gridCol w:w="1044"/>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Merge w:val="restart"/>
                  <w:noWrap w:val="0"/>
                  <w:vAlign w:val="center"/>
                </w:tcPr>
                <w:p>
                  <w:pPr>
                    <w:snapToGrid w:val="0"/>
                    <w:jc w:val="center"/>
                    <w:rPr>
                      <w:rFonts w:ascii="Times" w:hAnsi="Times"/>
                      <w:b/>
                      <w:color w:val="auto"/>
                    </w:rPr>
                  </w:pPr>
                  <w:r>
                    <w:rPr>
                      <w:rFonts w:hint="eastAsia" w:ascii="Times" w:hAnsi="Times"/>
                      <w:b/>
                      <w:color w:val="auto"/>
                    </w:rPr>
                    <w:t>排放口编号</w:t>
                  </w:r>
                </w:p>
              </w:tc>
              <w:tc>
                <w:tcPr>
                  <w:tcW w:w="890" w:type="dxa"/>
                  <w:vMerge w:val="restart"/>
                  <w:noWrap w:val="0"/>
                  <w:vAlign w:val="center"/>
                </w:tcPr>
                <w:p>
                  <w:pPr>
                    <w:snapToGrid w:val="0"/>
                    <w:jc w:val="center"/>
                    <w:rPr>
                      <w:rFonts w:ascii="Times" w:hAnsi="Times"/>
                      <w:b/>
                      <w:color w:val="auto"/>
                    </w:rPr>
                  </w:pPr>
                  <w:r>
                    <w:rPr>
                      <w:rFonts w:hint="eastAsia" w:ascii="Times" w:hAnsi="Times"/>
                      <w:b/>
                      <w:color w:val="auto"/>
                    </w:rPr>
                    <w:t>废水排放量（t/a）</w:t>
                  </w:r>
                </w:p>
              </w:tc>
              <w:tc>
                <w:tcPr>
                  <w:tcW w:w="659" w:type="dxa"/>
                  <w:vMerge w:val="restart"/>
                  <w:noWrap w:val="0"/>
                  <w:vAlign w:val="center"/>
                </w:tcPr>
                <w:p>
                  <w:pPr>
                    <w:snapToGrid w:val="0"/>
                    <w:jc w:val="center"/>
                    <w:rPr>
                      <w:rFonts w:ascii="Times" w:hAnsi="Times"/>
                      <w:b/>
                      <w:color w:val="auto"/>
                    </w:rPr>
                  </w:pPr>
                  <w:r>
                    <w:rPr>
                      <w:rFonts w:hint="eastAsia" w:ascii="Times" w:hAnsi="Times"/>
                      <w:b/>
                      <w:color w:val="auto"/>
                    </w:rPr>
                    <w:t>排放去向</w:t>
                  </w:r>
                </w:p>
              </w:tc>
              <w:tc>
                <w:tcPr>
                  <w:tcW w:w="850" w:type="dxa"/>
                  <w:vMerge w:val="restart"/>
                  <w:noWrap w:val="0"/>
                  <w:vAlign w:val="center"/>
                </w:tcPr>
                <w:p>
                  <w:pPr>
                    <w:snapToGrid w:val="0"/>
                    <w:jc w:val="center"/>
                    <w:rPr>
                      <w:rFonts w:ascii="Times" w:hAnsi="Times"/>
                      <w:b/>
                      <w:color w:val="auto"/>
                    </w:rPr>
                  </w:pPr>
                  <w:r>
                    <w:rPr>
                      <w:rFonts w:hint="eastAsia" w:ascii="Times" w:hAnsi="Times"/>
                      <w:b/>
                      <w:color w:val="auto"/>
                    </w:rPr>
                    <w:t>排放规律</w:t>
                  </w:r>
                </w:p>
              </w:tc>
              <w:tc>
                <w:tcPr>
                  <w:tcW w:w="709" w:type="dxa"/>
                  <w:vMerge w:val="restart"/>
                  <w:noWrap w:val="0"/>
                  <w:vAlign w:val="center"/>
                </w:tcPr>
                <w:p>
                  <w:pPr>
                    <w:snapToGrid w:val="0"/>
                    <w:jc w:val="center"/>
                    <w:rPr>
                      <w:rFonts w:ascii="Times" w:hAnsi="Times"/>
                      <w:b/>
                      <w:color w:val="auto"/>
                    </w:rPr>
                  </w:pPr>
                  <w:r>
                    <w:rPr>
                      <w:rFonts w:hint="eastAsia" w:ascii="Times" w:hAnsi="Times"/>
                      <w:b/>
                      <w:color w:val="auto"/>
                    </w:rPr>
                    <w:t>间歇排放时段</w:t>
                  </w:r>
                </w:p>
              </w:tc>
              <w:tc>
                <w:tcPr>
                  <w:tcW w:w="3906" w:type="dxa"/>
                  <w:gridSpan w:val="3"/>
                  <w:noWrap w:val="0"/>
                  <w:vAlign w:val="center"/>
                </w:tcPr>
                <w:p>
                  <w:pPr>
                    <w:snapToGrid w:val="0"/>
                    <w:jc w:val="center"/>
                    <w:rPr>
                      <w:rFonts w:ascii="Times" w:hAnsi="Times"/>
                      <w:b/>
                      <w:color w:val="auto"/>
                    </w:rPr>
                  </w:pPr>
                  <w:r>
                    <w:rPr>
                      <w:rFonts w:hint="eastAsia" w:ascii="Times" w:hAnsi="Times"/>
                      <w:b/>
                      <w:color w:val="auto"/>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Merge w:val="continue"/>
                  <w:noWrap w:val="0"/>
                  <w:vAlign w:val="center"/>
                </w:tcPr>
                <w:p>
                  <w:pPr>
                    <w:snapToGrid w:val="0"/>
                    <w:jc w:val="center"/>
                    <w:rPr>
                      <w:rFonts w:ascii="Times" w:hAnsi="Times"/>
                      <w:b/>
                      <w:color w:val="auto"/>
                    </w:rPr>
                  </w:pPr>
                </w:p>
              </w:tc>
              <w:tc>
                <w:tcPr>
                  <w:tcW w:w="890" w:type="dxa"/>
                  <w:vMerge w:val="continue"/>
                  <w:noWrap w:val="0"/>
                  <w:vAlign w:val="center"/>
                </w:tcPr>
                <w:p>
                  <w:pPr>
                    <w:snapToGrid w:val="0"/>
                    <w:jc w:val="center"/>
                    <w:rPr>
                      <w:rFonts w:ascii="Times" w:hAnsi="Times"/>
                      <w:b/>
                      <w:color w:val="auto"/>
                    </w:rPr>
                  </w:pPr>
                </w:p>
              </w:tc>
              <w:tc>
                <w:tcPr>
                  <w:tcW w:w="659" w:type="dxa"/>
                  <w:vMerge w:val="continue"/>
                  <w:noWrap w:val="0"/>
                  <w:vAlign w:val="center"/>
                </w:tcPr>
                <w:p>
                  <w:pPr>
                    <w:snapToGrid w:val="0"/>
                    <w:jc w:val="center"/>
                    <w:rPr>
                      <w:rFonts w:ascii="Times" w:hAnsi="Times"/>
                      <w:b/>
                      <w:color w:val="auto"/>
                    </w:rPr>
                  </w:pPr>
                </w:p>
              </w:tc>
              <w:tc>
                <w:tcPr>
                  <w:tcW w:w="850" w:type="dxa"/>
                  <w:vMerge w:val="continue"/>
                  <w:noWrap w:val="0"/>
                  <w:vAlign w:val="center"/>
                </w:tcPr>
                <w:p>
                  <w:pPr>
                    <w:snapToGrid w:val="0"/>
                    <w:jc w:val="center"/>
                    <w:rPr>
                      <w:rFonts w:ascii="Times" w:hAnsi="Times"/>
                      <w:b/>
                      <w:color w:val="auto"/>
                    </w:rPr>
                  </w:pPr>
                </w:p>
              </w:tc>
              <w:tc>
                <w:tcPr>
                  <w:tcW w:w="709" w:type="dxa"/>
                  <w:vMerge w:val="continue"/>
                  <w:noWrap w:val="0"/>
                  <w:vAlign w:val="center"/>
                </w:tcPr>
                <w:p>
                  <w:pPr>
                    <w:snapToGrid w:val="0"/>
                    <w:jc w:val="center"/>
                    <w:rPr>
                      <w:rFonts w:ascii="Times" w:hAnsi="Times"/>
                      <w:b/>
                      <w:color w:val="auto"/>
                    </w:rPr>
                  </w:pPr>
                </w:p>
              </w:tc>
              <w:tc>
                <w:tcPr>
                  <w:tcW w:w="657" w:type="dxa"/>
                  <w:noWrap w:val="0"/>
                  <w:vAlign w:val="center"/>
                </w:tcPr>
                <w:p>
                  <w:pPr>
                    <w:snapToGrid w:val="0"/>
                    <w:jc w:val="center"/>
                    <w:rPr>
                      <w:rFonts w:ascii="Times" w:hAnsi="Times"/>
                      <w:b/>
                      <w:color w:val="auto"/>
                    </w:rPr>
                  </w:pPr>
                  <w:r>
                    <w:rPr>
                      <w:rFonts w:hint="eastAsia" w:ascii="Times" w:hAnsi="Times"/>
                      <w:b/>
                      <w:color w:val="auto"/>
                    </w:rPr>
                    <w:t>名称</w:t>
                  </w:r>
                </w:p>
              </w:tc>
              <w:tc>
                <w:tcPr>
                  <w:tcW w:w="1044" w:type="dxa"/>
                  <w:noWrap w:val="0"/>
                  <w:vAlign w:val="center"/>
                </w:tcPr>
                <w:p>
                  <w:pPr>
                    <w:snapToGrid w:val="0"/>
                    <w:jc w:val="center"/>
                    <w:rPr>
                      <w:rFonts w:ascii="Times" w:hAnsi="Times"/>
                      <w:b/>
                      <w:color w:val="auto"/>
                    </w:rPr>
                  </w:pPr>
                  <w:r>
                    <w:rPr>
                      <w:rFonts w:hint="eastAsia" w:ascii="Times" w:hAnsi="Times"/>
                      <w:b/>
                      <w:color w:val="auto"/>
                    </w:rPr>
                    <w:t>污染物种类</w:t>
                  </w:r>
                </w:p>
              </w:tc>
              <w:tc>
                <w:tcPr>
                  <w:tcW w:w="2205" w:type="dxa"/>
                  <w:noWrap w:val="0"/>
                  <w:vAlign w:val="center"/>
                </w:tcPr>
                <w:p>
                  <w:pPr>
                    <w:snapToGrid w:val="0"/>
                    <w:jc w:val="center"/>
                    <w:rPr>
                      <w:rFonts w:ascii="Times" w:hAnsi="Times"/>
                      <w:b/>
                      <w:color w:val="auto"/>
                    </w:rPr>
                  </w:pPr>
                  <w:r>
                    <w:rPr>
                      <w:rFonts w:hint="eastAsia" w:ascii="Times" w:hAnsi="Times"/>
                      <w:b/>
                      <w:color w:val="auto"/>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noWrap w:val="0"/>
                  <w:vAlign w:val="center"/>
                </w:tcPr>
                <w:p>
                  <w:pPr>
                    <w:snapToGrid w:val="0"/>
                    <w:jc w:val="center"/>
                    <w:rPr>
                      <w:rFonts w:ascii="Times" w:hAnsi="Times"/>
                      <w:color w:val="auto"/>
                    </w:rPr>
                  </w:pPr>
                  <w:r>
                    <w:rPr>
                      <w:rFonts w:ascii="Times" w:hAnsi="Times"/>
                      <w:color w:val="auto"/>
                    </w:rPr>
                    <w:t>DW00</w:t>
                  </w:r>
                  <w:r>
                    <w:rPr>
                      <w:rFonts w:hint="eastAsia" w:ascii="Times" w:hAnsi="Times"/>
                      <w:color w:val="auto"/>
                    </w:rPr>
                    <w:t>1</w:t>
                  </w:r>
                </w:p>
              </w:tc>
              <w:tc>
                <w:tcPr>
                  <w:tcW w:w="890" w:type="dxa"/>
                  <w:noWrap w:val="0"/>
                  <w:vAlign w:val="center"/>
                </w:tcPr>
                <w:p>
                  <w:pPr>
                    <w:snapToGrid w:val="0"/>
                    <w:jc w:val="center"/>
                    <w:rPr>
                      <w:rFonts w:hint="default" w:ascii="Times" w:hAnsi="Times" w:eastAsia="宋体"/>
                      <w:color w:val="auto"/>
                      <w:lang w:val="en-US" w:eastAsia="zh-CN"/>
                    </w:rPr>
                  </w:pPr>
                  <w:r>
                    <w:rPr>
                      <w:rFonts w:hint="eastAsia" w:ascii="Times" w:hAnsi="Times"/>
                      <w:color w:val="auto"/>
                      <w:lang w:val="en-US" w:eastAsia="zh-CN"/>
                    </w:rPr>
                    <w:t>180</w:t>
                  </w:r>
                </w:p>
              </w:tc>
              <w:tc>
                <w:tcPr>
                  <w:tcW w:w="659" w:type="dxa"/>
                  <w:noWrap w:val="0"/>
                  <w:vAlign w:val="center"/>
                </w:tcPr>
                <w:p>
                  <w:pPr>
                    <w:widowControl/>
                    <w:adjustRightInd w:val="0"/>
                    <w:snapToGrid w:val="0"/>
                    <w:jc w:val="center"/>
                    <w:rPr>
                      <w:rFonts w:ascii="Times" w:hAnsi="Times"/>
                      <w:color w:val="auto"/>
                    </w:rPr>
                  </w:pPr>
                  <w:r>
                    <w:rPr>
                      <w:rFonts w:hint="eastAsia"/>
                      <w:color w:val="auto"/>
                      <w:szCs w:val="21"/>
                      <w:lang w:eastAsia="zh-CN"/>
                    </w:rPr>
                    <w:t>舒城经济开发</w:t>
                  </w:r>
                  <w:r>
                    <w:rPr>
                      <w:color w:val="auto"/>
                      <w:szCs w:val="21"/>
                    </w:rPr>
                    <w:t>污水处理厂</w:t>
                  </w:r>
                </w:p>
              </w:tc>
              <w:tc>
                <w:tcPr>
                  <w:tcW w:w="850" w:type="dxa"/>
                  <w:noWrap w:val="0"/>
                  <w:vAlign w:val="center"/>
                </w:tcPr>
                <w:p>
                  <w:pPr>
                    <w:snapToGrid w:val="0"/>
                    <w:jc w:val="center"/>
                    <w:rPr>
                      <w:rFonts w:ascii="Times" w:hAnsi="Times"/>
                      <w:color w:val="auto"/>
                    </w:rPr>
                  </w:pPr>
                  <w:r>
                    <w:rPr>
                      <w:rFonts w:hint="eastAsia" w:ascii="Times" w:hAnsi="Times"/>
                      <w:color w:val="auto"/>
                    </w:rPr>
                    <w:t>间断排放，排放期间流量稳定</w:t>
                  </w:r>
                </w:p>
              </w:tc>
              <w:tc>
                <w:tcPr>
                  <w:tcW w:w="709" w:type="dxa"/>
                  <w:noWrap w:val="0"/>
                  <w:vAlign w:val="center"/>
                </w:tcPr>
                <w:p>
                  <w:pPr>
                    <w:snapToGrid w:val="0"/>
                    <w:jc w:val="center"/>
                    <w:rPr>
                      <w:rFonts w:ascii="Times" w:hAnsi="Times"/>
                      <w:color w:val="auto"/>
                    </w:rPr>
                  </w:pPr>
                  <w:r>
                    <w:rPr>
                      <w:rFonts w:hint="eastAsia" w:ascii="Times" w:hAnsi="Times"/>
                      <w:color w:val="auto"/>
                    </w:rPr>
                    <w:t>/</w:t>
                  </w:r>
                </w:p>
                <w:p>
                  <w:pPr>
                    <w:snapToGrid w:val="0"/>
                    <w:jc w:val="center"/>
                    <w:rPr>
                      <w:rFonts w:ascii="Times" w:hAnsi="Times"/>
                      <w:color w:val="auto"/>
                    </w:rPr>
                  </w:pPr>
                </w:p>
              </w:tc>
              <w:tc>
                <w:tcPr>
                  <w:tcW w:w="657" w:type="dxa"/>
                  <w:noWrap w:val="0"/>
                  <w:vAlign w:val="center"/>
                </w:tcPr>
                <w:p>
                  <w:pPr>
                    <w:widowControl/>
                    <w:adjustRightInd w:val="0"/>
                    <w:snapToGrid w:val="0"/>
                    <w:jc w:val="center"/>
                    <w:rPr>
                      <w:color w:val="auto"/>
                      <w:szCs w:val="21"/>
                    </w:rPr>
                  </w:pPr>
                  <w:r>
                    <w:rPr>
                      <w:rFonts w:hint="eastAsia"/>
                      <w:color w:val="auto"/>
                      <w:szCs w:val="21"/>
                      <w:lang w:eastAsia="zh-CN"/>
                    </w:rPr>
                    <w:t>舒城经济开发</w:t>
                  </w:r>
                  <w:r>
                    <w:rPr>
                      <w:color w:val="auto"/>
                      <w:szCs w:val="21"/>
                    </w:rPr>
                    <w:t>污水处理厂</w:t>
                  </w:r>
                </w:p>
                <w:p>
                  <w:pPr>
                    <w:snapToGrid w:val="0"/>
                    <w:jc w:val="center"/>
                    <w:rPr>
                      <w:rFonts w:ascii="Times" w:hAnsi="Times"/>
                      <w:color w:val="auto"/>
                    </w:rPr>
                  </w:pPr>
                </w:p>
              </w:tc>
              <w:tc>
                <w:tcPr>
                  <w:tcW w:w="1044" w:type="dxa"/>
                  <w:noWrap w:val="0"/>
                  <w:vAlign w:val="center"/>
                </w:tcPr>
                <w:p>
                  <w:pPr>
                    <w:snapToGrid w:val="0"/>
                    <w:jc w:val="center"/>
                    <w:rPr>
                      <w:rFonts w:ascii="Times" w:hAnsi="Times"/>
                      <w:color w:val="auto"/>
                    </w:rPr>
                  </w:pPr>
                  <w:r>
                    <w:rPr>
                      <w:rFonts w:hint="eastAsia"/>
                      <w:color w:val="auto"/>
                    </w:rPr>
                    <w:t>COD、氨氮、T</w:t>
                  </w:r>
                  <w:r>
                    <w:rPr>
                      <w:color w:val="auto"/>
                    </w:rPr>
                    <w:t>P</w:t>
                  </w:r>
                  <w:r>
                    <w:rPr>
                      <w:rFonts w:hint="eastAsia"/>
                      <w:color w:val="auto"/>
                    </w:rPr>
                    <w:t>、SS、B</w:t>
                  </w:r>
                  <w:r>
                    <w:rPr>
                      <w:color w:val="auto"/>
                    </w:rPr>
                    <w:t>OD</w:t>
                  </w:r>
                  <w:r>
                    <w:rPr>
                      <w:color w:val="auto"/>
                      <w:vertAlign w:val="subscript"/>
                    </w:rPr>
                    <w:t>5</w:t>
                  </w:r>
                </w:p>
              </w:tc>
              <w:tc>
                <w:tcPr>
                  <w:tcW w:w="2205" w:type="dxa"/>
                  <w:noWrap w:val="0"/>
                  <w:vAlign w:val="center"/>
                </w:tcPr>
                <w:p>
                  <w:pPr>
                    <w:snapToGrid w:val="0"/>
                    <w:jc w:val="center"/>
                    <w:rPr>
                      <w:rFonts w:ascii="Times" w:hAnsi="Times"/>
                      <w:color w:val="auto"/>
                    </w:rPr>
                  </w:pPr>
                  <w:r>
                    <w:rPr>
                      <w:rFonts w:hint="eastAsia" w:ascii="Times New Roman" w:hAnsi="Times New Roman" w:cs="Times New Roman"/>
                      <w:lang w:eastAsia="zh-CN"/>
                    </w:rPr>
                    <w:t>尾水排放执行《城镇污水处理厂污染物排放标准》（GB18918-2002）一级A标准</w:t>
                  </w:r>
                </w:p>
              </w:tc>
            </w:tr>
          </w:tbl>
          <w:p>
            <w:pPr>
              <w:adjustRightInd w:val="0"/>
              <w:snapToGrid w:val="0"/>
              <w:spacing w:before="120" w:beforeLines="50" w:line="360" w:lineRule="auto"/>
              <w:ind w:firstLine="482" w:firstLineChars="200"/>
              <w:rPr>
                <w:b/>
                <w:bCs/>
                <w:color w:val="auto"/>
                <w:sz w:val="24"/>
              </w:rPr>
            </w:pPr>
            <w:r>
              <w:rPr>
                <w:rFonts w:hint="eastAsia"/>
                <w:b/>
                <w:bCs/>
                <w:color w:val="auto"/>
                <w:sz w:val="24"/>
                <w:lang w:val="en-US" w:eastAsia="zh-CN"/>
              </w:rPr>
              <w:t>3、</w:t>
            </w:r>
            <w:r>
              <w:rPr>
                <w:rFonts w:hint="eastAsia"/>
                <w:b/>
                <w:bCs/>
                <w:color w:val="auto"/>
                <w:sz w:val="24"/>
              </w:rPr>
              <w:t>废水监测计划一览表</w:t>
            </w:r>
          </w:p>
          <w:p>
            <w:pPr>
              <w:adjustRightInd w:val="0"/>
              <w:snapToGrid w:val="0"/>
              <w:spacing w:line="360" w:lineRule="auto"/>
              <w:ind w:firstLine="480" w:firstLineChars="200"/>
              <w:rPr>
                <w:rFonts w:hint="eastAsia"/>
                <w:b/>
                <w:bCs/>
                <w:color w:val="auto"/>
                <w:sz w:val="24"/>
              </w:rPr>
            </w:pPr>
            <w:r>
              <w:rPr>
                <w:rFonts w:hint="eastAsia"/>
                <w:color w:val="auto"/>
                <w:sz w:val="24"/>
              </w:rPr>
              <w:t xml:space="preserve">根据项目生产工艺特点以及《排污单位自行监测技术指南总则》（HJ819-2017），项目属于非重点排污单位，且全厂废水排放口为生活污水排放口，为非主要排放口，结合《排污许可证申请与核发技术规范 </w:t>
            </w:r>
            <w:r>
              <w:rPr>
                <w:rFonts w:hint="eastAsia"/>
                <w:color w:val="auto"/>
                <w:sz w:val="24"/>
                <w:lang w:eastAsia="zh-CN"/>
              </w:rPr>
              <w:t>橡胶和塑料制品工业</w:t>
            </w:r>
            <w:r>
              <w:rPr>
                <w:rFonts w:hint="eastAsia"/>
                <w:color w:val="auto"/>
                <w:sz w:val="24"/>
              </w:rPr>
              <w:t>》，制定以下监测计划。</w:t>
            </w:r>
          </w:p>
          <w:p>
            <w:pPr>
              <w:adjustRightInd w:val="0"/>
              <w:snapToGrid w:val="0"/>
              <w:spacing w:line="360" w:lineRule="auto"/>
              <w:ind w:firstLine="482" w:firstLineChars="200"/>
              <w:jc w:val="center"/>
              <w:rPr>
                <w:b/>
                <w:bCs/>
                <w:color w:val="auto"/>
                <w:sz w:val="24"/>
              </w:rPr>
            </w:pPr>
            <w:r>
              <w:rPr>
                <w:rFonts w:hint="eastAsia"/>
                <w:b/>
                <w:bCs/>
                <w:color w:val="auto"/>
                <w:sz w:val="24"/>
              </w:rPr>
              <w:t>表4-</w:t>
            </w:r>
            <w:r>
              <w:rPr>
                <w:rFonts w:hint="eastAsia"/>
                <w:b/>
                <w:bCs/>
                <w:color w:val="auto"/>
                <w:sz w:val="24"/>
                <w:lang w:val="en-US" w:eastAsia="zh-CN"/>
              </w:rPr>
              <w:t xml:space="preserve">9  </w:t>
            </w:r>
            <w:r>
              <w:rPr>
                <w:rFonts w:hint="eastAsia"/>
                <w:b/>
                <w:bCs/>
                <w:color w:val="auto"/>
                <w:sz w:val="24"/>
              </w:rPr>
              <w:t xml:space="preserve"> 废水监测计划一览表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900"/>
              <w:gridCol w:w="1388"/>
              <w:gridCol w:w="1362"/>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2" w:type="dxa"/>
                  <w:gridSpan w:val="2"/>
                  <w:noWrap w:val="0"/>
                  <w:vAlign w:val="center"/>
                </w:tcPr>
                <w:p>
                  <w:pPr>
                    <w:jc w:val="center"/>
                    <w:rPr>
                      <w:b/>
                      <w:bCs/>
                      <w:color w:val="auto"/>
                      <w:szCs w:val="21"/>
                    </w:rPr>
                  </w:pPr>
                  <w:r>
                    <w:rPr>
                      <w:rFonts w:hint="eastAsia"/>
                      <w:b/>
                      <w:bCs/>
                      <w:color w:val="auto"/>
                      <w:szCs w:val="21"/>
                    </w:rPr>
                    <w:t>监测点位</w:t>
                  </w:r>
                </w:p>
              </w:tc>
              <w:tc>
                <w:tcPr>
                  <w:tcW w:w="1388" w:type="dxa"/>
                  <w:noWrap w:val="0"/>
                  <w:vAlign w:val="center"/>
                </w:tcPr>
                <w:p>
                  <w:pPr>
                    <w:jc w:val="center"/>
                    <w:rPr>
                      <w:rFonts w:hint="eastAsia"/>
                      <w:b/>
                      <w:bCs/>
                      <w:color w:val="auto"/>
                      <w:szCs w:val="21"/>
                    </w:rPr>
                  </w:pPr>
                  <w:r>
                    <w:rPr>
                      <w:rFonts w:hint="eastAsia"/>
                      <w:b/>
                      <w:bCs/>
                      <w:color w:val="auto"/>
                      <w:szCs w:val="21"/>
                    </w:rPr>
                    <w:t>监测因子</w:t>
                  </w:r>
                </w:p>
              </w:tc>
              <w:tc>
                <w:tcPr>
                  <w:tcW w:w="1362" w:type="dxa"/>
                  <w:noWrap w:val="0"/>
                  <w:vAlign w:val="center"/>
                </w:tcPr>
                <w:p>
                  <w:pPr>
                    <w:jc w:val="center"/>
                    <w:rPr>
                      <w:rFonts w:hint="eastAsia"/>
                      <w:b/>
                      <w:bCs/>
                      <w:color w:val="auto"/>
                      <w:szCs w:val="21"/>
                    </w:rPr>
                  </w:pPr>
                  <w:r>
                    <w:rPr>
                      <w:rFonts w:hint="eastAsia"/>
                      <w:b/>
                      <w:bCs/>
                      <w:color w:val="auto"/>
                      <w:szCs w:val="21"/>
                    </w:rPr>
                    <w:t>监测频次</w:t>
                  </w:r>
                </w:p>
              </w:tc>
              <w:tc>
                <w:tcPr>
                  <w:tcW w:w="3185" w:type="dxa"/>
                  <w:noWrap w:val="0"/>
                  <w:vAlign w:val="center"/>
                </w:tcPr>
                <w:p>
                  <w:pPr>
                    <w:jc w:val="center"/>
                    <w:rPr>
                      <w:rFonts w:hint="eastAsia"/>
                      <w:b/>
                      <w:bCs/>
                      <w:color w:val="auto"/>
                      <w:szCs w:val="21"/>
                    </w:rPr>
                  </w:pPr>
                  <w:r>
                    <w:rPr>
                      <w:rFonts w:hint="eastAsia"/>
                      <w:b/>
                      <w:bCs/>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02" w:type="dxa"/>
                  <w:noWrap w:val="0"/>
                  <w:vAlign w:val="center"/>
                </w:tcPr>
                <w:p>
                  <w:pPr>
                    <w:adjustRightInd w:val="0"/>
                    <w:snapToGrid w:val="0"/>
                    <w:jc w:val="center"/>
                    <w:rPr>
                      <w:rFonts w:hint="eastAsia"/>
                      <w:color w:val="auto"/>
                      <w:szCs w:val="21"/>
                    </w:rPr>
                  </w:pPr>
                  <w:r>
                    <w:rPr>
                      <w:rFonts w:hint="eastAsia"/>
                      <w:color w:val="auto"/>
                    </w:rPr>
                    <w:t>生活污水排放口</w:t>
                  </w:r>
                </w:p>
              </w:tc>
              <w:tc>
                <w:tcPr>
                  <w:tcW w:w="900" w:type="dxa"/>
                  <w:noWrap w:val="0"/>
                  <w:vAlign w:val="center"/>
                </w:tcPr>
                <w:p>
                  <w:pPr>
                    <w:widowControl/>
                    <w:jc w:val="center"/>
                    <w:rPr>
                      <w:color w:val="auto"/>
                      <w:szCs w:val="21"/>
                    </w:rPr>
                  </w:pPr>
                  <w:r>
                    <w:rPr>
                      <w:color w:val="auto"/>
                      <w:kern w:val="0"/>
                      <w:szCs w:val="21"/>
                      <w:lang w:bidi="ar"/>
                    </w:rPr>
                    <w:t>D</w:t>
                  </w:r>
                  <w:r>
                    <w:rPr>
                      <w:rFonts w:hint="eastAsia"/>
                      <w:color w:val="auto"/>
                      <w:kern w:val="0"/>
                      <w:szCs w:val="21"/>
                      <w:lang w:bidi="ar"/>
                    </w:rPr>
                    <w:t>W</w:t>
                  </w:r>
                  <w:r>
                    <w:rPr>
                      <w:color w:val="auto"/>
                      <w:kern w:val="0"/>
                      <w:szCs w:val="21"/>
                      <w:lang w:bidi="ar"/>
                    </w:rPr>
                    <w:t>001</w:t>
                  </w:r>
                </w:p>
                <w:p>
                  <w:pPr>
                    <w:jc w:val="center"/>
                    <w:rPr>
                      <w:color w:val="auto"/>
                      <w:szCs w:val="21"/>
                    </w:rPr>
                  </w:pPr>
                </w:p>
              </w:tc>
              <w:tc>
                <w:tcPr>
                  <w:tcW w:w="1388" w:type="dxa"/>
                  <w:noWrap w:val="0"/>
                  <w:vAlign w:val="center"/>
                </w:tcPr>
                <w:p>
                  <w:pPr>
                    <w:pStyle w:val="9"/>
                    <w:spacing w:line="240" w:lineRule="auto"/>
                    <w:jc w:val="center"/>
                    <w:rPr>
                      <w:rFonts w:hint="eastAsia"/>
                      <w:color w:val="auto"/>
                      <w:sz w:val="21"/>
                      <w:szCs w:val="21"/>
                      <w:lang w:val="en-US" w:eastAsia="zh-CN"/>
                    </w:rPr>
                  </w:pPr>
                  <w:r>
                    <w:rPr>
                      <w:rFonts w:hint="eastAsia" w:ascii="宋体" w:hAnsi="宋体" w:cs="宋体"/>
                      <w:color w:val="auto"/>
                      <w:sz w:val="21"/>
                      <w:szCs w:val="21"/>
                      <w:lang w:val="en-US" w:eastAsia="zh-CN" w:bidi="ar"/>
                    </w:rPr>
                    <w:t>化学需氧量、氨氮</w:t>
                  </w:r>
                </w:p>
              </w:tc>
              <w:tc>
                <w:tcPr>
                  <w:tcW w:w="1362" w:type="dxa"/>
                  <w:noWrap w:val="0"/>
                  <w:vAlign w:val="center"/>
                </w:tcPr>
                <w:p>
                  <w:pPr>
                    <w:widowControl/>
                    <w:jc w:val="center"/>
                    <w:rPr>
                      <w:rFonts w:hint="default" w:eastAsia="宋体"/>
                      <w:color w:val="auto"/>
                      <w:szCs w:val="21"/>
                      <w:lang w:val="en-US" w:eastAsia="zh-CN"/>
                    </w:rPr>
                  </w:pPr>
                  <w:r>
                    <w:rPr>
                      <w:rFonts w:hint="eastAsia"/>
                      <w:color w:val="auto"/>
                      <w:szCs w:val="21"/>
                      <w:lang w:val="en-US" w:eastAsia="zh-CN"/>
                    </w:rPr>
                    <w:t>1次/年</w:t>
                  </w:r>
                </w:p>
              </w:tc>
              <w:tc>
                <w:tcPr>
                  <w:tcW w:w="3185" w:type="dxa"/>
                  <w:noWrap w:val="0"/>
                  <w:vAlign w:val="center"/>
                </w:tcPr>
                <w:p>
                  <w:pPr>
                    <w:jc w:val="center"/>
                    <w:rPr>
                      <w:color w:val="auto"/>
                      <w:szCs w:val="21"/>
                    </w:rPr>
                  </w:pPr>
                  <w:r>
                    <w:rPr>
                      <w:rFonts w:hint="eastAsia"/>
                      <w:color w:val="auto"/>
                    </w:rPr>
                    <w:t>污水综合排放标准》（GB8978-1996）中表4三级标准要求，</w:t>
                  </w:r>
                  <w:r>
                    <w:rPr>
                      <w:rFonts w:hint="eastAsia" w:eastAsia="宋体"/>
                      <w:color w:val="auto"/>
                      <w:szCs w:val="21"/>
                      <w:lang w:val="en-US" w:eastAsia="zh-CN"/>
                    </w:rPr>
                    <w:t>同时满足开发区污水处理厂接管限值</w:t>
                  </w:r>
                </w:p>
              </w:tc>
            </w:tr>
          </w:tbl>
          <w:p>
            <w:pPr>
              <w:adjustRightInd w:val="0"/>
              <w:snapToGrid w:val="0"/>
              <w:spacing w:before="120" w:beforeLines="50" w:line="360" w:lineRule="auto"/>
              <w:ind w:firstLine="482" w:firstLineChars="200"/>
              <w:rPr>
                <w:b/>
                <w:bCs/>
                <w:color w:val="auto"/>
                <w:sz w:val="24"/>
              </w:rPr>
            </w:pPr>
            <w:r>
              <w:rPr>
                <w:rFonts w:hint="eastAsia"/>
                <w:b/>
                <w:bCs/>
                <w:color w:val="auto"/>
                <w:sz w:val="24"/>
                <w:lang w:val="en-US" w:eastAsia="zh-CN"/>
              </w:rPr>
              <w:t>4、</w:t>
            </w:r>
            <w:r>
              <w:rPr>
                <w:b/>
                <w:bCs/>
                <w:color w:val="auto"/>
                <w:sz w:val="24"/>
              </w:rPr>
              <w:t>依托污水处理</w:t>
            </w:r>
            <w:r>
              <w:rPr>
                <w:rFonts w:hint="eastAsia"/>
                <w:b/>
                <w:bCs/>
                <w:color w:val="auto"/>
                <w:sz w:val="24"/>
              </w:rPr>
              <w:t>厂</w:t>
            </w:r>
            <w:r>
              <w:rPr>
                <w:b/>
                <w:bCs/>
                <w:color w:val="auto"/>
                <w:sz w:val="24"/>
              </w:rPr>
              <w:t>可行性：</w:t>
            </w:r>
          </w:p>
          <w:p>
            <w:pPr>
              <w:adjustRightInd w:val="0"/>
              <w:snapToGrid w:val="0"/>
              <w:spacing w:line="360" w:lineRule="auto"/>
              <w:ind w:firstLine="480" w:firstLineChars="200"/>
              <w:rPr>
                <w:color w:val="auto"/>
                <w:sz w:val="24"/>
              </w:rPr>
            </w:pPr>
            <w:r>
              <w:rPr>
                <w:color w:val="auto"/>
                <w:sz w:val="24"/>
              </w:rPr>
              <w:t>本项目</w:t>
            </w:r>
            <w:r>
              <w:rPr>
                <w:bCs/>
                <w:color w:val="auto"/>
                <w:sz w:val="24"/>
              </w:rPr>
              <w:t>污水经</w:t>
            </w:r>
            <w:r>
              <w:rPr>
                <w:rFonts w:hint="eastAsia"/>
                <w:bCs/>
                <w:color w:val="auto"/>
                <w:sz w:val="24"/>
                <w:lang w:eastAsia="zh-CN"/>
              </w:rPr>
              <w:t>化粪池</w:t>
            </w:r>
            <w:r>
              <w:rPr>
                <w:bCs/>
                <w:color w:val="auto"/>
                <w:sz w:val="24"/>
              </w:rPr>
              <w:t>预处理后排入市政污水管网，</w:t>
            </w:r>
            <w:r>
              <w:rPr>
                <w:b w:val="0"/>
                <w:bCs/>
                <w:color w:val="auto"/>
                <w:sz w:val="24"/>
              </w:rPr>
              <w:t>进入</w:t>
            </w:r>
            <w:r>
              <w:rPr>
                <w:rFonts w:hint="eastAsia"/>
                <w:b w:val="0"/>
                <w:bCs/>
                <w:color w:val="auto"/>
                <w:sz w:val="24"/>
                <w:lang w:eastAsia="zh-CN"/>
              </w:rPr>
              <w:t>舒城经济开发区</w:t>
            </w:r>
            <w:r>
              <w:rPr>
                <w:b w:val="0"/>
                <w:bCs/>
                <w:color w:val="auto"/>
                <w:sz w:val="24"/>
              </w:rPr>
              <w:t>污水处理厂处理，污水处理厂信息如下</w:t>
            </w:r>
            <w:r>
              <w:rPr>
                <w:bCs/>
                <w:color w:val="auto"/>
                <w:sz w:val="24"/>
              </w:rPr>
              <w:t>：</w:t>
            </w:r>
          </w:p>
          <w:p>
            <w:pPr>
              <w:pStyle w:val="25"/>
              <w:snapToGrid w:val="0"/>
              <w:spacing w:line="360" w:lineRule="auto"/>
              <w:ind w:left="482"/>
              <w:jc w:val="both"/>
            </w:pPr>
            <w:r>
              <w:rPr>
                <w:rFonts w:hint="eastAsia"/>
                <w:lang w:eastAsia="zh-CN"/>
              </w:rPr>
              <w:t>（</w:t>
            </w:r>
            <w:r>
              <w:rPr>
                <w:rFonts w:hint="eastAsia"/>
                <w:lang w:val="en-US" w:eastAsia="zh-CN"/>
              </w:rPr>
              <w:t>1</w:t>
            </w:r>
            <w:r>
              <w:rPr>
                <w:rFonts w:hint="eastAsia"/>
                <w:lang w:eastAsia="zh-CN"/>
              </w:rPr>
              <w:t>）</w:t>
            </w:r>
            <w:r>
              <w:t>概况：</w:t>
            </w:r>
          </w:p>
          <w:p>
            <w:pPr>
              <w:pStyle w:val="25"/>
              <w:snapToGrid w:val="0"/>
              <w:spacing w:line="360" w:lineRule="auto"/>
              <w:ind w:firstLine="480" w:firstLineChars="200"/>
              <w:jc w:val="both"/>
            </w:pPr>
            <w:r>
              <w:t>设计规模：1 万 m</w:t>
            </w:r>
            <w:r>
              <w:rPr>
                <w:vertAlign w:val="superscript"/>
              </w:rPr>
              <w:t>3</w:t>
            </w:r>
            <w:r>
              <w:t>/d（分两期实施），其中：一期工程规模 0.5 万 m</w:t>
            </w:r>
            <w:r>
              <w:rPr>
                <w:vertAlign w:val="superscript"/>
              </w:rPr>
              <w:t>3</w:t>
            </w:r>
            <w:r>
              <w:t>/d；二期工程建设规模 0.5 万 m</w:t>
            </w:r>
            <w:r>
              <w:rPr>
                <w:vertAlign w:val="superscript"/>
              </w:rPr>
              <w:t>3</w:t>
            </w:r>
            <w:r>
              <w:t>/d。</w:t>
            </w:r>
          </w:p>
          <w:p>
            <w:pPr>
              <w:pStyle w:val="25"/>
              <w:snapToGrid w:val="0"/>
              <w:spacing w:line="360" w:lineRule="auto"/>
              <w:ind w:firstLine="480" w:firstLineChars="200"/>
              <w:jc w:val="both"/>
            </w:pPr>
            <w:r>
              <w:t>处理工艺：</w:t>
            </w:r>
            <w:r>
              <w:rPr>
                <w:rFonts w:ascii="宋体" w:hAnsi="宋体" w:eastAsia="宋体" w:cs="宋体"/>
                <w:sz w:val="24"/>
                <w:szCs w:val="24"/>
              </w:rPr>
              <w:t>改良型氧化沟生物处理工艺</w:t>
            </w:r>
            <w:r>
              <w:t>。</w:t>
            </w:r>
          </w:p>
          <w:p>
            <w:pPr>
              <w:pStyle w:val="25"/>
              <w:snapToGrid w:val="0"/>
              <w:spacing w:line="360" w:lineRule="auto"/>
              <w:ind w:firstLine="480" w:firstLineChars="200"/>
              <w:jc w:val="both"/>
            </w:pPr>
            <w:r>
              <w:t>尾水排放标准及去向：废水处理</w:t>
            </w:r>
            <w:r>
              <w:rPr>
                <w:bCs/>
              </w:rPr>
              <w:t>后</w:t>
            </w:r>
            <w:r>
              <w:rPr>
                <w:rFonts w:hint="eastAsia"/>
                <w:lang w:eastAsia="zh-CN"/>
              </w:rPr>
              <w:t>达到</w:t>
            </w:r>
            <w:r>
              <w:rPr>
                <w:snapToGrid w:val="0"/>
              </w:rPr>
              <w:t>《污水综合排放标准》（GB8978-1996）三级标准，</w:t>
            </w:r>
            <w:r>
              <w:rPr>
                <w:rFonts w:hint="eastAsia"/>
                <w:lang w:eastAsia="zh-CN"/>
              </w:rPr>
              <w:t>同时达到</w:t>
            </w:r>
            <w:r>
              <w:rPr>
                <w:rFonts w:hint="default" w:ascii="Times New Roman" w:hAnsi="Times New Roman" w:eastAsia="宋体" w:cs="Times New Roman"/>
                <w:color w:val="000000"/>
                <w:sz w:val="24"/>
              </w:rPr>
              <w:t>开发区污水处理厂</w:t>
            </w:r>
            <w:r>
              <w:rPr>
                <w:bCs/>
              </w:rPr>
              <w:t>接管</w:t>
            </w:r>
            <w:r>
              <w:rPr>
                <w:rFonts w:hint="eastAsia"/>
                <w:bCs/>
                <w:lang w:eastAsia="zh-CN"/>
              </w:rPr>
              <w:t>限值</w:t>
            </w:r>
            <w:r>
              <w:rPr>
                <w:bCs/>
              </w:rPr>
              <w:t>要求</w:t>
            </w:r>
            <w:r>
              <w:t>。</w:t>
            </w:r>
          </w:p>
          <w:p>
            <w:pPr>
              <w:adjustRightInd w:val="0"/>
              <w:snapToGrid w:val="0"/>
              <w:spacing w:line="360" w:lineRule="auto"/>
              <w:ind w:firstLine="480" w:firstLineChars="200"/>
              <w:rPr>
                <w:kern w:val="0"/>
                <w:sz w:val="24"/>
              </w:rPr>
            </w:pPr>
            <w:r>
              <w:rPr>
                <w:rFonts w:hint="eastAsia"/>
                <w:kern w:val="0"/>
                <w:sz w:val="24"/>
                <w:lang w:eastAsia="zh-CN"/>
              </w:rPr>
              <w:t>（</w:t>
            </w:r>
            <w:r>
              <w:rPr>
                <w:rFonts w:hint="eastAsia"/>
                <w:kern w:val="0"/>
                <w:sz w:val="24"/>
                <w:lang w:val="en-US" w:eastAsia="zh-CN"/>
              </w:rPr>
              <w:t>2</w:t>
            </w:r>
            <w:r>
              <w:rPr>
                <w:rFonts w:hint="eastAsia"/>
                <w:kern w:val="0"/>
                <w:sz w:val="24"/>
                <w:lang w:eastAsia="zh-CN"/>
              </w:rPr>
              <w:t>）水量接管</w:t>
            </w:r>
            <w:r>
              <w:rPr>
                <w:kern w:val="0"/>
                <w:sz w:val="24"/>
              </w:rPr>
              <w:t>可行性</w:t>
            </w:r>
          </w:p>
          <w:p>
            <w:pPr>
              <w:adjustRightInd w:val="0"/>
              <w:snapToGrid w:val="0"/>
              <w:spacing w:line="360" w:lineRule="auto"/>
              <w:ind w:firstLine="480" w:firstLineChars="200"/>
              <w:rPr>
                <w:color w:val="FF0000"/>
                <w:kern w:val="0"/>
                <w:sz w:val="24"/>
              </w:rPr>
            </w:pPr>
            <w:r>
              <w:rPr>
                <w:rFonts w:ascii="宋体" w:hAnsi="宋体" w:eastAsia="宋体" w:cs="宋体"/>
                <w:sz w:val="24"/>
                <w:szCs w:val="24"/>
              </w:rPr>
              <w:t>本项目建成正常运行后的废水排放量很小，舒城经济开发区污水处理厂污水处理量</w:t>
            </w:r>
            <w:r>
              <w:rPr>
                <w:rFonts w:ascii="Times New Roman" w:hAnsi="Times New Roman" w:eastAsia="宋体" w:cs="Times New Roman"/>
                <w:color w:val="000000"/>
                <w:kern w:val="0"/>
                <w:sz w:val="24"/>
                <w:szCs w:val="24"/>
                <w:lang w:val="en-US" w:eastAsia="zh-CN" w:bidi="ar-SA"/>
              </w:rPr>
              <w:t>为 1.0 万 t/d，其水</w:t>
            </w:r>
            <w:r>
              <w:rPr>
                <w:rFonts w:ascii="宋体" w:hAnsi="宋体" w:eastAsia="宋体" w:cs="宋体"/>
                <w:sz w:val="24"/>
                <w:szCs w:val="24"/>
              </w:rPr>
              <w:t>量已考虑到项目区收水范围，不会对其处理能力造成较大的冲击，因在其设计考虑处理范围内，因此接管水量是可行的。</w:t>
            </w:r>
          </w:p>
          <w:p>
            <w:pPr>
              <w:adjustRightInd w:val="0"/>
              <w:snapToGrid w:val="0"/>
              <w:spacing w:line="360" w:lineRule="auto"/>
              <w:ind w:left="480"/>
              <w:rPr>
                <w:color w:val="auto"/>
                <w:kern w:val="0"/>
                <w:sz w:val="24"/>
              </w:rPr>
            </w:pPr>
            <w:r>
              <w:rPr>
                <w:rFonts w:hint="eastAsia"/>
                <w:color w:val="auto"/>
                <w:kern w:val="0"/>
                <w:sz w:val="24"/>
                <w:lang w:eastAsia="zh-CN"/>
              </w:rPr>
              <w:t>（</w:t>
            </w:r>
            <w:r>
              <w:rPr>
                <w:rFonts w:hint="eastAsia"/>
                <w:color w:val="auto"/>
                <w:kern w:val="0"/>
                <w:sz w:val="24"/>
                <w:lang w:val="en-US" w:eastAsia="zh-CN"/>
              </w:rPr>
              <w:t>3</w:t>
            </w:r>
            <w:r>
              <w:rPr>
                <w:rFonts w:hint="eastAsia"/>
                <w:color w:val="auto"/>
                <w:kern w:val="0"/>
                <w:sz w:val="24"/>
                <w:lang w:eastAsia="zh-CN"/>
              </w:rPr>
              <w:t>）</w:t>
            </w:r>
            <w:r>
              <w:rPr>
                <w:color w:val="auto"/>
                <w:kern w:val="0"/>
                <w:sz w:val="24"/>
              </w:rPr>
              <w:t>水</w:t>
            </w:r>
            <w:r>
              <w:rPr>
                <w:rFonts w:hint="eastAsia"/>
                <w:color w:val="auto"/>
                <w:kern w:val="0"/>
                <w:sz w:val="24"/>
                <w:lang w:eastAsia="zh-CN"/>
              </w:rPr>
              <w:t>质</w:t>
            </w:r>
            <w:r>
              <w:rPr>
                <w:color w:val="auto"/>
                <w:kern w:val="0"/>
                <w:sz w:val="24"/>
              </w:rPr>
              <w:t>接管可行性</w:t>
            </w:r>
          </w:p>
          <w:p>
            <w:pPr>
              <w:adjustRightInd w:val="0"/>
              <w:snapToGrid w:val="0"/>
              <w:spacing w:line="360" w:lineRule="auto"/>
              <w:ind w:firstLine="480" w:firstLineChars="200"/>
              <w:rPr>
                <w:rFonts w:hint="eastAsia"/>
                <w:color w:val="auto"/>
                <w:kern w:val="0"/>
                <w:sz w:val="24"/>
                <w:lang w:val="en-US" w:eastAsia="zh-CN"/>
              </w:rPr>
            </w:pPr>
            <w:r>
              <w:rPr>
                <w:rFonts w:ascii="宋体" w:hAnsi="宋体" w:eastAsia="宋体" w:cs="宋体"/>
                <w:sz w:val="24"/>
                <w:szCs w:val="24"/>
              </w:rPr>
              <w:t>本项目外排废水主要为生活污水，主要污染</w:t>
            </w:r>
            <w:r>
              <w:rPr>
                <w:rFonts w:hint="default" w:ascii="Times New Roman" w:hAnsi="Times New Roman" w:eastAsia="宋体" w:cs="Times New Roman"/>
                <w:sz w:val="24"/>
                <w:szCs w:val="24"/>
              </w:rPr>
              <w:t>物为 COD、BOD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-N、SS</w:t>
            </w:r>
            <w:r>
              <w:rPr>
                <w:rFonts w:hint="eastAsia" w:ascii="Times New Roman" w:hAnsi="Times New Roman" w:eastAsia="宋体" w:cs="Times New Roman"/>
                <w:sz w:val="24"/>
                <w:szCs w:val="24"/>
                <w:lang w:eastAsia="zh-CN"/>
              </w:rPr>
              <w:t>、</w:t>
            </w:r>
            <w:r>
              <w:rPr>
                <w:rFonts w:hint="eastAsia" w:cs="Times New Roman"/>
                <w:sz w:val="24"/>
                <w:szCs w:val="24"/>
                <w:lang w:val="en-US" w:eastAsia="zh-CN"/>
              </w:rPr>
              <w:t>TP</w:t>
            </w:r>
            <w:r>
              <w:rPr>
                <w:rFonts w:hint="default" w:ascii="Times New Roman" w:hAnsi="Times New Roman" w:eastAsia="宋体" w:cs="Times New Roman"/>
                <w:sz w:val="24"/>
                <w:szCs w:val="24"/>
              </w:rPr>
              <w:t>等，水质简单，经隔油池及化粪池预处理后不会对污水处理厂的正常运行造成冲击</w:t>
            </w:r>
            <w:r>
              <w:rPr>
                <w:rFonts w:hint="eastAsia"/>
                <w:color w:val="auto"/>
                <w:kern w:val="0"/>
                <w:sz w:val="24"/>
                <w:lang w:val="en-US" w:eastAsia="zh-CN"/>
              </w:rPr>
              <w:t>。</w:t>
            </w:r>
          </w:p>
          <w:p>
            <w:pPr>
              <w:pStyle w:val="25"/>
              <w:snapToGrid w:val="0"/>
              <w:spacing w:line="360" w:lineRule="auto"/>
              <w:ind w:firstLine="482" w:firstLineChars="200"/>
              <w:jc w:val="both"/>
              <w:rPr>
                <w:rFonts w:hint="eastAsia"/>
                <w:bCs/>
                <w:color w:val="auto"/>
              </w:rPr>
            </w:pPr>
            <w:r>
              <w:rPr>
                <w:rFonts w:hint="eastAsia"/>
                <w:b/>
                <w:bCs/>
                <w:color w:val="auto"/>
                <w:kern w:val="2"/>
                <w:lang w:val="en-US" w:eastAsia="zh-CN"/>
              </w:rPr>
              <w:t>5、</w:t>
            </w:r>
            <w:r>
              <w:rPr>
                <w:rFonts w:hint="eastAsia"/>
                <w:b/>
                <w:bCs/>
                <w:color w:val="auto"/>
                <w:kern w:val="2"/>
              </w:rPr>
              <w:t>废水达标排放分析</w:t>
            </w:r>
          </w:p>
          <w:p>
            <w:pPr>
              <w:pStyle w:val="25"/>
              <w:snapToGrid w:val="0"/>
              <w:spacing w:line="360" w:lineRule="auto"/>
              <w:ind w:firstLine="480" w:firstLineChars="200"/>
              <w:jc w:val="both"/>
              <w:rPr>
                <w:rFonts w:hint="eastAsia"/>
                <w:color w:val="auto"/>
              </w:rPr>
            </w:pPr>
            <w:r>
              <w:rPr>
                <w:rFonts w:hint="eastAsia"/>
                <w:color w:val="auto"/>
              </w:rPr>
              <w:t>项目</w:t>
            </w:r>
            <w:r>
              <w:rPr>
                <w:bCs/>
                <w:color w:val="auto"/>
              </w:rPr>
              <w:t>生活</w:t>
            </w:r>
            <w:r>
              <w:rPr>
                <w:rFonts w:hint="eastAsia"/>
                <w:bCs/>
                <w:color w:val="auto"/>
              </w:rPr>
              <w:t>污水经化粪池预处理后排入市政污水管网，进入</w:t>
            </w:r>
            <w:r>
              <w:rPr>
                <w:rFonts w:hint="eastAsia"/>
                <w:bCs/>
                <w:lang w:eastAsia="zh-CN"/>
              </w:rPr>
              <w:t>舒城经济开发区</w:t>
            </w:r>
            <w:r>
              <w:rPr>
                <w:rFonts w:hint="eastAsia"/>
                <w:bCs/>
              </w:rPr>
              <w:t>污水处理厂处理后达标排放</w:t>
            </w:r>
            <w:r>
              <w:rPr>
                <w:rFonts w:hint="eastAsia"/>
                <w:bCs/>
                <w:color w:val="auto"/>
              </w:rPr>
              <w:t>。</w:t>
            </w:r>
            <w:r>
              <w:t>废水</w:t>
            </w:r>
            <w:r>
              <w:rPr>
                <w:rFonts w:hint="eastAsia"/>
                <w:lang w:eastAsia="zh-CN"/>
              </w:rPr>
              <w:t>经</w:t>
            </w:r>
            <w:r>
              <w:t>处理</w:t>
            </w:r>
            <w:r>
              <w:rPr>
                <w:bCs/>
              </w:rPr>
              <w:t>后</w:t>
            </w:r>
            <w:r>
              <w:rPr>
                <w:rFonts w:hint="eastAsia"/>
                <w:bCs/>
                <w:lang w:eastAsia="zh-CN"/>
              </w:rPr>
              <w:t>，主要污染物</w:t>
            </w:r>
            <w:r>
              <w:rPr>
                <w:rFonts w:hint="default" w:ascii="Times New Roman" w:hAnsi="Times New Roman" w:eastAsia="宋体" w:cs="Times New Roman"/>
                <w:sz w:val="24"/>
                <w:szCs w:val="24"/>
              </w:rPr>
              <w:t>COD</w:t>
            </w:r>
            <w:r>
              <w:rPr>
                <w:rFonts w:hint="eastAsia" w:cs="Times New Roman"/>
                <w:sz w:val="24"/>
                <w:szCs w:val="24"/>
                <w:lang w:eastAsia="zh-CN"/>
              </w:rPr>
              <w:t>为</w:t>
            </w:r>
            <w:r>
              <w:rPr>
                <w:rFonts w:hint="eastAsia" w:cs="Times New Roman"/>
                <w:sz w:val="24"/>
                <w:szCs w:val="24"/>
                <w:lang w:val="en-US" w:eastAsia="zh-CN"/>
              </w:rPr>
              <w:t>300mg/L</w:t>
            </w:r>
            <w:r>
              <w:rPr>
                <w:rFonts w:hint="default" w:ascii="Times New Roman" w:hAnsi="Times New Roman" w:eastAsia="宋体" w:cs="Times New Roman"/>
                <w:sz w:val="24"/>
                <w:szCs w:val="24"/>
              </w:rPr>
              <w:t>、BOD</w:t>
            </w:r>
            <w:r>
              <w:rPr>
                <w:rFonts w:hint="default" w:ascii="Times New Roman" w:hAnsi="Times New Roman" w:eastAsia="宋体" w:cs="Times New Roman"/>
                <w:sz w:val="24"/>
                <w:szCs w:val="24"/>
                <w:vertAlign w:val="subscript"/>
              </w:rPr>
              <w:t>5</w:t>
            </w:r>
            <w:r>
              <w:rPr>
                <w:rFonts w:hint="eastAsia" w:cs="Times New Roman"/>
                <w:sz w:val="24"/>
                <w:szCs w:val="24"/>
                <w:lang w:eastAsia="zh-CN"/>
              </w:rPr>
              <w:t>为</w:t>
            </w:r>
            <w:r>
              <w:rPr>
                <w:rFonts w:hint="eastAsia" w:cs="Times New Roman"/>
                <w:sz w:val="24"/>
                <w:szCs w:val="24"/>
                <w:lang w:val="en-US" w:eastAsia="zh-CN"/>
              </w:rPr>
              <w:t>180mg/L</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r>
              <w:rPr>
                <w:rFonts w:hint="eastAsia" w:cs="Times New Roman"/>
                <w:sz w:val="24"/>
                <w:szCs w:val="24"/>
                <w:lang w:eastAsia="zh-CN"/>
              </w:rPr>
              <w:t>为</w:t>
            </w:r>
            <w:r>
              <w:rPr>
                <w:rFonts w:hint="eastAsia" w:cs="Times New Roman"/>
                <w:sz w:val="24"/>
                <w:szCs w:val="24"/>
                <w:lang w:val="en-US" w:eastAsia="zh-CN"/>
              </w:rPr>
              <w:t>25mg/L</w:t>
            </w:r>
            <w:r>
              <w:rPr>
                <w:rFonts w:hint="default" w:ascii="Times New Roman" w:hAnsi="Times New Roman" w:eastAsia="宋体" w:cs="Times New Roman"/>
                <w:sz w:val="24"/>
                <w:szCs w:val="24"/>
              </w:rPr>
              <w:t>、SS</w:t>
            </w:r>
            <w:r>
              <w:rPr>
                <w:rFonts w:hint="eastAsia" w:cs="Times New Roman"/>
                <w:sz w:val="24"/>
                <w:szCs w:val="24"/>
                <w:lang w:eastAsia="zh-CN"/>
              </w:rPr>
              <w:t>为</w:t>
            </w:r>
            <w:r>
              <w:rPr>
                <w:rFonts w:hint="eastAsia" w:cs="Times New Roman"/>
                <w:sz w:val="24"/>
                <w:szCs w:val="24"/>
                <w:lang w:val="en-US" w:eastAsia="zh-CN"/>
              </w:rPr>
              <w:t>140mg/L</w:t>
            </w:r>
            <w:r>
              <w:rPr>
                <w:rFonts w:hint="eastAsia" w:ascii="Times New Roman" w:hAnsi="Times New Roman" w:eastAsia="宋体" w:cs="Times New Roman"/>
                <w:sz w:val="24"/>
                <w:szCs w:val="24"/>
                <w:lang w:eastAsia="zh-CN"/>
              </w:rPr>
              <w:t>、</w:t>
            </w:r>
            <w:r>
              <w:rPr>
                <w:rFonts w:hint="eastAsia" w:cs="Times New Roman"/>
                <w:sz w:val="24"/>
                <w:szCs w:val="24"/>
                <w:lang w:val="en-US" w:eastAsia="zh-CN"/>
              </w:rPr>
              <w:t>TP</w:t>
            </w:r>
            <w:r>
              <w:rPr>
                <w:rFonts w:hint="eastAsia" w:cs="Times New Roman"/>
                <w:sz w:val="24"/>
                <w:szCs w:val="24"/>
                <w:lang w:eastAsia="zh-CN"/>
              </w:rPr>
              <w:t>为</w:t>
            </w:r>
            <w:r>
              <w:rPr>
                <w:rFonts w:hint="eastAsia" w:cs="Times New Roman"/>
                <w:sz w:val="24"/>
                <w:szCs w:val="24"/>
                <w:lang w:val="en-US" w:eastAsia="zh-CN"/>
              </w:rPr>
              <w:t>3mg/L,均能</w:t>
            </w:r>
            <w:r>
              <w:rPr>
                <w:rFonts w:hint="eastAsia"/>
                <w:lang w:eastAsia="zh-CN"/>
              </w:rPr>
              <w:t>达到</w:t>
            </w:r>
            <w:r>
              <w:rPr>
                <w:snapToGrid w:val="0"/>
              </w:rPr>
              <w:t>《污水综合排放标准》（GB8978-1996）三级标准</w:t>
            </w:r>
            <w:r>
              <w:rPr>
                <w:rFonts w:hint="eastAsia"/>
                <w:lang w:eastAsia="zh-CN"/>
              </w:rPr>
              <w:t>，同时满足</w:t>
            </w:r>
            <w:r>
              <w:rPr>
                <w:rFonts w:hint="default" w:ascii="Times New Roman" w:hAnsi="Times New Roman" w:eastAsia="宋体" w:cs="Times New Roman"/>
                <w:color w:val="000000"/>
                <w:sz w:val="24"/>
              </w:rPr>
              <w:t>开发区污水处理厂</w:t>
            </w:r>
            <w:r>
              <w:rPr>
                <w:bCs/>
              </w:rPr>
              <w:t>接管</w:t>
            </w:r>
            <w:r>
              <w:rPr>
                <w:rFonts w:hint="eastAsia"/>
                <w:bCs/>
                <w:lang w:eastAsia="zh-CN"/>
              </w:rPr>
              <w:t>限值</w:t>
            </w:r>
            <w:r>
              <w:rPr>
                <w:bCs/>
              </w:rPr>
              <w:t>要求</w:t>
            </w:r>
            <w:r>
              <w:rPr>
                <w:rFonts w:hint="eastAsia"/>
                <w:bCs/>
              </w:rPr>
              <w:t>。</w:t>
            </w:r>
            <w:r>
              <w:t>项目所排放的废水对区域</w:t>
            </w:r>
            <w:r>
              <w:rPr>
                <w:rFonts w:hint="eastAsia"/>
              </w:rPr>
              <w:t>地表</w:t>
            </w:r>
            <w:r>
              <w:t>水环境影响</w:t>
            </w:r>
            <w:r>
              <w:rPr>
                <w:rFonts w:hint="eastAsia"/>
              </w:rPr>
              <w:t>在可接受范围内</w:t>
            </w:r>
            <w:r>
              <w:rPr>
                <w:rFonts w:hint="eastAsia"/>
                <w:color w:val="auto"/>
              </w:rPr>
              <w:t>。</w:t>
            </w:r>
          </w:p>
          <w:p>
            <w:pPr>
              <w:pStyle w:val="25"/>
              <w:snapToGrid w:val="0"/>
              <w:spacing w:line="360" w:lineRule="auto"/>
              <w:ind w:firstLine="482" w:firstLineChars="200"/>
              <w:jc w:val="both"/>
              <w:rPr>
                <w:b/>
                <w:bCs/>
                <w:color w:val="auto"/>
                <w:kern w:val="2"/>
              </w:rPr>
            </w:pPr>
            <w:r>
              <w:rPr>
                <w:rFonts w:hint="eastAsia"/>
                <w:b/>
                <w:bCs/>
                <w:color w:val="auto"/>
                <w:kern w:val="2"/>
                <w:lang w:eastAsia="zh-CN"/>
              </w:rPr>
              <w:t>（三）</w:t>
            </w:r>
            <w:r>
              <w:rPr>
                <w:b/>
                <w:bCs/>
                <w:color w:val="auto"/>
                <w:kern w:val="2"/>
              </w:rPr>
              <w:t>噪声</w:t>
            </w:r>
          </w:p>
          <w:p>
            <w:pPr>
              <w:widowControl/>
              <w:spacing w:line="360" w:lineRule="auto"/>
              <w:ind w:firstLine="480" w:firstLineChars="200"/>
              <w:jc w:val="left"/>
              <w:textAlignment w:val="center"/>
              <w:rPr>
                <w:rFonts w:hint="eastAsia"/>
                <w:b/>
                <w:bCs/>
                <w:color w:val="auto"/>
                <w:sz w:val="24"/>
              </w:rPr>
            </w:pPr>
            <w:r>
              <w:rPr>
                <w:rFonts w:hint="eastAsia"/>
                <w:color w:val="auto"/>
                <w:sz w:val="24"/>
              </w:rPr>
              <w:t>项目噪声主要来源于</w:t>
            </w:r>
            <w:r>
              <w:rPr>
                <w:rFonts w:hint="eastAsia" w:ascii="宋体" w:hAnsi="宋体" w:cs="宋体"/>
                <w:color w:val="auto"/>
                <w:kern w:val="0"/>
                <w:sz w:val="24"/>
                <w:lang w:eastAsia="zh-CN" w:bidi="ar"/>
              </w:rPr>
              <w:t>注塑机、吹塑机、冷水机</w:t>
            </w:r>
            <w:r>
              <w:rPr>
                <w:rFonts w:hint="eastAsia"/>
                <w:color w:val="auto"/>
                <w:sz w:val="24"/>
              </w:rPr>
              <w:t>等设备运行时产生的机械噪声，声源强度值为70~8</w:t>
            </w:r>
            <w:r>
              <w:rPr>
                <w:rFonts w:hint="eastAsia"/>
                <w:color w:val="auto"/>
                <w:sz w:val="24"/>
                <w:lang w:val="en-US" w:eastAsia="zh-CN"/>
              </w:rPr>
              <w:t>5</w:t>
            </w:r>
            <w:r>
              <w:rPr>
                <w:rFonts w:hint="eastAsia"/>
                <w:color w:val="auto"/>
                <w:sz w:val="24"/>
              </w:rPr>
              <w:t>dB（A），高噪声设备及其噪声源强见下表。</w:t>
            </w:r>
          </w:p>
          <w:p>
            <w:pPr>
              <w:spacing w:line="360" w:lineRule="auto"/>
              <w:jc w:val="center"/>
              <w:rPr>
                <w:rFonts w:hAnsi="宋体"/>
                <w:b/>
                <w:color w:val="auto"/>
                <w:sz w:val="24"/>
              </w:rPr>
            </w:pPr>
            <w:r>
              <w:rPr>
                <w:rFonts w:hAnsi="宋体"/>
                <w:b/>
                <w:color w:val="auto"/>
                <w:sz w:val="24"/>
              </w:rPr>
              <w:t>表</w:t>
            </w:r>
            <w:r>
              <w:rPr>
                <w:rFonts w:hint="eastAsia" w:hAnsi="宋体"/>
                <w:b/>
                <w:color w:val="auto"/>
                <w:sz w:val="24"/>
              </w:rPr>
              <w:t>4</w:t>
            </w:r>
            <w:r>
              <w:rPr>
                <w:b/>
                <w:color w:val="auto"/>
                <w:sz w:val="24"/>
              </w:rPr>
              <w:t>-</w:t>
            </w:r>
            <w:r>
              <w:rPr>
                <w:rFonts w:hint="eastAsia"/>
                <w:b/>
                <w:color w:val="auto"/>
                <w:sz w:val="24"/>
                <w:lang w:val="en-US" w:eastAsia="zh-CN"/>
              </w:rPr>
              <w:t>10</w:t>
            </w:r>
            <w:r>
              <w:rPr>
                <w:b/>
                <w:color w:val="auto"/>
                <w:sz w:val="24"/>
              </w:rPr>
              <w:t xml:space="preserve">  </w:t>
            </w:r>
            <w:r>
              <w:rPr>
                <w:rFonts w:hint="eastAsia"/>
                <w:b/>
                <w:color w:val="auto"/>
                <w:sz w:val="24"/>
              </w:rPr>
              <w:t>主要高噪声设备</w:t>
            </w:r>
            <w:r>
              <w:rPr>
                <w:rFonts w:hint="eastAsia" w:hAnsi="宋体"/>
                <w:b/>
                <w:color w:val="auto"/>
                <w:sz w:val="24"/>
              </w:rPr>
              <w:t>噪声源强</w:t>
            </w:r>
          </w:p>
          <w:tbl>
            <w:tblPr>
              <w:tblStyle w:val="19"/>
              <w:tblW w:w="79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28"/>
              <w:gridCol w:w="2439"/>
              <w:gridCol w:w="1481"/>
              <w:gridCol w:w="1687"/>
              <w:gridCol w:w="14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8" w:type="dxa"/>
                  <w:tcBorders>
                    <w:top w:val="single" w:color="auto" w:sz="12" w:space="0"/>
                  </w:tcBorders>
                  <w:noWrap w:val="0"/>
                  <w:vAlign w:val="center"/>
                </w:tcPr>
                <w:p>
                  <w:pPr>
                    <w:jc w:val="center"/>
                    <w:rPr>
                      <w:b/>
                      <w:color w:val="auto"/>
                      <w:szCs w:val="21"/>
                    </w:rPr>
                  </w:pPr>
                  <w:r>
                    <w:rPr>
                      <w:rFonts w:hint="eastAsia"/>
                      <w:b/>
                      <w:color w:val="auto"/>
                      <w:szCs w:val="21"/>
                    </w:rPr>
                    <w:t>序号</w:t>
                  </w:r>
                </w:p>
              </w:tc>
              <w:tc>
                <w:tcPr>
                  <w:tcW w:w="2439" w:type="dxa"/>
                  <w:tcBorders>
                    <w:top w:val="single" w:color="auto" w:sz="12" w:space="0"/>
                  </w:tcBorders>
                  <w:noWrap w:val="0"/>
                  <w:vAlign w:val="center"/>
                </w:tcPr>
                <w:p>
                  <w:pPr>
                    <w:jc w:val="center"/>
                    <w:rPr>
                      <w:b/>
                      <w:color w:val="auto"/>
                      <w:szCs w:val="21"/>
                    </w:rPr>
                  </w:pPr>
                  <w:r>
                    <w:rPr>
                      <w:rFonts w:hint="eastAsia"/>
                      <w:b/>
                      <w:color w:val="auto"/>
                      <w:szCs w:val="21"/>
                    </w:rPr>
                    <w:t>设备名称</w:t>
                  </w:r>
                </w:p>
              </w:tc>
              <w:tc>
                <w:tcPr>
                  <w:tcW w:w="1481" w:type="dxa"/>
                  <w:tcBorders>
                    <w:top w:val="single" w:color="auto" w:sz="12" w:space="0"/>
                  </w:tcBorders>
                  <w:noWrap w:val="0"/>
                  <w:vAlign w:val="center"/>
                </w:tcPr>
                <w:p>
                  <w:pPr>
                    <w:jc w:val="center"/>
                    <w:rPr>
                      <w:b/>
                      <w:color w:val="auto"/>
                      <w:szCs w:val="21"/>
                    </w:rPr>
                  </w:pPr>
                  <w:r>
                    <w:rPr>
                      <w:rFonts w:hint="eastAsia"/>
                      <w:b/>
                      <w:color w:val="auto"/>
                      <w:szCs w:val="21"/>
                    </w:rPr>
                    <w:t>数量（台</w:t>
                  </w:r>
                  <w:r>
                    <w:rPr>
                      <w:b/>
                      <w:color w:val="auto"/>
                      <w:szCs w:val="21"/>
                    </w:rPr>
                    <w:t>/</w:t>
                  </w:r>
                  <w:r>
                    <w:rPr>
                      <w:rFonts w:hint="eastAsia"/>
                      <w:b/>
                      <w:color w:val="auto"/>
                      <w:szCs w:val="21"/>
                    </w:rPr>
                    <w:t>套）</w:t>
                  </w:r>
                </w:p>
              </w:tc>
              <w:tc>
                <w:tcPr>
                  <w:tcW w:w="1687" w:type="dxa"/>
                  <w:tcBorders>
                    <w:top w:val="single" w:color="auto" w:sz="12" w:space="0"/>
                  </w:tcBorders>
                  <w:noWrap w:val="0"/>
                  <w:vAlign w:val="center"/>
                </w:tcPr>
                <w:p>
                  <w:pPr>
                    <w:jc w:val="center"/>
                    <w:rPr>
                      <w:b/>
                      <w:color w:val="auto"/>
                      <w:szCs w:val="21"/>
                    </w:rPr>
                  </w:pPr>
                  <w:r>
                    <w:rPr>
                      <w:rFonts w:hint="eastAsia"/>
                      <w:b/>
                      <w:color w:val="auto"/>
                      <w:szCs w:val="21"/>
                    </w:rPr>
                    <w:t>单台设备噪声值</w:t>
                  </w:r>
                  <w:r>
                    <w:rPr>
                      <w:b/>
                      <w:color w:val="auto"/>
                      <w:szCs w:val="21"/>
                    </w:rPr>
                    <w:t>dB(A)</w:t>
                  </w:r>
                </w:p>
              </w:tc>
              <w:tc>
                <w:tcPr>
                  <w:tcW w:w="1402" w:type="dxa"/>
                  <w:tcBorders>
                    <w:top w:val="single" w:color="auto" w:sz="12" w:space="0"/>
                  </w:tcBorders>
                  <w:noWrap w:val="0"/>
                  <w:vAlign w:val="center"/>
                </w:tcPr>
                <w:p>
                  <w:pPr>
                    <w:jc w:val="center"/>
                    <w:rPr>
                      <w:b/>
                      <w:color w:val="auto"/>
                      <w:szCs w:val="21"/>
                    </w:rPr>
                  </w:pPr>
                  <w:r>
                    <w:rPr>
                      <w:rFonts w:hint="eastAsia"/>
                      <w:b/>
                      <w:color w:val="auto"/>
                      <w:szCs w:val="21"/>
                    </w:rPr>
                    <w:t>拟采取的降噪措施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8" w:type="dxa"/>
                  <w:noWrap w:val="0"/>
                  <w:vAlign w:val="center"/>
                </w:tcPr>
                <w:p>
                  <w:pPr>
                    <w:adjustRightInd w:val="0"/>
                    <w:snapToGrid w:val="0"/>
                    <w:jc w:val="center"/>
                    <w:rPr>
                      <w:color w:val="auto"/>
                      <w:szCs w:val="21"/>
                    </w:rPr>
                  </w:pPr>
                  <w:r>
                    <w:rPr>
                      <w:rFonts w:hint="eastAsia"/>
                      <w:color w:val="auto"/>
                      <w:szCs w:val="21"/>
                    </w:rPr>
                    <w:t>1</w:t>
                  </w:r>
                </w:p>
              </w:tc>
              <w:tc>
                <w:tcPr>
                  <w:tcW w:w="2439" w:type="dxa"/>
                  <w:noWrap w:val="0"/>
                  <w:vAlign w:val="center"/>
                </w:tcPr>
                <w:p>
                  <w:pPr>
                    <w:jc w:val="center"/>
                    <w:rPr>
                      <w:bCs/>
                      <w:color w:val="auto"/>
                      <w:szCs w:val="21"/>
                    </w:rPr>
                  </w:pPr>
                  <w:r>
                    <w:rPr>
                      <w:rFonts w:hAnsi="宋体"/>
                      <w:color w:val="000000"/>
                      <w:spacing w:val="6"/>
                      <w:szCs w:val="21"/>
                    </w:rPr>
                    <w:t>注塑机</w:t>
                  </w:r>
                </w:p>
              </w:tc>
              <w:tc>
                <w:tcPr>
                  <w:tcW w:w="1481" w:type="dxa"/>
                  <w:noWrap w:val="0"/>
                  <w:vAlign w:val="center"/>
                </w:tcPr>
                <w:p>
                  <w:pPr>
                    <w:jc w:val="center"/>
                    <w:rPr>
                      <w:rFonts w:hint="default"/>
                      <w:color w:val="auto"/>
                      <w:lang w:val="en-US" w:eastAsia="zh-CN"/>
                    </w:rPr>
                  </w:pPr>
                  <w:r>
                    <w:rPr>
                      <w:rFonts w:hint="eastAsia"/>
                      <w:color w:val="auto"/>
                      <w:lang w:val="en-US" w:eastAsia="zh-CN"/>
                    </w:rPr>
                    <w:t>35</w:t>
                  </w:r>
                </w:p>
              </w:tc>
              <w:tc>
                <w:tcPr>
                  <w:tcW w:w="1687" w:type="dxa"/>
                  <w:noWrap w:val="0"/>
                  <w:vAlign w:val="center"/>
                </w:tcPr>
                <w:p>
                  <w:pPr>
                    <w:adjustRightInd w:val="0"/>
                    <w:snapToGrid w:val="0"/>
                    <w:jc w:val="center"/>
                    <w:rPr>
                      <w:rFonts w:hint="default"/>
                      <w:color w:val="auto"/>
                      <w:lang w:val="en-US" w:eastAsia="zh-CN"/>
                    </w:rPr>
                  </w:pPr>
                  <w:r>
                    <w:rPr>
                      <w:rFonts w:hint="eastAsia"/>
                      <w:color w:val="auto"/>
                      <w:lang w:val="en-US" w:eastAsia="zh-CN"/>
                    </w:rPr>
                    <w:t>80</w:t>
                  </w:r>
                </w:p>
              </w:tc>
              <w:tc>
                <w:tcPr>
                  <w:tcW w:w="1402" w:type="dxa"/>
                  <w:vMerge w:val="restart"/>
                  <w:noWrap w:val="0"/>
                  <w:vAlign w:val="center"/>
                </w:tcPr>
                <w:p>
                  <w:pPr>
                    <w:rPr>
                      <w:rFonts w:hint="eastAsia"/>
                      <w:color w:val="auto"/>
                      <w:szCs w:val="21"/>
                    </w:rPr>
                  </w:pPr>
                </w:p>
                <w:p>
                  <w:pPr>
                    <w:jc w:val="center"/>
                    <w:rPr>
                      <w:color w:val="auto"/>
                      <w:szCs w:val="21"/>
                    </w:rPr>
                  </w:pPr>
                  <w:r>
                    <w:rPr>
                      <w:rFonts w:hint="eastAsia"/>
                      <w:color w:val="auto"/>
                      <w:szCs w:val="21"/>
                    </w:rPr>
                    <w:t>建筑隔声、设备减振等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8" w:type="dxa"/>
                  <w:noWrap w:val="0"/>
                  <w:vAlign w:val="center"/>
                </w:tcPr>
                <w:p>
                  <w:pPr>
                    <w:adjustRightInd w:val="0"/>
                    <w:snapToGrid w:val="0"/>
                    <w:jc w:val="center"/>
                    <w:rPr>
                      <w:color w:val="auto"/>
                      <w:szCs w:val="21"/>
                    </w:rPr>
                  </w:pPr>
                  <w:r>
                    <w:rPr>
                      <w:rFonts w:hint="eastAsia"/>
                      <w:color w:val="auto"/>
                      <w:szCs w:val="21"/>
                    </w:rPr>
                    <w:t>2</w:t>
                  </w:r>
                </w:p>
              </w:tc>
              <w:tc>
                <w:tcPr>
                  <w:tcW w:w="2439" w:type="dxa"/>
                  <w:noWrap w:val="0"/>
                  <w:vAlign w:val="center"/>
                </w:tcPr>
                <w:p>
                  <w:pPr>
                    <w:jc w:val="center"/>
                    <w:rPr>
                      <w:bCs/>
                      <w:color w:val="auto"/>
                      <w:szCs w:val="21"/>
                    </w:rPr>
                  </w:pPr>
                  <w:r>
                    <w:rPr>
                      <w:rFonts w:hint="eastAsia" w:hAnsi="宋体"/>
                      <w:color w:val="000000"/>
                      <w:spacing w:val="6"/>
                      <w:szCs w:val="21"/>
                      <w:lang w:eastAsia="zh-CN"/>
                    </w:rPr>
                    <w:t>冷却塔和冷却水池</w:t>
                  </w:r>
                </w:p>
              </w:tc>
              <w:tc>
                <w:tcPr>
                  <w:tcW w:w="1481" w:type="dxa"/>
                  <w:noWrap w:val="0"/>
                  <w:vAlign w:val="center"/>
                </w:tcPr>
                <w:p>
                  <w:pPr>
                    <w:jc w:val="center"/>
                    <w:rPr>
                      <w:rFonts w:hint="default"/>
                      <w:color w:val="auto"/>
                      <w:lang w:val="en-US" w:eastAsia="zh-CN"/>
                    </w:rPr>
                  </w:pPr>
                  <w:r>
                    <w:rPr>
                      <w:rFonts w:hint="eastAsia"/>
                      <w:color w:val="auto"/>
                      <w:lang w:val="en-US" w:eastAsia="zh-CN"/>
                    </w:rPr>
                    <w:t>2</w:t>
                  </w:r>
                </w:p>
              </w:tc>
              <w:tc>
                <w:tcPr>
                  <w:tcW w:w="1687" w:type="dxa"/>
                  <w:noWrap w:val="0"/>
                  <w:vAlign w:val="center"/>
                </w:tcPr>
                <w:p>
                  <w:pPr>
                    <w:adjustRightInd w:val="0"/>
                    <w:snapToGrid w:val="0"/>
                    <w:jc w:val="center"/>
                    <w:rPr>
                      <w:rFonts w:hint="default"/>
                      <w:color w:val="auto"/>
                      <w:lang w:val="en-US" w:eastAsia="zh-CN"/>
                    </w:rPr>
                  </w:pPr>
                  <w:r>
                    <w:rPr>
                      <w:rFonts w:hint="eastAsia"/>
                      <w:color w:val="auto"/>
                      <w:lang w:val="en-US" w:eastAsia="zh-CN"/>
                    </w:rPr>
                    <w:t>80</w:t>
                  </w:r>
                </w:p>
              </w:tc>
              <w:tc>
                <w:tcPr>
                  <w:tcW w:w="140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8" w:type="dxa"/>
                  <w:noWrap w:val="0"/>
                  <w:vAlign w:val="center"/>
                </w:tcPr>
                <w:p>
                  <w:pPr>
                    <w:adjustRightInd w:val="0"/>
                    <w:snapToGrid w:val="0"/>
                    <w:jc w:val="center"/>
                    <w:rPr>
                      <w:rFonts w:hint="eastAsia"/>
                      <w:color w:val="auto"/>
                      <w:szCs w:val="21"/>
                    </w:rPr>
                  </w:pPr>
                  <w:r>
                    <w:rPr>
                      <w:rFonts w:hint="eastAsia"/>
                      <w:color w:val="auto"/>
                      <w:szCs w:val="21"/>
                    </w:rPr>
                    <w:t>3</w:t>
                  </w:r>
                </w:p>
              </w:tc>
              <w:tc>
                <w:tcPr>
                  <w:tcW w:w="2439" w:type="dxa"/>
                  <w:noWrap w:val="0"/>
                  <w:vAlign w:val="center"/>
                </w:tcPr>
                <w:p>
                  <w:pPr>
                    <w:jc w:val="center"/>
                    <w:rPr>
                      <w:rFonts w:hint="eastAsia" w:eastAsia="宋体"/>
                      <w:bCs/>
                      <w:color w:val="auto"/>
                      <w:szCs w:val="21"/>
                      <w:lang w:eastAsia="zh-CN"/>
                    </w:rPr>
                  </w:pPr>
                  <w:r>
                    <w:rPr>
                      <w:rFonts w:hint="eastAsia" w:hAnsi="宋体"/>
                      <w:color w:val="000000"/>
                      <w:spacing w:val="6"/>
                      <w:szCs w:val="21"/>
                      <w:lang w:eastAsia="zh-CN"/>
                    </w:rPr>
                    <w:t>空压机</w:t>
                  </w:r>
                </w:p>
              </w:tc>
              <w:tc>
                <w:tcPr>
                  <w:tcW w:w="1481" w:type="dxa"/>
                  <w:noWrap w:val="0"/>
                  <w:vAlign w:val="center"/>
                </w:tcPr>
                <w:p>
                  <w:pPr>
                    <w:jc w:val="center"/>
                    <w:rPr>
                      <w:rFonts w:hint="default"/>
                      <w:color w:val="auto"/>
                      <w:lang w:val="en-US" w:eastAsia="zh-CN"/>
                    </w:rPr>
                  </w:pPr>
                  <w:r>
                    <w:rPr>
                      <w:rFonts w:hint="eastAsia"/>
                      <w:color w:val="auto"/>
                      <w:lang w:val="en-US" w:eastAsia="zh-CN"/>
                    </w:rPr>
                    <w:t>2</w:t>
                  </w:r>
                </w:p>
              </w:tc>
              <w:tc>
                <w:tcPr>
                  <w:tcW w:w="1687" w:type="dxa"/>
                  <w:noWrap w:val="0"/>
                  <w:vAlign w:val="center"/>
                </w:tcPr>
                <w:p>
                  <w:pPr>
                    <w:adjustRightInd w:val="0"/>
                    <w:snapToGrid w:val="0"/>
                    <w:jc w:val="center"/>
                    <w:rPr>
                      <w:rFonts w:hint="default"/>
                      <w:color w:val="auto"/>
                      <w:lang w:val="en-US" w:eastAsia="zh-CN"/>
                    </w:rPr>
                  </w:pPr>
                  <w:r>
                    <w:rPr>
                      <w:rFonts w:hint="eastAsia"/>
                      <w:color w:val="auto"/>
                      <w:lang w:val="en-US" w:eastAsia="zh-CN"/>
                    </w:rPr>
                    <w:t>87</w:t>
                  </w:r>
                </w:p>
              </w:tc>
              <w:tc>
                <w:tcPr>
                  <w:tcW w:w="140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8" w:type="dxa"/>
                  <w:noWrap w:val="0"/>
                  <w:vAlign w:val="center"/>
                </w:tcPr>
                <w:p>
                  <w:pPr>
                    <w:adjustRightInd w:val="0"/>
                    <w:snapToGrid w:val="0"/>
                    <w:jc w:val="center"/>
                    <w:rPr>
                      <w:color w:val="auto"/>
                      <w:szCs w:val="21"/>
                    </w:rPr>
                  </w:pPr>
                  <w:r>
                    <w:rPr>
                      <w:rFonts w:hint="eastAsia"/>
                      <w:color w:val="auto"/>
                      <w:szCs w:val="21"/>
                    </w:rPr>
                    <w:t>4</w:t>
                  </w:r>
                </w:p>
              </w:tc>
              <w:tc>
                <w:tcPr>
                  <w:tcW w:w="2439" w:type="dxa"/>
                  <w:noWrap w:val="0"/>
                  <w:vAlign w:val="center"/>
                </w:tcPr>
                <w:p>
                  <w:pPr>
                    <w:jc w:val="center"/>
                    <w:rPr>
                      <w:bCs/>
                      <w:color w:val="auto"/>
                      <w:szCs w:val="21"/>
                    </w:rPr>
                  </w:pPr>
                  <w:r>
                    <w:rPr>
                      <w:rFonts w:hint="eastAsia" w:hAnsi="宋体"/>
                      <w:color w:val="000000"/>
                      <w:spacing w:val="6"/>
                      <w:szCs w:val="21"/>
                      <w:lang w:eastAsia="zh-CN"/>
                    </w:rPr>
                    <w:t>吹塑</w:t>
                  </w:r>
                  <w:r>
                    <w:rPr>
                      <w:rFonts w:hAnsi="宋体"/>
                      <w:color w:val="000000"/>
                      <w:spacing w:val="6"/>
                      <w:szCs w:val="21"/>
                    </w:rPr>
                    <w:t>机</w:t>
                  </w:r>
                </w:p>
              </w:tc>
              <w:tc>
                <w:tcPr>
                  <w:tcW w:w="1481" w:type="dxa"/>
                  <w:noWrap w:val="0"/>
                  <w:vAlign w:val="center"/>
                </w:tcPr>
                <w:p>
                  <w:pPr>
                    <w:jc w:val="center"/>
                    <w:rPr>
                      <w:rFonts w:hint="default"/>
                      <w:color w:val="auto"/>
                      <w:lang w:val="en-US" w:eastAsia="zh-CN"/>
                    </w:rPr>
                  </w:pPr>
                  <w:r>
                    <w:rPr>
                      <w:rFonts w:hint="eastAsia"/>
                      <w:color w:val="auto"/>
                      <w:lang w:val="en-US" w:eastAsia="zh-CN"/>
                    </w:rPr>
                    <w:t>15</w:t>
                  </w:r>
                </w:p>
              </w:tc>
              <w:tc>
                <w:tcPr>
                  <w:tcW w:w="1687" w:type="dxa"/>
                  <w:noWrap w:val="0"/>
                  <w:vAlign w:val="center"/>
                </w:tcPr>
                <w:p>
                  <w:pPr>
                    <w:adjustRightInd w:val="0"/>
                    <w:snapToGrid w:val="0"/>
                    <w:jc w:val="center"/>
                    <w:rPr>
                      <w:rFonts w:hint="default" w:eastAsia="宋体"/>
                      <w:color w:val="auto"/>
                      <w:szCs w:val="21"/>
                      <w:lang w:val="en-US" w:eastAsia="zh-CN"/>
                    </w:rPr>
                  </w:pPr>
                  <w:r>
                    <w:rPr>
                      <w:rFonts w:hint="eastAsia"/>
                      <w:color w:val="auto"/>
                      <w:lang w:val="en-US" w:eastAsia="zh-CN"/>
                    </w:rPr>
                    <w:t>80</w:t>
                  </w:r>
                </w:p>
              </w:tc>
              <w:tc>
                <w:tcPr>
                  <w:tcW w:w="140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28" w:type="dxa"/>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5</w:t>
                  </w:r>
                </w:p>
              </w:tc>
              <w:tc>
                <w:tcPr>
                  <w:tcW w:w="2439" w:type="dxa"/>
                  <w:noWrap w:val="0"/>
                  <w:vAlign w:val="center"/>
                </w:tcPr>
                <w:p>
                  <w:pPr>
                    <w:jc w:val="center"/>
                    <w:rPr>
                      <w:rFonts w:hint="eastAsia" w:hAnsi="宋体"/>
                      <w:color w:val="000000"/>
                      <w:spacing w:val="6"/>
                      <w:szCs w:val="21"/>
                      <w:lang w:eastAsia="zh-CN"/>
                    </w:rPr>
                  </w:pPr>
                  <w:r>
                    <w:rPr>
                      <w:rFonts w:hint="eastAsia" w:hAnsi="宋体"/>
                      <w:color w:val="000000"/>
                      <w:spacing w:val="6"/>
                      <w:szCs w:val="21"/>
                      <w:lang w:eastAsia="zh-CN"/>
                    </w:rPr>
                    <w:t>活性炭吸附装置的风机</w:t>
                  </w:r>
                </w:p>
              </w:tc>
              <w:tc>
                <w:tcPr>
                  <w:tcW w:w="1481" w:type="dxa"/>
                  <w:noWrap w:val="0"/>
                  <w:vAlign w:val="center"/>
                </w:tcPr>
                <w:p>
                  <w:pPr>
                    <w:jc w:val="center"/>
                    <w:rPr>
                      <w:rFonts w:hint="default"/>
                      <w:color w:val="auto"/>
                      <w:lang w:val="en-US" w:eastAsia="zh-CN"/>
                    </w:rPr>
                  </w:pPr>
                  <w:r>
                    <w:rPr>
                      <w:rFonts w:hint="eastAsia"/>
                      <w:color w:val="auto"/>
                      <w:lang w:val="en-US" w:eastAsia="zh-CN"/>
                    </w:rPr>
                    <w:t>2</w:t>
                  </w:r>
                </w:p>
              </w:tc>
              <w:tc>
                <w:tcPr>
                  <w:tcW w:w="1687" w:type="dxa"/>
                  <w:noWrap w:val="0"/>
                  <w:vAlign w:val="center"/>
                </w:tcPr>
                <w:p>
                  <w:pPr>
                    <w:adjustRightInd w:val="0"/>
                    <w:snapToGrid w:val="0"/>
                    <w:jc w:val="center"/>
                    <w:rPr>
                      <w:rFonts w:hint="default"/>
                      <w:color w:val="auto"/>
                      <w:lang w:val="en-US" w:eastAsia="zh-CN"/>
                    </w:rPr>
                  </w:pPr>
                  <w:r>
                    <w:rPr>
                      <w:rFonts w:hint="eastAsia"/>
                      <w:color w:val="auto"/>
                      <w:lang w:val="en-US" w:eastAsia="zh-CN"/>
                    </w:rPr>
                    <w:t>85</w:t>
                  </w:r>
                </w:p>
              </w:tc>
              <w:tc>
                <w:tcPr>
                  <w:tcW w:w="1402" w:type="dxa"/>
                  <w:vMerge w:val="continue"/>
                  <w:noWrap w:val="0"/>
                  <w:vAlign w:val="center"/>
                </w:tcPr>
                <w:p>
                  <w:pPr>
                    <w:jc w:val="center"/>
                    <w:rPr>
                      <w:color w:val="auto"/>
                      <w:szCs w:val="21"/>
                    </w:rPr>
                  </w:pPr>
                </w:p>
              </w:tc>
            </w:tr>
          </w:tbl>
          <w:p>
            <w:pPr>
              <w:adjustRightInd w:val="0"/>
              <w:snapToGrid w:val="0"/>
              <w:spacing w:before="120" w:beforeLines="50" w:line="360" w:lineRule="auto"/>
              <w:ind w:firstLine="482" w:firstLineChars="200"/>
              <w:rPr>
                <w:color w:val="auto"/>
                <w:sz w:val="24"/>
              </w:rPr>
            </w:pPr>
            <w:r>
              <w:rPr>
                <w:rFonts w:hint="eastAsia"/>
                <w:b/>
                <w:bCs/>
                <w:color w:val="auto"/>
                <w:sz w:val="24"/>
                <w:lang w:val="en-US" w:eastAsia="zh-CN"/>
              </w:rPr>
              <w:t>1、</w:t>
            </w:r>
            <w:r>
              <w:rPr>
                <w:rFonts w:hint="eastAsia"/>
                <w:b/>
                <w:bCs/>
                <w:color w:val="auto"/>
                <w:sz w:val="24"/>
              </w:rPr>
              <w:t>防治措施：</w:t>
            </w:r>
          </w:p>
          <w:p>
            <w:pPr>
              <w:adjustRightInd w:val="0"/>
              <w:snapToGrid w:val="0"/>
              <w:spacing w:line="348" w:lineRule="auto"/>
              <w:ind w:firstLine="480" w:firstLineChars="200"/>
              <w:rPr>
                <w:color w:val="auto"/>
                <w:sz w:val="24"/>
              </w:rPr>
            </w:pPr>
            <w:r>
              <w:rPr>
                <w:rFonts w:hint="eastAsia"/>
                <w:color w:val="auto"/>
                <w:sz w:val="24"/>
              </w:rPr>
              <w:t>（1）在进行设备采购中，应尽量选择低噪声设备；建筑上采取隔声措施，优先选用吸声性能较好的墙面材料</w:t>
            </w:r>
            <w:r>
              <w:rPr>
                <w:rFonts w:hint="eastAsia"/>
                <w:color w:val="auto"/>
                <w:sz w:val="24"/>
                <w:lang w:eastAsia="zh-CN"/>
              </w:rPr>
              <w:t>；</w:t>
            </w:r>
            <w:r>
              <w:rPr>
                <w:rFonts w:hint="eastAsia"/>
                <w:color w:val="auto"/>
                <w:sz w:val="24"/>
              </w:rPr>
              <w:t>在结构设计中采用减振平顶，减振内壁和减振地板等措施。</w:t>
            </w:r>
          </w:p>
          <w:p>
            <w:pPr>
              <w:adjustRightInd w:val="0"/>
              <w:snapToGrid w:val="0"/>
              <w:spacing w:line="348" w:lineRule="auto"/>
              <w:ind w:firstLine="480" w:firstLineChars="200"/>
              <w:rPr>
                <w:color w:val="auto"/>
                <w:sz w:val="24"/>
              </w:rPr>
            </w:pPr>
            <w:r>
              <w:rPr>
                <w:rFonts w:hint="eastAsia"/>
                <w:color w:val="auto"/>
                <w:sz w:val="24"/>
              </w:rPr>
              <w:t>（2）合理规划布局，将高噪声设备尽量安置在厂区中间位置以增加其距离衰减量，减少</w:t>
            </w:r>
            <w:r>
              <w:rPr>
                <w:rFonts w:hint="eastAsia"/>
                <w:color w:val="auto"/>
                <w:sz w:val="24"/>
                <w:lang w:eastAsia="zh-CN"/>
              </w:rPr>
              <w:t>噪声</w:t>
            </w:r>
            <w:r>
              <w:rPr>
                <w:rFonts w:hint="eastAsia"/>
                <w:color w:val="auto"/>
                <w:sz w:val="24"/>
              </w:rPr>
              <w:t>对周围环境的影响。</w:t>
            </w:r>
          </w:p>
          <w:p>
            <w:pPr>
              <w:adjustRightInd w:val="0"/>
              <w:snapToGrid w:val="0"/>
              <w:spacing w:line="348" w:lineRule="auto"/>
              <w:ind w:firstLine="480" w:firstLineChars="200"/>
              <w:rPr>
                <w:color w:val="auto"/>
                <w:sz w:val="24"/>
              </w:rPr>
            </w:pPr>
            <w:r>
              <w:rPr>
                <w:rFonts w:hint="eastAsia"/>
                <w:color w:val="auto"/>
                <w:sz w:val="24"/>
              </w:rPr>
              <w:t>（3）保证设备处于良好的运转状态，</w:t>
            </w:r>
            <w:r>
              <w:rPr>
                <w:rFonts w:hint="eastAsia"/>
                <w:color w:val="auto"/>
                <w:sz w:val="24"/>
                <w:lang w:eastAsia="zh-CN"/>
              </w:rPr>
              <w:t>活性炭吸附装置处风机采取软连接，隔声封闭或设置消声器，减轻噪声对周围环境的影响</w:t>
            </w:r>
            <w:r>
              <w:rPr>
                <w:rFonts w:hint="eastAsia"/>
                <w:color w:val="auto"/>
                <w:sz w:val="24"/>
              </w:rPr>
              <w:t>。</w:t>
            </w:r>
          </w:p>
          <w:p>
            <w:pPr>
              <w:widowControl/>
              <w:spacing w:line="360" w:lineRule="auto"/>
              <w:ind w:firstLine="480" w:firstLineChars="200"/>
              <w:jc w:val="left"/>
              <w:textAlignment w:val="center"/>
              <w:rPr>
                <w:rFonts w:hint="eastAsia"/>
                <w:color w:val="auto"/>
              </w:rPr>
            </w:pPr>
            <w:r>
              <w:rPr>
                <w:rFonts w:hint="eastAsia"/>
                <w:color w:val="auto"/>
                <w:sz w:val="24"/>
              </w:rPr>
              <w:t>（4）切实做好绿化，在厂界周围种植高大植物，削减厂界对周围环境的影响。</w:t>
            </w:r>
          </w:p>
          <w:p>
            <w:pPr>
              <w:widowControl/>
              <w:spacing w:line="360" w:lineRule="auto"/>
              <w:ind w:firstLine="482" w:firstLineChars="200"/>
              <w:jc w:val="left"/>
              <w:textAlignment w:val="center"/>
              <w:rPr>
                <w:color w:val="auto"/>
                <w:sz w:val="24"/>
              </w:rPr>
            </w:pPr>
            <w:r>
              <w:rPr>
                <w:rFonts w:hint="eastAsia"/>
                <w:b/>
                <w:bCs/>
                <w:color w:val="auto"/>
                <w:sz w:val="24"/>
                <w:lang w:val="en-US" w:eastAsia="zh-CN"/>
              </w:rPr>
              <w:t>2、</w:t>
            </w:r>
            <w:r>
              <w:rPr>
                <w:rFonts w:hint="eastAsia"/>
                <w:b/>
                <w:bCs/>
                <w:color w:val="auto"/>
                <w:sz w:val="24"/>
              </w:rPr>
              <w:t>噪声预测：</w:t>
            </w:r>
          </w:p>
          <w:p>
            <w:pPr>
              <w:spacing w:line="360" w:lineRule="auto"/>
              <w:ind w:firstLine="480" w:firstLineChars="200"/>
              <w:rPr>
                <w:color w:val="auto"/>
                <w:sz w:val="24"/>
              </w:rPr>
            </w:pPr>
            <w:r>
              <w:rPr>
                <w:color w:val="auto"/>
                <w:sz w:val="24"/>
              </w:rPr>
              <w:t>预测模式包括噪声衰减模式和噪声合成模式。噪声衰减模式采用点声源模式进行预测，具体模式如下：</w:t>
            </w:r>
          </w:p>
          <w:p>
            <w:pPr>
              <w:spacing w:line="360" w:lineRule="auto"/>
              <w:ind w:firstLine="480" w:firstLineChars="200"/>
              <w:rPr>
                <w:color w:val="auto"/>
                <w:sz w:val="24"/>
              </w:rPr>
            </w:pPr>
            <w:r>
              <w:rPr>
                <w:color w:val="auto"/>
                <w:sz w:val="24"/>
              </w:rPr>
              <w:t>式中：LA(r) ——点声源在预测点产生的A声级，dB(A)；</w:t>
            </w:r>
          </w:p>
          <w:p>
            <w:pPr>
              <w:spacing w:line="360" w:lineRule="auto"/>
              <w:ind w:firstLine="480" w:firstLineChars="200"/>
              <w:rPr>
                <w:color w:val="auto"/>
                <w:sz w:val="24"/>
              </w:rPr>
            </w:pPr>
            <w:r>
              <w:rPr>
                <w:color w:val="auto"/>
                <w:sz w:val="24"/>
              </w:rPr>
              <w:t>LA（r0）——参考位置ro处的A声级，dB(A)；</w:t>
            </w:r>
          </w:p>
          <w:p>
            <w:pPr>
              <w:spacing w:line="360" w:lineRule="auto"/>
              <w:ind w:firstLine="480" w:firstLineChars="200"/>
              <w:rPr>
                <w:color w:val="auto"/>
                <w:sz w:val="24"/>
              </w:rPr>
            </w:pPr>
            <w:r>
              <w:rPr>
                <w:color w:val="auto"/>
                <w:sz w:val="24"/>
              </w:rPr>
              <w:t>r ——预测点距声源的距离，dB(A)；</w:t>
            </w:r>
          </w:p>
          <w:p>
            <w:pPr>
              <w:spacing w:line="360" w:lineRule="auto"/>
              <w:ind w:firstLine="480" w:firstLineChars="200"/>
              <w:rPr>
                <w:color w:val="auto"/>
                <w:sz w:val="24"/>
              </w:rPr>
            </w:pPr>
            <w:r>
              <w:rPr>
                <w:color w:val="auto"/>
                <w:sz w:val="24"/>
              </w:rPr>
              <w:t>ro ——参考基准点距声源的距离，1.0m；</w:t>
            </w:r>
          </w:p>
          <w:p>
            <w:pPr>
              <w:spacing w:line="360" w:lineRule="auto"/>
              <w:ind w:firstLine="480" w:firstLineChars="200"/>
              <w:rPr>
                <w:color w:val="auto"/>
                <w:sz w:val="24"/>
              </w:rPr>
            </w:pPr>
            <w:r>
              <w:rPr>
                <w:color w:val="auto"/>
                <w:sz w:val="24"/>
              </w:rPr>
              <w:t xml:space="preserve"> ——各种因素引起的衰减量（包括声屏障、遮挡物、空气吸收、地面效应引起的衰减量）。</w:t>
            </w:r>
          </w:p>
          <w:p>
            <w:pPr>
              <w:spacing w:line="360" w:lineRule="auto"/>
              <w:ind w:firstLine="480" w:firstLineChars="200"/>
              <w:rPr>
                <w:color w:val="auto"/>
                <w:sz w:val="24"/>
              </w:rPr>
            </w:pPr>
            <w:r>
              <w:rPr>
                <w:color w:val="auto"/>
                <w:sz w:val="24"/>
              </w:rPr>
              <w:t>室内声源换算成室外声源时，考虑简化处理，取建筑墙体评价隔声量20dB(A)计算。为了计算的简化，不考虑声屏障、空气吸收和地面效应的衰减。</w:t>
            </w:r>
          </w:p>
          <w:p>
            <w:pPr>
              <w:spacing w:line="360" w:lineRule="auto"/>
              <w:ind w:firstLine="480" w:firstLineChars="200"/>
              <w:rPr>
                <w:color w:val="auto"/>
                <w:sz w:val="24"/>
              </w:rPr>
            </w:pPr>
            <w:r>
              <w:rPr>
                <w:color w:val="auto"/>
                <w:sz w:val="24"/>
              </w:rPr>
              <w:t>噪声合成对多声源进行叠加，模式如下：</w:t>
            </w:r>
          </w:p>
          <w:p>
            <w:pPr>
              <w:spacing w:line="360" w:lineRule="auto"/>
              <w:ind w:firstLine="480" w:firstLineChars="200"/>
              <w:rPr>
                <w:color w:val="auto"/>
                <w:sz w:val="24"/>
              </w:rPr>
            </w:pPr>
            <w:r>
              <w:rPr>
                <w:color w:val="auto"/>
                <w:sz w:val="24"/>
              </w:rPr>
              <w:t>式中：Leq ——预测点等效声级，dB(A)；</w:t>
            </w:r>
          </w:p>
          <w:p>
            <w:pPr>
              <w:spacing w:line="360" w:lineRule="auto"/>
              <w:ind w:firstLine="480" w:firstLineChars="200"/>
              <w:rPr>
                <w:color w:val="auto"/>
                <w:sz w:val="24"/>
              </w:rPr>
            </w:pPr>
            <w:r>
              <w:rPr>
                <w:color w:val="auto"/>
                <w:sz w:val="24"/>
              </w:rPr>
              <w:t>Lpi ——第i个点声源的声压级，dB(A)；</w:t>
            </w:r>
          </w:p>
          <w:p>
            <w:pPr>
              <w:spacing w:line="360" w:lineRule="auto"/>
              <w:ind w:firstLine="480" w:firstLineChars="200"/>
              <w:rPr>
                <w:color w:val="auto"/>
                <w:sz w:val="24"/>
              </w:rPr>
            </w:pPr>
            <w:r>
              <w:rPr>
                <w:color w:val="auto"/>
                <w:sz w:val="24"/>
              </w:rPr>
              <w:t>T ——昼间或夜间评价时间。</w:t>
            </w:r>
          </w:p>
          <w:p>
            <w:pPr>
              <w:spacing w:line="360" w:lineRule="auto"/>
              <w:ind w:firstLine="480" w:firstLineChars="200"/>
              <w:rPr>
                <w:rFonts w:hint="eastAsia"/>
                <w:color w:val="auto"/>
                <w:sz w:val="24"/>
                <w:lang w:eastAsia="zh-CN"/>
              </w:rPr>
            </w:pPr>
            <w:r>
              <w:rPr>
                <w:color w:val="auto"/>
                <w:sz w:val="24"/>
              </w:rPr>
              <w:t>本次评价采用以上模式，预测项目噪声对厂界的最大影响，预测结果见下表</w:t>
            </w:r>
            <w:r>
              <w:rPr>
                <w:rFonts w:hint="eastAsia"/>
                <w:color w:val="auto"/>
                <w:sz w:val="24"/>
                <w:lang w:eastAsia="zh-CN"/>
              </w:rPr>
              <w:t>。</w:t>
            </w:r>
          </w:p>
          <w:p>
            <w:pPr>
              <w:spacing w:line="360" w:lineRule="auto"/>
              <w:jc w:val="center"/>
              <w:rPr>
                <w:rFonts w:hint="default" w:ascii="Times New Roman" w:hAnsi="Times New Roman" w:cs="Times New Roman"/>
                <w:b/>
                <w:color w:val="auto"/>
                <w:sz w:val="24"/>
                <w:lang w:val="en-US" w:eastAsia="zh-CN"/>
              </w:rPr>
            </w:pPr>
            <w:r>
              <w:rPr>
                <w:rFonts w:hint="eastAsia" w:ascii="Times New Roman" w:hAnsi="Times New Roman" w:cs="Times New Roman"/>
                <w:b/>
                <w:color w:val="auto"/>
                <w:sz w:val="24"/>
                <w:lang w:eastAsia="zh-CN"/>
              </w:rPr>
              <w:t>表</w:t>
            </w:r>
            <w:r>
              <w:rPr>
                <w:rFonts w:hint="eastAsia" w:ascii="Times New Roman" w:hAnsi="Times New Roman" w:cs="Times New Roman"/>
                <w:b/>
                <w:color w:val="auto"/>
                <w:sz w:val="24"/>
                <w:lang w:val="en-US" w:eastAsia="zh-CN"/>
              </w:rPr>
              <w:t>4-11  预测点距声源距离及预测现状值结果一览表</w:t>
            </w:r>
          </w:p>
          <w:tbl>
            <w:tblPr>
              <w:tblStyle w:val="19"/>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991"/>
              <w:gridCol w:w="1282"/>
              <w:gridCol w:w="1160"/>
              <w:gridCol w:w="1080"/>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001" w:type="dxa"/>
                  <w:vMerge w:val="restart"/>
                  <w:noWrap w:val="0"/>
                  <w:vAlign w:val="center"/>
                </w:tcPr>
                <w:p>
                  <w:pPr>
                    <w:adjustRightInd w:val="0"/>
                    <w:snapToGrid w:val="0"/>
                    <w:jc w:val="center"/>
                    <w:rPr>
                      <w:rFonts w:hint="eastAsia" w:ascii="宋体" w:hAnsi="宋体" w:eastAsia="宋体" w:cs="宋体"/>
                      <w:b/>
                      <w:color w:val="auto"/>
                      <w:szCs w:val="21"/>
                      <w:lang w:eastAsia="zh-CN"/>
                    </w:rPr>
                  </w:pPr>
                  <w:r>
                    <w:rPr>
                      <w:rFonts w:hint="eastAsia" w:ascii="宋体" w:hAnsi="宋体" w:cs="宋体"/>
                      <w:b/>
                      <w:color w:val="auto"/>
                      <w:szCs w:val="21"/>
                    </w:rPr>
                    <w:t>噪声源</w:t>
                  </w:r>
                </w:p>
              </w:tc>
              <w:tc>
                <w:tcPr>
                  <w:tcW w:w="863" w:type="dxa"/>
                  <w:vMerge w:val="restart"/>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降噪</w:t>
                  </w:r>
                  <w:r>
                    <w:rPr>
                      <w:rFonts w:hint="eastAsia" w:ascii="宋体" w:hAnsi="宋体" w:cs="宋体"/>
                      <w:b/>
                      <w:color w:val="auto"/>
                      <w:szCs w:val="21"/>
                      <w:lang w:eastAsia="zh-CN"/>
                    </w:rPr>
                    <w:t>前</w:t>
                  </w:r>
                  <w:r>
                    <w:rPr>
                      <w:rFonts w:hint="eastAsia" w:ascii="宋体" w:hAnsi="宋体" w:cs="宋体"/>
                      <w:b/>
                      <w:color w:val="auto"/>
                      <w:szCs w:val="21"/>
                    </w:rPr>
                    <w:t>源强</w:t>
                  </w:r>
                </w:p>
              </w:tc>
              <w:tc>
                <w:tcPr>
                  <w:tcW w:w="4049" w:type="dxa"/>
                  <w:gridSpan w:val="4"/>
                  <w:noWrap w:val="0"/>
                  <w:vAlign w:val="center"/>
                </w:tcPr>
                <w:p>
                  <w:pPr>
                    <w:adjustRightInd w:val="0"/>
                    <w:snapToGrid w:val="0"/>
                    <w:jc w:val="center"/>
                    <w:rPr>
                      <w:rFonts w:hint="eastAsia" w:ascii="宋体" w:hAnsi="宋体" w:eastAsia="宋体" w:cs="宋体"/>
                      <w:b/>
                      <w:color w:val="auto"/>
                      <w:szCs w:val="21"/>
                      <w:lang w:eastAsia="zh-CN"/>
                    </w:rPr>
                  </w:pPr>
                  <w:r>
                    <w:rPr>
                      <w:rFonts w:hint="eastAsia" w:ascii="宋体" w:hAnsi="宋体" w:cs="宋体"/>
                      <w:b/>
                      <w:color w:val="auto"/>
                      <w:szCs w:val="21"/>
                      <w:lang w:eastAsia="zh-CN"/>
                    </w:rPr>
                    <w:t>预测点距声源距离（</w:t>
                  </w:r>
                  <w:r>
                    <w:rPr>
                      <w:rFonts w:hint="eastAsia" w:ascii="宋体" w:hAnsi="宋体" w:cs="宋体"/>
                      <w:b/>
                      <w:color w:val="auto"/>
                      <w:szCs w:val="21"/>
                      <w:lang w:val="en-US" w:eastAsia="zh-CN"/>
                    </w:rPr>
                    <w:t>m</w:t>
                  </w:r>
                  <w:r>
                    <w:rPr>
                      <w:rFonts w:hint="eastAsia" w:ascii="宋体" w:hAnsi="宋体" w:cs="宋体"/>
                      <w:b/>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001" w:type="dxa"/>
                  <w:vMerge w:val="continue"/>
                  <w:noWrap w:val="0"/>
                  <w:vAlign w:val="center"/>
                </w:tcPr>
                <w:p>
                  <w:pPr>
                    <w:adjustRightInd w:val="0"/>
                    <w:snapToGrid w:val="0"/>
                    <w:jc w:val="center"/>
                    <w:rPr>
                      <w:rFonts w:hint="eastAsia" w:ascii="宋体" w:hAnsi="宋体" w:eastAsia="宋体" w:cs="宋体"/>
                      <w:b/>
                      <w:color w:val="auto"/>
                      <w:szCs w:val="21"/>
                      <w:lang w:eastAsia="zh-CN"/>
                    </w:rPr>
                  </w:pPr>
                </w:p>
              </w:tc>
              <w:tc>
                <w:tcPr>
                  <w:tcW w:w="863" w:type="dxa"/>
                  <w:vMerge w:val="continue"/>
                  <w:noWrap w:val="0"/>
                  <w:vAlign w:val="center"/>
                </w:tcPr>
                <w:p>
                  <w:pPr>
                    <w:adjustRightInd w:val="0"/>
                    <w:snapToGrid w:val="0"/>
                    <w:jc w:val="center"/>
                    <w:rPr>
                      <w:rFonts w:hint="eastAsia" w:ascii="宋体" w:hAnsi="宋体" w:cs="宋体"/>
                      <w:b/>
                      <w:color w:val="auto"/>
                      <w:szCs w:val="21"/>
                    </w:rPr>
                  </w:pPr>
                </w:p>
              </w:tc>
              <w:tc>
                <w:tcPr>
                  <w:tcW w:w="1117" w:type="dxa"/>
                  <w:noWrap w:val="0"/>
                  <w:vAlign w:val="center"/>
                </w:tcPr>
                <w:p>
                  <w:pPr>
                    <w:adjustRightInd w:val="0"/>
                    <w:snapToGrid w:val="0"/>
                    <w:jc w:val="center"/>
                    <w:rPr>
                      <w:rFonts w:hint="eastAsia" w:ascii="宋体" w:hAnsi="宋体" w:eastAsia="宋体" w:cs="宋体"/>
                      <w:b/>
                      <w:color w:val="auto"/>
                      <w:szCs w:val="21"/>
                      <w:lang w:eastAsia="zh-CN"/>
                    </w:rPr>
                  </w:pPr>
                  <w:r>
                    <w:rPr>
                      <w:rFonts w:hint="eastAsia" w:ascii="宋体" w:hAnsi="宋体" w:cs="宋体"/>
                      <w:b/>
                      <w:color w:val="auto"/>
                      <w:szCs w:val="21"/>
                    </w:rPr>
                    <w:t>东厂界</w:t>
                  </w:r>
                </w:p>
              </w:tc>
              <w:tc>
                <w:tcPr>
                  <w:tcW w:w="1010"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南厂界</w:t>
                  </w:r>
                </w:p>
              </w:tc>
              <w:tc>
                <w:tcPr>
                  <w:tcW w:w="941"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西厂界</w:t>
                  </w:r>
                </w:p>
              </w:tc>
              <w:tc>
                <w:tcPr>
                  <w:tcW w:w="981"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01" w:type="dxa"/>
                  <w:noWrap w:val="0"/>
                  <w:vAlign w:val="center"/>
                </w:tcPr>
                <w:p>
                  <w:pPr>
                    <w:jc w:val="center"/>
                    <w:rPr>
                      <w:rFonts w:hint="eastAsia" w:ascii="宋体" w:hAnsi="宋体" w:cs="宋体"/>
                      <w:bCs/>
                      <w:color w:val="auto"/>
                      <w:szCs w:val="21"/>
                    </w:rPr>
                  </w:pPr>
                  <w:r>
                    <w:rPr>
                      <w:rFonts w:hAnsi="宋体"/>
                      <w:color w:val="000000"/>
                      <w:spacing w:val="6"/>
                      <w:szCs w:val="21"/>
                    </w:rPr>
                    <w:t>注塑机</w:t>
                  </w:r>
                </w:p>
              </w:tc>
              <w:tc>
                <w:tcPr>
                  <w:tcW w:w="863" w:type="dxa"/>
                  <w:noWrap w:val="0"/>
                  <w:vAlign w:val="center"/>
                </w:tcPr>
                <w:p>
                  <w:pPr>
                    <w:adjustRightInd w:val="0"/>
                    <w:snapToGrid w:val="0"/>
                    <w:jc w:val="center"/>
                    <w:rPr>
                      <w:rFonts w:hint="default" w:eastAsia="宋体"/>
                      <w:color w:val="auto"/>
                      <w:szCs w:val="21"/>
                      <w:lang w:val="en-US" w:eastAsia="zh-CN"/>
                    </w:rPr>
                  </w:pPr>
                  <w:r>
                    <w:rPr>
                      <w:rFonts w:hint="eastAsia"/>
                      <w:color w:val="auto"/>
                      <w:lang w:val="en-US" w:eastAsia="zh-CN"/>
                    </w:rPr>
                    <w:t>80</w:t>
                  </w:r>
                </w:p>
              </w:tc>
              <w:tc>
                <w:tcPr>
                  <w:tcW w:w="111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148</w:t>
                  </w:r>
                </w:p>
              </w:tc>
              <w:tc>
                <w:tcPr>
                  <w:tcW w:w="101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48</w:t>
                  </w:r>
                </w:p>
              </w:tc>
              <w:tc>
                <w:tcPr>
                  <w:tcW w:w="94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30</w:t>
                  </w:r>
                </w:p>
              </w:tc>
              <w:tc>
                <w:tcPr>
                  <w:tcW w:w="98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1" w:type="dxa"/>
                  <w:noWrap w:val="0"/>
                  <w:vAlign w:val="center"/>
                </w:tcPr>
                <w:p>
                  <w:pPr>
                    <w:jc w:val="center"/>
                    <w:rPr>
                      <w:rFonts w:hint="eastAsia" w:ascii="宋体" w:hAnsi="宋体" w:cs="宋体"/>
                      <w:bCs/>
                      <w:color w:val="auto"/>
                      <w:szCs w:val="21"/>
                    </w:rPr>
                  </w:pPr>
                  <w:r>
                    <w:rPr>
                      <w:rFonts w:hint="eastAsia" w:hAnsi="宋体"/>
                      <w:color w:val="000000"/>
                      <w:spacing w:val="6"/>
                      <w:szCs w:val="21"/>
                      <w:lang w:eastAsia="zh-CN"/>
                    </w:rPr>
                    <w:t>冷却塔和冷却水池</w:t>
                  </w:r>
                </w:p>
              </w:tc>
              <w:tc>
                <w:tcPr>
                  <w:tcW w:w="863" w:type="dxa"/>
                  <w:noWrap w:val="0"/>
                  <w:vAlign w:val="center"/>
                </w:tcPr>
                <w:p>
                  <w:pPr>
                    <w:adjustRightInd w:val="0"/>
                    <w:snapToGrid w:val="0"/>
                    <w:jc w:val="center"/>
                    <w:rPr>
                      <w:rFonts w:hint="default"/>
                      <w:color w:val="auto"/>
                      <w:szCs w:val="21"/>
                      <w:lang w:val="en-US"/>
                    </w:rPr>
                  </w:pPr>
                  <w:r>
                    <w:rPr>
                      <w:rFonts w:hint="eastAsia"/>
                      <w:color w:val="auto"/>
                      <w:lang w:val="en-US" w:eastAsia="zh-CN"/>
                    </w:rPr>
                    <w:t>80</w:t>
                  </w:r>
                </w:p>
              </w:tc>
              <w:tc>
                <w:tcPr>
                  <w:tcW w:w="111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100</w:t>
                  </w:r>
                </w:p>
              </w:tc>
              <w:tc>
                <w:tcPr>
                  <w:tcW w:w="101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78</w:t>
                  </w:r>
                </w:p>
              </w:tc>
              <w:tc>
                <w:tcPr>
                  <w:tcW w:w="94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78</w:t>
                  </w:r>
                </w:p>
              </w:tc>
              <w:tc>
                <w:tcPr>
                  <w:tcW w:w="98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1" w:type="dxa"/>
                  <w:noWrap w:val="0"/>
                  <w:vAlign w:val="center"/>
                </w:tcPr>
                <w:p>
                  <w:pPr>
                    <w:jc w:val="center"/>
                    <w:rPr>
                      <w:rFonts w:hint="eastAsia" w:ascii="宋体" w:hAnsi="宋体" w:eastAsia="宋体" w:cs="宋体"/>
                      <w:bCs/>
                      <w:color w:val="auto"/>
                      <w:szCs w:val="21"/>
                      <w:lang w:eastAsia="zh-CN"/>
                    </w:rPr>
                  </w:pPr>
                  <w:r>
                    <w:rPr>
                      <w:rFonts w:hint="eastAsia" w:hAnsi="宋体"/>
                      <w:color w:val="000000"/>
                      <w:spacing w:val="6"/>
                      <w:szCs w:val="21"/>
                      <w:lang w:eastAsia="zh-CN"/>
                    </w:rPr>
                    <w:t>空压机</w:t>
                  </w:r>
                </w:p>
              </w:tc>
              <w:tc>
                <w:tcPr>
                  <w:tcW w:w="863" w:type="dxa"/>
                  <w:noWrap w:val="0"/>
                  <w:vAlign w:val="center"/>
                </w:tcPr>
                <w:p>
                  <w:pPr>
                    <w:adjustRightInd w:val="0"/>
                    <w:snapToGrid w:val="0"/>
                    <w:jc w:val="center"/>
                    <w:rPr>
                      <w:rFonts w:hint="default" w:eastAsia="宋体"/>
                      <w:color w:val="auto"/>
                      <w:szCs w:val="21"/>
                      <w:lang w:val="en-US" w:eastAsia="zh-CN"/>
                    </w:rPr>
                  </w:pPr>
                  <w:r>
                    <w:rPr>
                      <w:rFonts w:hint="eastAsia"/>
                      <w:color w:val="auto"/>
                      <w:lang w:val="en-US" w:eastAsia="zh-CN"/>
                    </w:rPr>
                    <w:t>87</w:t>
                  </w:r>
                </w:p>
              </w:tc>
              <w:tc>
                <w:tcPr>
                  <w:tcW w:w="111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107</w:t>
                  </w:r>
                </w:p>
              </w:tc>
              <w:tc>
                <w:tcPr>
                  <w:tcW w:w="101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30</w:t>
                  </w:r>
                </w:p>
              </w:tc>
              <w:tc>
                <w:tcPr>
                  <w:tcW w:w="94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71</w:t>
                  </w:r>
                </w:p>
              </w:tc>
              <w:tc>
                <w:tcPr>
                  <w:tcW w:w="98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1" w:type="dxa"/>
                  <w:noWrap w:val="0"/>
                  <w:vAlign w:val="center"/>
                </w:tcPr>
                <w:p>
                  <w:pPr>
                    <w:jc w:val="center"/>
                    <w:rPr>
                      <w:rFonts w:hint="eastAsia" w:ascii="宋体" w:hAnsi="宋体" w:cs="宋体"/>
                      <w:bCs/>
                      <w:color w:val="auto"/>
                      <w:szCs w:val="21"/>
                    </w:rPr>
                  </w:pPr>
                  <w:r>
                    <w:rPr>
                      <w:rFonts w:hint="eastAsia" w:hAnsi="宋体"/>
                      <w:color w:val="000000"/>
                      <w:spacing w:val="6"/>
                      <w:szCs w:val="21"/>
                      <w:lang w:eastAsia="zh-CN"/>
                    </w:rPr>
                    <w:t>吹塑</w:t>
                  </w:r>
                  <w:r>
                    <w:rPr>
                      <w:rFonts w:hAnsi="宋体"/>
                      <w:color w:val="000000"/>
                      <w:spacing w:val="6"/>
                      <w:szCs w:val="21"/>
                    </w:rPr>
                    <w:t>机</w:t>
                  </w:r>
                </w:p>
              </w:tc>
              <w:tc>
                <w:tcPr>
                  <w:tcW w:w="863" w:type="dxa"/>
                  <w:noWrap w:val="0"/>
                  <w:vAlign w:val="center"/>
                </w:tcPr>
                <w:p>
                  <w:pPr>
                    <w:adjustRightInd w:val="0"/>
                    <w:snapToGrid w:val="0"/>
                    <w:jc w:val="center"/>
                    <w:rPr>
                      <w:rFonts w:hint="default"/>
                      <w:color w:val="auto"/>
                      <w:szCs w:val="21"/>
                      <w:lang w:val="en-US"/>
                    </w:rPr>
                  </w:pPr>
                  <w:r>
                    <w:rPr>
                      <w:rFonts w:hint="eastAsia"/>
                      <w:color w:val="auto"/>
                      <w:lang w:val="en-US" w:eastAsia="zh-CN"/>
                    </w:rPr>
                    <w:t>80</w:t>
                  </w:r>
                </w:p>
              </w:tc>
              <w:tc>
                <w:tcPr>
                  <w:tcW w:w="111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66</w:t>
                  </w:r>
                </w:p>
              </w:tc>
              <w:tc>
                <w:tcPr>
                  <w:tcW w:w="101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53</w:t>
                  </w:r>
                </w:p>
              </w:tc>
              <w:tc>
                <w:tcPr>
                  <w:tcW w:w="941"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112</w:t>
                  </w:r>
                </w:p>
              </w:tc>
              <w:tc>
                <w:tcPr>
                  <w:tcW w:w="981"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01" w:type="dxa"/>
                  <w:noWrap w:val="0"/>
                  <w:vAlign w:val="center"/>
                </w:tcPr>
                <w:p>
                  <w:pPr>
                    <w:jc w:val="center"/>
                    <w:rPr>
                      <w:rFonts w:hint="eastAsia" w:hAnsi="宋体"/>
                      <w:color w:val="000000"/>
                      <w:spacing w:val="6"/>
                      <w:szCs w:val="21"/>
                      <w:lang w:eastAsia="zh-CN"/>
                    </w:rPr>
                  </w:pPr>
                  <w:r>
                    <w:rPr>
                      <w:rFonts w:hint="eastAsia" w:hAnsi="宋体"/>
                      <w:color w:val="000000"/>
                      <w:spacing w:val="6"/>
                      <w:szCs w:val="21"/>
                      <w:lang w:eastAsia="zh-CN"/>
                    </w:rPr>
                    <w:t>活性炭吸附装置的风机</w:t>
                  </w:r>
                </w:p>
              </w:tc>
              <w:tc>
                <w:tcPr>
                  <w:tcW w:w="863" w:type="dxa"/>
                  <w:noWrap w:val="0"/>
                  <w:vAlign w:val="center"/>
                </w:tcPr>
                <w:p>
                  <w:pPr>
                    <w:adjustRightInd w:val="0"/>
                    <w:snapToGrid w:val="0"/>
                    <w:jc w:val="center"/>
                    <w:rPr>
                      <w:rFonts w:hint="default"/>
                      <w:color w:val="auto"/>
                      <w:lang w:val="en-US" w:eastAsia="zh-CN"/>
                    </w:rPr>
                  </w:pPr>
                  <w:r>
                    <w:rPr>
                      <w:rFonts w:hint="eastAsia"/>
                      <w:color w:val="auto"/>
                      <w:lang w:val="en-US" w:eastAsia="zh-CN"/>
                    </w:rPr>
                    <w:t>85</w:t>
                  </w:r>
                </w:p>
              </w:tc>
              <w:tc>
                <w:tcPr>
                  <w:tcW w:w="1117"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68</w:t>
                  </w:r>
                </w:p>
              </w:tc>
              <w:tc>
                <w:tcPr>
                  <w:tcW w:w="1010"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25</w:t>
                  </w:r>
                </w:p>
              </w:tc>
              <w:tc>
                <w:tcPr>
                  <w:tcW w:w="941"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110</w:t>
                  </w:r>
                </w:p>
              </w:tc>
              <w:tc>
                <w:tcPr>
                  <w:tcW w:w="981"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4" w:type="dxa"/>
                  <w:gridSpan w:val="2"/>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预测现状值</w:t>
                  </w:r>
                </w:p>
              </w:tc>
              <w:tc>
                <w:tcPr>
                  <w:tcW w:w="1117"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51.7</w:t>
                  </w:r>
                </w:p>
              </w:tc>
              <w:tc>
                <w:tcPr>
                  <w:tcW w:w="1010"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60.6</w:t>
                  </w:r>
                </w:p>
              </w:tc>
              <w:tc>
                <w:tcPr>
                  <w:tcW w:w="941"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54.2</w:t>
                  </w:r>
                </w:p>
              </w:tc>
              <w:tc>
                <w:tcPr>
                  <w:tcW w:w="981"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56.5</w:t>
                  </w:r>
                </w:p>
              </w:tc>
            </w:tr>
          </w:tbl>
          <w:p>
            <w:pPr>
              <w:spacing w:line="360" w:lineRule="auto"/>
              <w:jc w:val="center"/>
              <w:rPr>
                <w:b/>
                <w:color w:val="auto"/>
                <w:sz w:val="24"/>
                <w:highlight w:val="yellow"/>
              </w:rPr>
            </w:pPr>
            <w:r>
              <w:rPr>
                <w:b/>
                <w:color w:val="auto"/>
                <w:sz w:val="24"/>
              </w:rPr>
              <w:t>表</w:t>
            </w:r>
            <w:r>
              <w:rPr>
                <w:rFonts w:hint="eastAsia"/>
                <w:b/>
                <w:color w:val="auto"/>
                <w:sz w:val="24"/>
              </w:rPr>
              <w:t>4</w:t>
            </w:r>
            <w:r>
              <w:rPr>
                <w:b/>
                <w:color w:val="auto"/>
                <w:sz w:val="24"/>
              </w:rPr>
              <w:t>-</w:t>
            </w:r>
            <w:r>
              <w:rPr>
                <w:rFonts w:hint="eastAsia"/>
                <w:b/>
                <w:color w:val="auto"/>
                <w:sz w:val="24"/>
              </w:rPr>
              <w:t>1</w:t>
            </w:r>
            <w:r>
              <w:rPr>
                <w:rFonts w:hint="eastAsia"/>
                <w:b/>
                <w:color w:val="auto"/>
                <w:sz w:val="24"/>
                <w:lang w:val="en-US" w:eastAsia="zh-CN"/>
              </w:rPr>
              <w:t>2</w:t>
            </w:r>
            <w:r>
              <w:rPr>
                <w:b/>
                <w:color w:val="auto"/>
                <w:sz w:val="24"/>
              </w:rPr>
              <w:t xml:space="preserve">  噪声影响预测结果</w:t>
            </w:r>
            <w:r>
              <w:rPr>
                <w:rFonts w:hint="eastAsia"/>
                <w:b/>
                <w:color w:val="auto"/>
                <w:sz w:val="24"/>
                <w:lang w:eastAsia="zh-CN"/>
              </w:rPr>
              <w:t>一览表</w:t>
            </w:r>
            <w:r>
              <w:rPr>
                <w:b/>
                <w:color w:val="auto"/>
                <w:sz w:val="24"/>
              </w:rPr>
              <w:t xml:space="preserve">    单位:dB（A）</w:t>
            </w:r>
          </w:p>
          <w:tbl>
            <w:tblPr>
              <w:tblStyle w:val="19"/>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355"/>
              <w:gridCol w:w="1127"/>
              <w:gridCol w:w="1160"/>
              <w:gridCol w:w="1080"/>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088" w:type="dxa"/>
                  <w:noWrap w:val="0"/>
                  <w:vAlign w:val="center"/>
                </w:tcPr>
                <w:p>
                  <w:pPr>
                    <w:adjustRightInd w:val="0"/>
                    <w:snapToGrid w:val="0"/>
                    <w:jc w:val="center"/>
                    <w:rPr>
                      <w:rFonts w:hint="eastAsia" w:ascii="宋体" w:hAnsi="宋体" w:eastAsia="宋体" w:cs="宋体"/>
                      <w:b/>
                      <w:color w:val="auto"/>
                      <w:szCs w:val="21"/>
                      <w:lang w:eastAsia="zh-CN"/>
                    </w:rPr>
                  </w:pPr>
                  <w:r>
                    <w:rPr>
                      <w:rFonts w:hint="eastAsia" w:ascii="宋体" w:hAnsi="宋体" w:cs="宋体"/>
                      <w:b/>
                      <w:color w:val="auto"/>
                      <w:szCs w:val="21"/>
                    </w:rPr>
                    <w:t>噪声源</w:t>
                  </w:r>
                </w:p>
              </w:tc>
              <w:tc>
                <w:tcPr>
                  <w:tcW w:w="1355"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降噪后源强</w:t>
                  </w:r>
                </w:p>
              </w:tc>
              <w:tc>
                <w:tcPr>
                  <w:tcW w:w="1127"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东厂界</w:t>
                  </w:r>
                </w:p>
              </w:tc>
              <w:tc>
                <w:tcPr>
                  <w:tcW w:w="1160"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南厂界</w:t>
                  </w:r>
                </w:p>
              </w:tc>
              <w:tc>
                <w:tcPr>
                  <w:tcW w:w="1080"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西厂界</w:t>
                  </w:r>
                </w:p>
              </w:tc>
              <w:tc>
                <w:tcPr>
                  <w:tcW w:w="1127"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8" w:type="dxa"/>
                  <w:noWrap w:val="0"/>
                  <w:vAlign w:val="center"/>
                </w:tcPr>
                <w:p>
                  <w:pPr>
                    <w:jc w:val="center"/>
                    <w:rPr>
                      <w:rFonts w:hint="eastAsia" w:ascii="宋体" w:hAnsi="宋体" w:cs="宋体"/>
                      <w:bCs/>
                      <w:color w:val="auto"/>
                      <w:szCs w:val="21"/>
                    </w:rPr>
                  </w:pPr>
                  <w:r>
                    <w:rPr>
                      <w:rFonts w:hAnsi="宋体"/>
                      <w:color w:val="auto"/>
                      <w:spacing w:val="6"/>
                      <w:szCs w:val="21"/>
                    </w:rPr>
                    <w:t>注塑机</w:t>
                  </w:r>
                </w:p>
              </w:tc>
              <w:tc>
                <w:tcPr>
                  <w:tcW w:w="1355"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65</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21.6</w:t>
                  </w:r>
                </w:p>
              </w:tc>
              <w:tc>
                <w:tcPr>
                  <w:tcW w:w="116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31.4</w:t>
                  </w:r>
                </w:p>
              </w:tc>
              <w:tc>
                <w:tcPr>
                  <w:tcW w:w="108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35.4</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8" w:type="dxa"/>
                  <w:noWrap w:val="0"/>
                  <w:vAlign w:val="center"/>
                </w:tcPr>
                <w:p>
                  <w:pPr>
                    <w:jc w:val="center"/>
                    <w:rPr>
                      <w:rFonts w:hint="eastAsia" w:ascii="宋体" w:hAnsi="宋体" w:cs="宋体"/>
                      <w:bCs/>
                      <w:color w:val="auto"/>
                      <w:szCs w:val="21"/>
                    </w:rPr>
                  </w:pPr>
                  <w:r>
                    <w:rPr>
                      <w:rFonts w:hint="eastAsia" w:hAnsi="宋体"/>
                      <w:color w:val="auto"/>
                      <w:spacing w:val="6"/>
                      <w:szCs w:val="21"/>
                      <w:lang w:eastAsia="zh-CN"/>
                    </w:rPr>
                    <w:t>冷却塔和冷却水池</w:t>
                  </w:r>
                </w:p>
              </w:tc>
              <w:tc>
                <w:tcPr>
                  <w:tcW w:w="1355" w:type="dxa"/>
                  <w:noWrap w:val="0"/>
                  <w:vAlign w:val="center"/>
                </w:tcPr>
                <w:p>
                  <w:pPr>
                    <w:adjustRightInd w:val="0"/>
                    <w:snapToGrid w:val="0"/>
                    <w:jc w:val="center"/>
                    <w:rPr>
                      <w:rFonts w:hint="default"/>
                      <w:color w:val="auto"/>
                      <w:szCs w:val="21"/>
                      <w:lang w:val="en-US"/>
                    </w:rPr>
                  </w:pPr>
                  <w:r>
                    <w:rPr>
                      <w:rFonts w:hint="eastAsia"/>
                      <w:color w:val="auto"/>
                      <w:lang w:val="en-US" w:eastAsia="zh-CN"/>
                    </w:rPr>
                    <w:t>65</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25.0</w:t>
                  </w:r>
                </w:p>
              </w:tc>
              <w:tc>
                <w:tcPr>
                  <w:tcW w:w="116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27.2</w:t>
                  </w:r>
                </w:p>
              </w:tc>
              <w:tc>
                <w:tcPr>
                  <w:tcW w:w="108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27.2</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88" w:type="dxa"/>
                  <w:noWrap w:val="0"/>
                  <w:vAlign w:val="center"/>
                </w:tcPr>
                <w:p>
                  <w:pPr>
                    <w:jc w:val="center"/>
                    <w:rPr>
                      <w:rFonts w:hint="eastAsia" w:ascii="宋体" w:hAnsi="宋体" w:eastAsia="宋体" w:cs="宋体"/>
                      <w:bCs/>
                      <w:color w:val="auto"/>
                      <w:szCs w:val="21"/>
                      <w:lang w:eastAsia="zh-CN"/>
                    </w:rPr>
                  </w:pPr>
                  <w:r>
                    <w:rPr>
                      <w:rFonts w:hint="eastAsia" w:hAnsi="宋体"/>
                      <w:color w:val="auto"/>
                      <w:spacing w:val="6"/>
                      <w:szCs w:val="21"/>
                      <w:lang w:eastAsia="zh-CN"/>
                    </w:rPr>
                    <w:t>空压机</w:t>
                  </w:r>
                </w:p>
              </w:tc>
              <w:tc>
                <w:tcPr>
                  <w:tcW w:w="1355" w:type="dxa"/>
                  <w:noWrap w:val="0"/>
                  <w:vAlign w:val="center"/>
                </w:tcPr>
                <w:p>
                  <w:pPr>
                    <w:adjustRightInd w:val="0"/>
                    <w:snapToGrid w:val="0"/>
                    <w:jc w:val="center"/>
                    <w:rPr>
                      <w:rFonts w:hint="default" w:eastAsia="宋体"/>
                      <w:color w:val="auto"/>
                      <w:szCs w:val="21"/>
                      <w:lang w:val="en-US" w:eastAsia="zh-CN"/>
                    </w:rPr>
                  </w:pPr>
                  <w:r>
                    <w:rPr>
                      <w:rFonts w:hint="eastAsia"/>
                      <w:color w:val="auto"/>
                      <w:lang w:val="en-US" w:eastAsia="zh-CN"/>
                    </w:rPr>
                    <w:t>70</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29.4</w:t>
                  </w:r>
                </w:p>
              </w:tc>
              <w:tc>
                <w:tcPr>
                  <w:tcW w:w="116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40.5</w:t>
                  </w:r>
                </w:p>
              </w:tc>
              <w:tc>
                <w:tcPr>
                  <w:tcW w:w="108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33.0</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8" w:type="dxa"/>
                  <w:noWrap w:val="0"/>
                  <w:vAlign w:val="center"/>
                </w:tcPr>
                <w:p>
                  <w:pPr>
                    <w:jc w:val="center"/>
                    <w:rPr>
                      <w:rFonts w:hint="eastAsia" w:ascii="宋体" w:hAnsi="宋体" w:cs="宋体"/>
                      <w:bCs/>
                      <w:color w:val="auto"/>
                      <w:szCs w:val="21"/>
                    </w:rPr>
                  </w:pPr>
                  <w:r>
                    <w:rPr>
                      <w:rFonts w:hint="eastAsia" w:hAnsi="宋体"/>
                      <w:color w:val="auto"/>
                      <w:spacing w:val="6"/>
                      <w:szCs w:val="21"/>
                      <w:lang w:eastAsia="zh-CN"/>
                    </w:rPr>
                    <w:t>吹塑</w:t>
                  </w:r>
                  <w:r>
                    <w:rPr>
                      <w:rFonts w:hAnsi="宋体"/>
                      <w:color w:val="auto"/>
                      <w:spacing w:val="6"/>
                      <w:szCs w:val="21"/>
                    </w:rPr>
                    <w:t>机</w:t>
                  </w:r>
                </w:p>
              </w:tc>
              <w:tc>
                <w:tcPr>
                  <w:tcW w:w="1355" w:type="dxa"/>
                  <w:noWrap w:val="0"/>
                  <w:vAlign w:val="center"/>
                </w:tcPr>
                <w:p>
                  <w:pPr>
                    <w:adjustRightInd w:val="0"/>
                    <w:snapToGrid w:val="0"/>
                    <w:jc w:val="center"/>
                    <w:rPr>
                      <w:rFonts w:hint="default"/>
                      <w:color w:val="auto"/>
                      <w:szCs w:val="21"/>
                      <w:lang w:val="en-US"/>
                    </w:rPr>
                  </w:pPr>
                  <w:r>
                    <w:rPr>
                      <w:rFonts w:hint="eastAsia"/>
                      <w:color w:val="auto"/>
                      <w:lang w:val="en-US" w:eastAsia="zh-CN"/>
                    </w:rPr>
                    <w:t>65</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28.6</w:t>
                  </w:r>
                </w:p>
              </w:tc>
              <w:tc>
                <w:tcPr>
                  <w:tcW w:w="1160"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30.5</w:t>
                  </w:r>
                </w:p>
              </w:tc>
              <w:tc>
                <w:tcPr>
                  <w:tcW w:w="1080" w:type="dxa"/>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24.0</w:t>
                  </w:r>
                </w:p>
              </w:tc>
              <w:tc>
                <w:tcPr>
                  <w:tcW w:w="1127" w:type="dxa"/>
                  <w:noWrap w:val="0"/>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8" w:type="dxa"/>
                  <w:noWrap w:val="0"/>
                  <w:vAlign w:val="center"/>
                </w:tcPr>
                <w:p>
                  <w:pPr>
                    <w:jc w:val="center"/>
                    <w:rPr>
                      <w:rFonts w:hint="eastAsia" w:hAnsi="宋体"/>
                      <w:color w:val="auto"/>
                      <w:spacing w:val="6"/>
                      <w:szCs w:val="21"/>
                      <w:lang w:eastAsia="zh-CN"/>
                    </w:rPr>
                  </w:pPr>
                  <w:r>
                    <w:rPr>
                      <w:rFonts w:hint="eastAsia" w:hAnsi="宋体"/>
                      <w:color w:val="auto"/>
                      <w:spacing w:val="6"/>
                      <w:szCs w:val="21"/>
                      <w:lang w:eastAsia="zh-CN"/>
                    </w:rPr>
                    <w:t>活性炭吸附装置的风机</w:t>
                  </w:r>
                </w:p>
              </w:tc>
              <w:tc>
                <w:tcPr>
                  <w:tcW w:w="1355" w:type="dxa"/>
                  <w:noWrap w:val="0"/>
                  <w:vAlign w:val="center"/>
                </w:tcPr>
                <w:p>
                  <w:pPr>
                    <w:adjustRightInd w:val="0"/>
                    <w:snapToGrid w:val="0"/>
                    <w:jc w:val="center"/>
                    <w:rPr>
                      <w:rFonts w:hint="default"/>
                      <w:color w:val="auto"/>
                      <w:lang w:val="en-US" w:eastAsia="zh-CN"/>
                    </w:rPr>
                  </w:pPr>
                  <w:r>
                    <w:rPr>
                      <w:rFonts w:hint="eastAsia"/>
                      <w:color w:val="auto"/>
                      <w:lang w:val="en-US" w:eastAsia="zh-CN"/>
                    </w:rPr>
                    <w:t>70</w:t>
                  </w:r>
                </w:p>
              </w:tc>
              <w:tc>
                <w:tcPr>
                  <w:tcW w:w="1127"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33.3</w:t>
                  </w:r>
                </w:p>
              </w:tc>
              <w:tc>
                <w:tcPr>
                  <w:tcW w:w="1160"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42.0</w:t>
                  </w:r>
                </w:p>
              </w:tc>
              <w:tc>
                <w:tcPr>
                  <w:tcW w:w="1080"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29.2</w:t>
                  </w:r>
                </w:p>
              </w:tc>
              <w:tc>
                <w:tcPr>
                  <w:tcW w:w="1127" w:type="dxa"/>
                  <w:noWrap w:val="0"/>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3" w:type="dxa"/>
                  <w:gridSpan w:val="2"/>
                  <w:noWrap w:val="0"/>
                  <w:vAlign w:val="center"/>
                </w:tcPr>
                <w:p>
                  <w:pPr>
                    <w:adjustRightInd w:val="0"/>
                    <w:snapToGrid w:val="0"/>
                    <w:jc w:val="center"/>
                    <w:rPr>
                      <w:color w:val="auto"/>
                      <w:szCs w:val="21"/>
                    </w:rPr>
                  </w:pPr>
                  <w:r>
                    <w:rPr>
                      <w:rFonts w:hint="eastAsia"/>
                      <w:color w:val="auto"/>
                      <w:szCs w:val="21"/>
                      <w:lang w:eastAsia="zh-CN"/>
                    </w:rPr>
                    <w:t>叠加后各厂界噪声预测</w:t>
                  </w:r>
                  <w:r>
                    <w:rPr>
                      <w:color w:val="auto"/>
                      <w:szCs w:val="21"/>
                    </w:rPr>
                    <w:t>贡献值</w:t>
                  </w:r>
                </w:p>
              </w:tc>
              <w:tc>
                <w:tcPr>
                  <w:tcW w:w="1127"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36.2</w:t>
                  </w:r>
                </w:p>
              </w:tc>
              <w:tc>
                <w:tcPr>
                  <w:tcW w:w="1160"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43.2</w:t>
                  </w:r>
                </w:p>
              </w:tc>
              <w:tc>
                <w:tcPr>
                  <w:tcW w:w="1080"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38.5</w:t>
                  </w:r>
                </w:p>
              </w:tc>
              <w:tc>
                <w:tcPr>
                  <w:tcW w:w="1127" w:type="dxa"/>
                  <w:noWrap w:val="0"/>
                  <w:vAlign w:val="center"/>
                </w:tcPr>
                <w:p>
                  <w:pPr>
                    <w:pStyle w:val="4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41.0</w:t>
                  </w:r>
                </w:p>
              </w:tc>
            </w:tr>
          </w:tbl>
          <w:p>
            <w:pPr>
              <w:widowControl/>
              <w:spacing w:before="120" w:beforeLines="50" w:line="360" w:lineRule="auto"/>
              <w:ind w:firstLine="480" w:firstLineChars="200"/>
              <w:jc w:val="left"/>
              <w:textAlignment w:val="center"/>
              <w:rPr>
                <w:rFonts w:hint="eastAsia"/>
                <w:color w:val="auto"/>
                <w:sz w:val="24"/>
              </w:rPr>
            </w:pPr>
            <w:r>
              <w:rPr>
                <w:color w:val="auto"/>
                <w:sz w:val="24"/>
              </w:rPr>
              <w:t>根据预测结果，考虑各噪声源的叠加，项目高噪声设备经采取隔声、减振等措施后对厂界的影响值能够满足《工业企业厂界环境噪声排放标准》（GB12348-2008）3类标准要求，对周围声环境影响较小</w:t>
            </w:r>
            <w:r>
              <w:rPr>
                <w:rFonts w:hint="eastAsia"/>
                <w:color w:val="auto"/>
                <w:sz w:val="24"/>
              </w:rPr>
              <w:t>，在可接受范围内。</w:t>
            </w:r>
          </w:p>
          <w:p>
            <w:pPr>
              <w:adjustRightInd w:val="0"/>
              <w:snapToGrid w:val="0"/>
              <w:spacing w:line="360" w:lineRule="auto"/>
              <w:ind w:firstLine="482" w:firstLineChars="200"/>
              <w:rPr>
                <w:b/>
                <w:bCs/>
                <w:color w:val="auto"/>
                <w:sz w:val="24"/>
              </w:rPr>
            </w:pPr>
            <w:r>
              <w:rPr>
                <w:rFonts w:hint="eastAsia"/>
                <w:b/>
                <w:bCs/>
                <w:color w:val="auto"/>
                <w:sz w:val="24"/>
                <w:lang w:val="en-US" w:eastAsia="zh-CN"/>
              </w:rPr>
              <w:t>3、</w:t>
            </w:r>
            <w:r>
              <w:rPr>
                <w:rFonts w:hint="eastAsia"/>
                <w:b/>
                <w:bCs/>
                <w:color w:val="auto"/>
                <w:sz w:val="24"/>
              </w:rPr>
              <w:t>噪声监测计划一览表</w:t>
            </w:r>
          </w:p>
          <w:p>
            <w:pPr>
              <w:adjustRightInd w:val="0"/>
              <w:snapToGrid w:val="0"/>
              <w:spacing w:line="360" w:lineRule="auto"/>
              <w:ind w:firstLine="480" w:firstLineChars="200"/>
              <w:rPr>
                <w:rFonts w:hint="eastAsia"/>
                <w:b/>
                <w:bCs/>
                <w:color w:val="auto"/>
                <w:sz w:val="24"/>
              </w:rPr>
            </w:pPr>
            <w:r>
              <w:rPr>
                <w:rFonts w:hint="eastAsia"/>
                <w:color w:val="auto"/>
                <w:sz w:val="24"/>
              </w:rPr>
              <w:t xml:space="preserve">根据项目生产工艺特点以及《排污单位自行监测技术指南总则》（HJ819-2017），项目属于非重点排污单位，且全厂噪声排放口为非主要排放口，结合《排污许可证申请与核发技术规范 </w:t>
            </w:r>
            <w:r>
              <w:rPr>
                <w:rFonts w:hint="eastAsia"/>
                <w:color w:val="auto"/>
                <w:sz w:val="24"/>
                <w:lang w:eastAsia="zh-CN"/>
              </w:rPr>
              <w:t>橡胶和塑料制品工业</w:t>
            </w:r>
            <w:r>
              <w:rPr>
                <w:rFonts w:hint="eastAsia"/>
                <w:color w:val="auto"/>
                <w:sz w:val="24"/>
              </w:rPr>
              <w:t>》，制定以下监测计划。</w:t>
            </w: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b/>
                <w:bCs/>
                <w:color w:val="auto"/>
                <w:sz w:val="24"/>
              </w:rPr>
            </w:pPr>
            <w:r>
              <w:rPr>
                <w:rFonts w:hint="eastAsia"/>
                <w:b/>
                <w:bCs/>
                <w:color w:val="auto"/>
                <w:sz w:val="24"/>
              </w:rPr>
              <w:t>表4-1</w:t>
            </w:r>
            <w:r>
              <w:rPr>
                <w:rFonts w:hint="eastAsia"/>
                <w:b/>
                <w:bCs/>
                <w:color w:val="auto"/>
                <w:sz w:val="24"/>
                <w:lang w:val="en-US" w:eastAsia="zh-CN"/>
              </w:rPr>
              <w:t xml:space="preserve">3 </w:t>
            </w:r>
            <w:r>
              <w:rPr>
                <w:rFonts w:hint="eastAsia"/>
                <w:b/>
                <w:bCs/>
                <w:color w:val="auto"/>
                <w:sz w:val="24"/>
              </w:rPr>
              <w:t xml:space="preserve"> 噪声监测计划一览表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923"/>
              <w:gridCol w:w="1200"/>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92"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监测点位</w:t>
                  </w:r>
                </w:p>
              </w:tc>
              <w:tc>
                <w:tcPr>
                  <w:tcW w:w="1923"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监测因子</w:t>
                  </w:r>
                </w:p>
              </w:tc>
              <w:tc>
                <w:tcPr>
                  <w:tcW w:w="1200"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监测频次</w:t>
                  </w:r>
                </w:p>
              </w:tc>
              <w:tc>
                <w:tcPr>
                  <w:tcW w:w="3622"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92" w:type="dxa"/>
                  <w:noWrap w:val="0"/>
                  <w:vAlign w:val="center"/>
                </w:tcPr>
                <w:p>
                  <w:pPr>
                    <w:pStyle w:val="9"/>
                    <w:spacing w:line="240" w:lineRule="auto"/>
                    <w:jc w:val="center"/>
                    <w:rPr>
                      <w:rFonts w:hint="eastAsia"/>
                      <w:color w:val="auto"/>
                      <w:sz w:val="21"/>
                      <w:szCs w:val="21"/>
                      <w:lang w:val="en-US" w:eastAsia="zh-CN"/>
                    </w:rPr>
                  </w:pPr>
                  <w:r>
                    <w:rPr>
                      <w:rFonts w:hint="eastAsia"/>
                      <w:color w:val="auto"/>
                      <w:sz w:val="21"/>
                      <w:szCs w:val="21"/>
                      <w:lang w:val="en-US" w:eastAsia="zh-CN"/>
                    </w:rPr>
                    <w:t>厂界</w:t>
                  </w:r>
                </w:p>
              </w:tc>
              <w:tc>
                <w:tcPr>
                  <w:tcW w:w="1923" w:type="dxa"/>
                  <w:noWrap w:val="0"/>
                  <w:vAlign w:val="center"/>
                </w:tcPr>
                <w:p>
                  <w:pPr>
                    <w:widowControl/>
                    <w:jc w:val="center"/>
                    <w:rPr>
                      <w:color w:val="auto"/>
                      <w:szCs w:val="21"/>
                    </w:rPr>
                  </w:pPr>
                  <w:r>
                    <w:rPr>
                      <w:rFonts w:hint="eastAsia" w:ascii="宋体" w:hAnsi="宋体" w:cs="宋体"/>
                      <w:color w:val="auto"/>
                      <w:kern w:val="0"/>
                      <w:szCs w:val="21"/>
                      <w:lang w:bidi="ar"/>
                    </w:rPr>
                    <w:t xml:space="preserve">等效连续 </w:t>
                  </w:r>
                  <w:r>
                    <w:rPr>
                      <w:color w:val="auto"/>
                      <w:kern w:val="0"/>
                      <w:szCs w:val="21"/>
                      <w:lang w:bidi="ar"/>
                    </w:rPr>
                    <w:t xml:space="preserve">A </w:t>
                  </w:r>
                  <w:r>
                    <w:rPr>
                      <w:rFonts w:hint="eastAsia" w:ascii="宋体" w:hAnsi="宋体" w:cs="宋体"/>
                      <w:color w:val="auto"/>
                      <w:kern w:val="0"/>
                      <w:szCs w:val="21"/>
                      <w:lang w:bidi="ar"/>
                    </w:rPr>
                    <w:t>声级</w:t>
                  </w:r>
                </w:p>
              </w:tc>
              <w:tc>
                <w:tcPr>
                  <w:tcW w:w="1200" w:type="dxa"/>
                  <w:noWrap w:val="0"/>
                  <w:vAlign w:val="center"/>
                </w:tcPr>
                <w:p>
                  <w:pPr>
                    <w:widowControl/>
                    <w:jc w:val="center"/>
                    <w:rPr>
                      <w:color w:val="auto"/>
                      <w:szCs w:val="21"/>
                    </w:rPr>
                  </w:pPr>
                  <w:r>
                    <w:rPr>
                      <w:color w:val="auto"/>
                      <w:kern w:val="0"/>
                      <w:szCs w:val="21"/>
                      <w:lang w:bidi="ar"/>
                    </w:rPr>
                    <w:t xml:space="preserve">1 </w:t>
                  </w:r>
                  <w:r>
                    <w:rPr>
                      <w:rFonts w:hint="eastAsia" w:ascii="宋体" w:hAnsi="宋体" w:cs="宋体"/>
                      <w:color w:val="auto"/>
                      <w:kern w:val="0"/>
                      <w:szCs w:val="21"/>
                      <w:lang w:bidi="ar"/>
                    </w:rPr>
                    <w:t>次</w:t>
                  </w:r>
                  <w:r>
                    <w:rPr>
                      <w:color w:val="auto"/>
                      <w:kern w:val="0"/>
                      <w:szCs w:val="21"/>
                      <w:lang w:bidi="ar"/>
                    </w:rPr>
                    <w:t>/</w:t>
                  </w:r>
                  <w:r>
                    <w:rPr>
                      <w:rFonts w:hint="eastAsia" w:ascii="宋体" w:hAnsi="宋体" w:cs="宋体"/>
                      <w:color w:val="auto"/>
                      <w:kern w:val="0"/>
                      <w:szCs w:val="21"/>
                      <w:lang w:bidi="ar"/>
                    </w:rPr>
                    <w:t>季度</w:t>
                  </w:r>
                </w:p>
              </w:tc>
              <w:tc>
                <w:tcPr>
                  <w:tcW w:w="3622" w:type="dxa"/>
                  <w:noWrap w:val="0"/>
                  <w:vAlign w:val="center"/>
                </w:tcPr>
                <w:p>
                  <w:pPr>
                    <w:pStyle w:val="9"/>
                    <w:spacing w:line="240" w:lineRule="auto"/>
                    <w:jc w:val="center"/>
                    <w:rPr>
                      <w:color w:val="auto"/>
                      <w:sz w:val="21"/>
                      <w:szCs w:val="21"/>
                      <w:lang w:val="en-US" w:eastAsia="zh-CN"/>
                    </w:rPr>
                  </w:pPr>
                  <w:r>
                    <w:rPr>
                      <w:color w:val="auto"/>
                      <w:sz w:val="21"/>
                      <w:szCs w:val="21"/>
                      <w:lang w:val="en-US" w:eastAsia="zh-CN"/>
                    </w:rPr>
                    <w:t>《工业企业厂界环境噪声排放标准》（GB12348-2008）中的</w:t>
                  </w:r>
                  <w:r>
                    <w:rPr>
                      <w:rFonts w:hint="eastAsia"/>
                      <w:color w:val="auto"/>
                      <w:sz w:val="21"/>
                      <w:szCs w:val="21"/>
                      <w:lang w:val="en-US" w:eastAsia="zh-CN"/>
                    </w:rPr>
                    <w:t>3</w:t>
                  </w:r>
                  <w:r>
                    <w:rPr>
                      <w:color w:val="auto"/>
                      <w:sz w:val="21"/>
                      <w:szCs w:val="21"/>
                      <w:lang w:val="en-US" w:eastAsia="zh-CN"/>
                    </w:rPr>
                    <w:t>类标准</w:t>
                  </w:r>
                </w:p>
              </w:tc>
            </w:tr>
          </w:tbl>
          <w:p>
            <w:pPr>
              <w:pStyle w:val="25"/>
              <w:snapToGrid w:val="0"/>
              <w:spacing w:before="120" w:beforeLines="50" w:line="360" w:lineRule="auto"/>
              <w:ind w:firstLine="482" w:firstLineChars="200"/>
              <w:jc w:val="both"/>
              <w:rPr>
                <w:b/>
                <w:bCs/>
                <w:color w:val="auto"/>
                <w:kern w:val="2"/>
              </w:rPr>
            </w:pPr>
            <w:r>
              <w:rPr>
                <w:rFonts w:hint="eastAsia"/>
                <w:b/>
                <w:bCs/>
                <w:color w:val="auto"/>
                <w:kern w:val="2"/>
                <w:lang w:eastAsia="zh-CN"/>
              </w:rPr>
              <w:t>（四）</w:t>
            </w:r>
            <w:r>
              <w:rPr>
                <w:b/>
                <w:bCs/>
                <w:color w:val="auto"/>
                <w:kern w:val="2"/>
              </w:rPr>
              <w:t>固废</w:t>
            </w:r>
          </w:p>
          <w:p>
            <w:pPr>
              <w:pStyle w:val="25"/>
              <w:spacing w:line="360" w:lineRule="auto"/>
              <w:ind w:firstLine="480" w:firstLineChars="200"/>
              <w:rPr>
                <w:color w:val="auto"/>
                <w:kern w:val="2"/>
              </w:rPr>
            </w:pPr>
            <w:r>
              <w:rPr>
                <w:rFonts w:hint="eastAsia"/>
                <w:color w:val="auto"/>
                <w:kern w:val="2"/>
                <w:lang w:val="en-US" w:eastAsia="zh-CN"/>
              </w:rPr>
              <w:t>1、</w:t>
            </w:r>
            <w:r>
              <w:rPr>
                <w:color w:val="auto"/>
                <w:kern w:val="2"/>
              </w:rPr>
              <w:t>本项目营运期产生的副产物主要有：</w:t>
            </w:r>
          </w:p>
          <w:p>
            <w:pPr>
              <w:pStyle w:val="25"/>
              <w:numPr>
                <w:ilvl w:val="0"/>
                <w:numId w:val="6"/>
              </w:numPr>
              <w:spacing w:line="360" w:lineRule="auto"/>
              <w:ind w:firstLine="480" w:firstLineChars="200"/>
              <w:rPr>
                <w:color w:val="auto"/>
                <w:kern w:val="2"/>
              </w:rPr>
            </w:pPr>
            <w:r>
              <w:rPr>
                <w:color w:val="auto"/>
                <w:kern w:val="2"/>
              </w:rPr>
              <w:t>生活垃圾：项目劳动定员</w:t>
            </w:r>
            <w:r>
              <w:rPr>
                <w:rFonts w:hint="eastAsia"/>
                <w:color w:val="auto"/>
                <w:kern w:val="2"/>
                <w:lang w:val="en-US" w:eastAsia="zh-CN"/>
              </w:rPr>
              <w:t>15</w:t>
            </w:r>
            <w:r>
              <w:rPr>
                <w:color w:val="auto"/>
                <w:kern w:val="2"/>
              </w:rPr>
              <w:t>人，年工作</w:t>
            </w:r>
            <w:r>
              <w:rPr>
                <w:rFonts w:hint="eastAsia"/>
                <w:color w:val="auto"/>
                <w:kern w:val="2"/>
                <w:lang w:val="en-US" w:eastAsia="zh-CN"/>
              </w:rPr>
              <w:t>30</w:t>
            </w:r>
            <w:r>
              <w:rPr>
                <w:color w:val="auto"/>
                <w:kern w:val="2"/>
              </w:rPr>
              <w:t>0天，生活垃圾产生量以0.5kg/(d.人)计，则生活垃圾产生量约2.</w:t>
            </w:r>
            <w:r>
              <w:rPr>
                <w:rFonts w:hint="eastAsia"/>
                <w:color w:val="auto"/>
                <w:kern w:val="2"/>
                <w:lang w:val="en-US" w:eastAsia="zh-CN"/>
              </w:rPr>
              <w:t>2</w:t>
            </w:r>
            <w:r>
              <w:rPr>
                <w:color w:val="auto"/>
                <w:kern w:val="2"/>
              </w:rPr>
              <w:t>5t/a，定期委托环卫部门清运。</w:t>
            </w:r>
          </w:p>
          <w:p>
            <w:pPr>
              <w:pStyle w:val="25"/>
              <w:numPr>
                <w:ilvl w:val="0"/>
                <w:numId w:val="6"/>
              </w:numPr>
              <w:spacing w:line="360" w:lineRule="auto"/>
              <w:ind w:left="0" w:leftChars="0" w:firstLine="480" w:firstLineChars="200"/>
              <w:rPr>
                <w:color w:val="auto"/>
                <w:kern w:val="2"/>
              </w:rPr>
            </w:pPr>
            <w:r>
              <w:rPr>
                <w:rFonts w:hint="default" w:ascii="Times New Roman" w:hAnsi="Times New Roman" w:cs="Times New Roman"/>
                <w:color w:val="000000" w:themeColor="text1"/>
                <w14:textFill>
                  <w14:solidFill>
                    <w14:schemeClr w14:val="tx1"/>
                  </w14:solidFill>
                </w14:textFill>
              </w:rPr>
              <w:t>不合格品：生产过程中会产生少量不合格品，产生量约占产品总量的3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，则不合格品产生量为</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p>
          <w:p>
            <w:pPr>
              <w:pStyle w:val="25"/>
              <w:numPr>
                <w:ilvl w:val="0"/>
                <w:numId w:val="6"/>
              </w:numPr>
              <w:spacing w:line="360" w:lineRule="auto"/>
              <w:ind w:left="0" w:leftChars="0" w:firstLine="480" w:firstLineChars="200"/>
              <w:rPr>
                <w:color w:val="auto"/>
                <w:kern w:val="2"/>
              </w:rPr>
            </w:pPr>
            <w:r>
              <w:rPr>
                <w:rFonts w:hint="eastAsia"/>
                <w:color w:val="auto"/>
                <w:kern w:val="2"/>
                <w:lang w:eastAsia="zh-CN"/>
              </w:rPr>
              <w:t>边角料：</w:t>
            </w:r>
            <w:r>
              <w:rPr>
                <w:rFonts w:hAnsi="宋体"/>
                <w:color w:val="000000"/>
                <w:spacing w:val="6"/>
                <w:sz w:val="24"/>
              </w:rPr>
              <w:t>本项目在吹塑过程在会对成型的</w:t>
            </w:r>
            <w:r>
              <w:rPr>
                <w:rFonts w:hint="eastAsia" w:hAnsi="宋体"/>
                <w:color w:val="000000"/>
                <w:spacing w:val="6"/>
                <w:sz w:val="24"/>
              </w:rPr>
              <w:t>产品</w:t>
            </w:r>
            <w:r>
              <w:rPr>
                <w:rFonts w:hAnsi="宋体"/>
                <w:color w:val="000000"/>
                <w:spacing w:val="6"/>
                <w:sz w:val="24"/>
              </w:rPr>
              <w:t>进行修剪，会产生一定</w:t>
            </w:r>
            <w:r>
              <w:rPr>
                <w:rFonts w:hint="eastAsia" w:hAnsi="宋体"/>
                <w:color w:val="000000"/>
                <w:spacing w:val="6"/>
                <w:sz w:val="24"/>
              </w:rPr>
              <w:t>量</w:t>
            </w:r>
            <w:r>
              <w:rPr>
                <w:rFonts w:hAnsi="宋体"/>
                <w:color w:val="000000"/>
                <w:spacing w:val="6"/>
                <w:sz w:val="24"/>
              </w:rPr>
              <w:t>的边角料</w:t>
            </w:r>
            <w:r>
              <w:rPr>
                <w:rFonts w:hint="eastAsia" w:hAnsi="宋体"/>
                <w:color w:val="000000"/>
                <w:spacing w:val="6"/>
                <w:sz w:val="24"/>
                <w:lang w:eastAsia="zh-CN"/>
              </w:rPr>
              <w:t>，</w:t>
            </w:r>
            <w:r>
              <w:rPr>
                <w:rFonts w:hint="default" w:ascii="Times New Roman" w:hAnsi="Times New Roman" w:cs="Times New Roman"/>
                <w:color w:val="000000" w:themeColor="text1"/>
                <w14:textFill>
                  <w14:solidFill>
                    <w14:schemeClr w14:val="tx1"/>
                  </w14:solidFill>
                </w14:textFill>
              </w:rPr>
              <w:t>边角料产生量约为产品的8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，则边角料产生量为</w:t>
            </w:r>
            <w:r>
              <w:rPr>
                <w:rFonts w:hint="eastAsia" w:cs="Times New Roman"/>
                <w:color w:val="000000" w:themeColor="text1"/>
                <w:lang w:val="en-US" w:eastAsia="zh-CN"/>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t>t/a</w:t>
            </w:r>
            <w:r>
              <w:rPr>
                <w:color w:val="auto"/>
                <w:kern w:val="2"/>
              </w:rPr>
              <w:t>。</w:t>
            </w:r>
          </w:p>
          <w:p>
            <w:pPr>
              <w:pStyle w:val="25"/>
              <w:spacing w:line="360" w:lineRule="auto"/>
              <w:ind w:firstLine="480" w:firstLineChars="200"/>
              <w:rPr>
                <w:rFonts w:hint="eastAsia" w:eastAsia="宋体"/>
                <w:color w:val="auto"/>
                <w:kern w:val="2"/>
                <w:lang w:eastAsia="zh-CN"/>
              </w:rPr>
            </w:pPr>
            <w:r>
              <w:rPr>
                <w:color w:val="auto"/>
                <w:kern w:val="2"/>
              </w:rPr>
              <w:t>（</w:t>
            </w:r>
            <w:r>
              <w:rPr>
                <w:rFonts w:hint="eastAsia"/>
                <w:color w:val="auto"/>
                <w:kern w:val="2"/>
                <w:lang w:val="en-US" w:eastAsia="zh-CN"/>
              </w:rPr>
              <w:t>4</w:t>
            </w:r>
            <w:r>
              <w:rPr>
                <w:color w:val="auto"/>
                <w:kern w:val="2"/>
              </w:rPr>
              <w:t>）</w:t>
            </w:r>
            <w:r>
              <w:rPr>
                <w:rFonts w:hint="eastAsia"/>
                <w:color w:val="auto"/>
                <w:kern w:val="2"/>
                <w:lang w:eastAsia="zh-CN"/>
              </w:rPr>
              <w:t>废包装材料：</w:t>
            </w:r>
            <w:r>
              <w:rPr>
                <w:color w:val="auto"/>
                <w:kern w:val="2"/>
              </w:rPr>
              <w:t>本项目原材料消耗会产生一定量的废包装材料，约0.</w:t>
            </w:r>
            <w:r>
              <w:rPr>
                <w:rFonts w:hint="eastAsia"/>
                <w:color w:val="auto"/>
                <w:kern w:val="2"/>
                <w:lang w:val="en-US" w:eastAsia="zh-CN"/>
              </w:rPr>
              <w:t>6</w:t>
            </w:r>
            <w:r>
              <w:rPr>
                <w:color w:val="auto"/>
                <w:kern w:val="2"/>
              </w:rPr>
              <w:t>t/a</w:t>
            </w:r>
            <w:r>
              <w:rPr>
                <w:rFonts w:hint="eastAsia"/>
                <w:color w:val="auto"/>
                <w:kern w:val="2"/>
                <w:lang w:eastAsia="zh-CN"/>
              </w:rPr>
              <w:t>。</w:t>
            </w:r>
          </w:p>
          <w:p>
            <w:pPr>
              <w:pStyle w:val="25"/>
              <w:spacing w:line="360" w:lineRule="auto"/>
              <w:ind w:firstLine="480" w:firstLineChars="200"/>
              <w:rPr>
                <w:rFonts w:hint="default"/>
                <w:color w:val="auto"/>
                <w:kern w:val="2"/>
                <w:lang w:val="en-US" w:eastAsia="zh-CN"/>
              </w:rPr>
            </w:pPr>
            <w:r>
              <w:rPr>
                <w:rFonts w:hint="eastAsia"/>
                <w:color w:val="auto"/>
                <w:kern w:val="2"/>
              </w:rPr>
              <w:t>（</w:t>
            </w:r>
            <w:r>
              <w:rPr>
                <w:rFonts w:hint="eastAsia"/>
                <w:color w:val="auto"/>
                <w:kern w:val="2"/>
                <w:lang w:val="en-US" w:eastAsia="zh-CN"/>
              </w:rPr>
              <w:t>5</w:t>
            </w:r>
            <w:r>
              <w:rPr>
                <w:rFonts w:hint="eastAsia"/>
                <w:color w:val="auto"/>
                <w:kern w:val="2"/>
              </w:rPr>
              <w:t>）</w:t>
            </w:r>
            <w:r>
              <w:rPr>
                <w:rFonts w:hint="eastAsia"/>
                <w:color w:val="auto"/>
                <w:kern w:val="2"/>
                <w:lang w:eastAsia="zh-CN"/>
              </w:rPr>
              <w:t>废活性炭：</w:t>
            </w:r>
            <w:r>
              <w:rPr>
                <w:rFonts w:hint="eastAsia" w:ascii="Times New Roman" w:hAnsi="Times New Roman" w:cs="Times New Roman"/>
                <w:color w:val="auto"/>
                <w:kern w:val="2"/>
                <w:lang w:eastAsia="zh-CN"/>
              </w:rPr>
              <w:t>根据大气源强核算分析可知，有机废气VOCs（以非甲烷总烃计）的产生量为</w:t>
            </w:r>
            <w:r>
              <w:rPr>
                <w:rFonts w:hint="eastAsia" w:ascii="Times New Roman" w:hAnsi="Times New Roman" w:cs="Times New Roman"/>
                <w:color w:val="auto"/>
                <w:kern w:val="2"/>
                <w:lang w:val="en-US" w:eastAsia="zh-CN"/>
              </w:rPr>
              <w:t>0.</w:t>
            </w:r>
            <w:r>
              <w:rPr>
                <w:rFonts w:hint="eastAsia" w:cs="Times New Roman"/>
                <w:color w:val="auto"/>
                <w:kern w:val="2"/>
                <w:lang w:val="en-US" w:eastAsia="zh-CN"/>
              </w:rPr>
              <w:t>51</w:t>
            </w:r>
            <w:r>
              <w:rPr>
                <w:rFonts w:hint="eastAsia" w:ascii="Times New Roman" w:hAnsi="Times New Roman" w:cs="Times New Roman"/>
                <w:color w:val="auto"/>
                <w:kern w:val="2"/>
                <w:lang w:eastAsia="zh-CN"/>
              </w:rPr>
              <w:t>t/a，按照每1kg活性炭可以吸附0.3kg废气计算，则需活性炭量为</w:t>
            </w:r>
            <w:r>
              <w:rPr>
                <w:rFonts w:hint="eastAsia" w:cs="Times New Roman"/>
                <w:color w:val="auto"/>
                <w:kern w:val="2"/>
                <w:lang w:val="en-US" w:eastAsia="zh-CN"/>
              </w:rPr>
              <w:t>1.</w:t>
            </w:r>
            <w:r>
              <w:rPr>
                <w:rFonts w:hint="eastAsia" w:ascii="Times New Roman" w:hAnsi="Times New Roman" w:cs="Times New Roman"/>
                <w:color w:val="auto"/>
                <w:kern w:val="2"/>
                <w:lang w:val="en-US" w:eastAsia="zh-CN"/>
              </w:rPr>
              <w:t>7</w:t>
            </w:r>
            <w:r>
              <w:rPr>
                <w:rFonts w:hint="eastAsia" w:ascii="Times New Roman" w:hAnsi="Times New Roman" w:cs="Times New Roman"/>
                <w:color w:val="auto"/>
                <w:kern w:val="2"/>
                <w:lang w:eastAsia="zh-CN"/>
              </w:rPr>
              <w:t>t/a，产生的废活性炭为</w:t>
            </w:r>
            <w:r>
              <w:rPr>
                <w:rFonts w:hint="eastAsia" w:cs="Times New Roman"/>
                <w:color w:val="auto"/>
                <w:kern w:val="2"/>
                <w:lang w:val="en-US" w:eastAsia="zh-CN"/>
              </w:rPr>
              <w:t>2.21</w:t>
            </w:r>
            <w:r>
              <w:rPr>
                <w:rFonts w:hint="eastAsia" w:ascii="Times New Roman" w:hAnsi="Times New Roman" w:cs="Times New Roman"/>
                <w:color w:val="auto"/>
                <w:kern w:val="2"/>
                <w:lang w:eastAsia="zh-CN"/>
              </w:rPr>
              <w:t>t/a（含吸附废气）</w:t>
            </w:r>
            <w:r>
              <w:rPr>
                <w:rFonts w:hint="eastAsia"/>
                <w:color w:val="auto"/>
                <w:kern w:val="2"/>
                <w:lang w:eastAsia="zh-CN"/>
              </w:rPr>
              <w:t>。</w:t>
            </w:r>
            <w:r>
              <w:rPr>
                <w:rFonts w:hint="eastAsia"/>
                <w:color w:val="auto"/>
                <w:lang w:val="en-US" w:eastAsia="zh-CN"/>
              </w:rPr>
              <w:t>活性炭填装量约5m³，</w:t>
            </w:r>
            <w:r>
              <w:rPr>
                <w:rFonts w:hint="eastAsia"/>
                <w:color w:val="auto"/>
                <w:kern w:val="2"/>
                <w:lang w:eastAsia="zh-CN"/>
              </w:rPr>
              <w:t>建议活性炭约每</w:t>
            </w:r>
            <w:r>
              <w:rPr>
                <w:rFonts w:hint="eastAsia"/>
                <w:color w:val="auto"/>
                <w:kern w:val="2"/>
                <w:lang w:val="en-US" w:eastAsia="zh-CN"/>
              </w:rPr>
              <w:t>6个月更换1次。</w:t>
            </w:r>
          </w:p>
          <w:p>
            <w:pPr>
              <w:pStyle w:val="25"/>
              <w:spacing w:line="360" w:lineRule="auto"/>
              <w:ind w:firstLine="480" w:firstLineChars="200"/>
              <w:rPr>
                <w:rFonts w:hint="eastAsia" w:eastAsia="宋体"/>
                <w:color w:val="auto"/>
                <w:kern w:val="2"/>
                <w:lang w:val="en-US" w:eastAsia="zh-CN"/>
              </w:rPr>
            </w:pPr>
            <w:r>
              <w:rPr>
                <w:rFonts w:hint="eastAsia"/>
                <w:color w:val="auto"/>
                <w:kern w:val="2"/>
                <w:lang w:eastAsia="zh-CN"/>
              </w:rPr>
              <w:t>（</w:t>
            </w:r>
            <w:r>
              <w:rPr>
                <w:rFonts w:hint="eastAsia"/>
                <w:color w:val="auto"/>
                <w:kern w:val="2"/>
                <w:lang w:val="en-US" w:eastAsia="zh-CN"/>
              </w:rPr>
              <w:t>6</w:t>
            </w:r>
            <w:r>
              <w:rPr>
                <w:rFonts w:hint="eastAsia"/>
                <w:color w:val="auto"/>
                <w:kern w:val="2"/>
                <w:lang w:eastAsia="zh-CN"/>
              </w:rPr>
              <w:t>）废机油：</w:t>
            </w:r>
            <w:r>
              <w:rPr>
                <w:rFonts w:hint="eastAsia"/>
                <w:color w:val="auto"/>
                <w:lang w:eastAsia="zh-CN"/>
              </w:rPr>
              <w:t>注塑机、吹塑机等设备</w:t>
            </w:r>
            <w:r>
              <w:t>在使用</w:t>
            </w:r>
            <w:r>
              <w:rPr>
                <w:rFonts w:hint="eastAsia"/>
              </w:rPr>
              <w:t>、</w:t>
            </w:r>
            <w:r>
              <w:t>保养时产生的废机油</w:t>
            </w:r>
            <w:r>
              <w:rPr>
                <w:rFonts w:hint="eastAsia"/>
              </w:rPr>
              <w:t>，</w:t>
            </w:r>
            <w:r>
              <w:t>产生量约为</w:t>
            </w:r>
            <w:r>
              <w:rPr>
                <w:rFonts w:hint="eastAsia"/>
                <w:lang w:val="en-US" w:eastAsia="zh-CN"/>
              </w:rPr>
              <w:t>3</w:t>
            </w:r>
            <w:r>
              <w:t>t/a</w:t>
            </w:r>
            <w:r>
              <w:rPr>
                <w:rFonts w:hint="eastAsia"/>
                <w:lang w:eastAsia="zh-CN"/>
              </w:rPr>
              <w:t>。</w:t>
            </w:r>
          </w:p>
          <w:p>
            <w:pPr>
              <w:pStyle w:val="25"/>
              <w:spacing w:line="360" w:lineRule="auto"/>
              <w:ind w:firstLine="480" w:firstLineChars="200"/>
              <w:rPr>
                <w:color w:val="auto"/>
                <w:kern w:val="2"/>
              </w:rPr>
            </w:pPr>
            <w:r>
              <w:rPr>
                <w:rFonts w:hint="eastAsia"/>
                <w:color w:val="auto"/>
                <w:kern w:val="2"/>
                <w:lang w:val="en-US" w:eastAsia="zh-CN"/>
              </w:rPr>
              <w:t>2、</w:t>
            </w:r>
            <w:r>
              <w:rPr>
                <w:color w:val="auto"/>
                <w:kern w:val="2"/>
              </w:rPr>
              <w:t>固体废物属性判定</w:t>
            </w:r>
          </w:p>
          <w:p>
            <w:pPr>
              <w:pStyle w:val="25"/>
              <w:spacing w:line="360" w:lineRule="auto"/>
              <w:ind w:firstLine="480" w:firstLineChars="200"/>
              <w:rPr>
                <w:color w:val="auto"/>
                <w:kern w:val="2"/>
              </w:rPr>
            </w:pPr>
            <w:r>
              <w:rPr>
                <w:color w:val="auto"/>
                <w:kern w:val="2"/>
              </w:rPr>
              <w:t>根据《固体废物鉴别标准 通则》（GB34330-2017）的规定，判断每种副产物是否属于固体废物，判定结果详见下表。</w:t>
            </w:r>
          </w:p>
          <w:p>
            <w:pPr>
              <w:pStyle w:val="25"/>
              <w:snapToGrid w:val="0"/>
              <w:spacing w:line="360" w:lineRule="auto"/>
              <w:jc w:val="center"/>
              <w:rPr>
                <w:b/>
                <w:color w:val="auto"/>
              </w:rPr>
            </w:pPr>
          </w:p>
          <w:p>
            <w:pPr>
              <w:pStyle w:val="25"/>
              <w:snapToGrid w:val="0"/>
              <w:spacing w:line="360" w:lineRule="auto"/>
              <w:jc w:val="center"/>
              <w:rPr>
                <w:b/>
                <w:color w:val="auto"/>
              </w:rPr>
            </w:pPr>
          </w:p>
          <w:p>
            <w:pPr>
              <w:pStyle w:val="25"/>
              <w:snapToGrid w:val="0"/>
              <w:spacing w:line="360" w:lineRule="auto"/>
              <w:jc w:val="center"/>
              <w:rPr>
                <w:b/>
                <w:color w:val="auto"/>
              </w:rPr>
            </w:pPr>
          </w:p>
          <w:p>
            <w:pPr>
              <w:pStyle w:val="25"/>
              <w:snapToGrid w:val="0"/>
              <w:spacing w:line="360" w:lineRule="auto"/>
              <w:jc w:val="center"/>
              <w:rPr>
                <w:b/>
                <w:color w:val="auto"/>
              </w:rPr>
            </w:pPr>
          </w:p>
          <w:p>
            <w:pPr>
              <w:pStyle w:val="25"/>
              <w:snapToGrid w:val="0"/>
              <w:spacing w:line="360" w:lineRule="auto"/>
              <w:jc w:val="center"/>
              <w:rPr>
                <w:b/>
                <w:color w:val="auto"/>
              </w:rPr>
            </w:pPr>
          </w:p>
          <w:p>
            <w:pPr>
              <w:pStyle w:val="25"/>
              <w:snapToGrid w:val="0"/>
              <w:spacing w:line="360" w:lineRule="auto"/>
              <w:jc w:val="center"/>
              <w:rPr>
                <w:color w:val="auto"/>
              </w:rPr>
            </w:pPr>
            <w:r>
              <w:rPr>
                <w:b/>
                <w:color w:val="auto"/>
              </w:rPr>
              <w:t>表4-</w:t>
            </w:r>
            <w:r>
              <w:rPr>
                <w:rFonts w:hint="eastAsia"/>
                <w:b/>
                <w:color w:val="auto"/>
              </w:rPr>
              <w:t>1</w:t>
            </w:r>
            <w:r>
              <w:rPr>
                <w:rFonts w:hint="eastAsia"/>
                <w:b/>
                <w:color w:val="auto"/>
                <w:lang w:val="en-US" w:eastAsia="zh-CN"/>
              </w:rPr>
              <w:t>4</w:t>
            </w:r>
            <w:r>
              <w:rPr>
                <w:b/>
                <w:color w:val="auto"/>
              </w:rPr>
              <w:t xml:space="preserve">  项目固体废物属性判定表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788"/>
              <w:gridCol w:w="1149"/>
              <w:gridCol w:w="681"/>
              <w:gridCol w:w="852"/>
              <w:gridCol w:w="975"/>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noWrap w:val="0"/>
                  <w:vAlign w:val="center"/>
                </w:tcPr>
                <w:p>
                  <w:pPr>
                    <w:pStyle w:val="25"/>
                    <w:jc w:val="center"/>
                    <w:rPr>
                      <w:b/>
                      <w:color w:val="auto"/>
                      <w:sz w:val="21"/>
                      <w:szCs w:val="21"/>
                    </w:rPr>
                  </w:pPr>
                  <w:r>
                    <w:rPr>
                      <w:b/>
                      <w:color w:val="auto"/>
                      <w:sz w:val="21"/>
                      <w:szCs w:val="21"/>
                    </w:rPr>
                    <w:t>编号</w:t>
                  </w:r>
                </w:p>
              </w:tc>
              <w:tc>
                <w:tcPr>
                  <w:tcW w:w="1126" w:type="pct"/>
                  <w:noWrap w:val="0"/>
                  <w:vAlign w:val="center"/>
                </w:tcPr>
                <w:p>
                  <w:pPr>
                    <w:pStyle w:val="25"/>
                    <w:jc w:val="center"/>
                    <w:rPr>
                      <w:b/>
                      <w:color w:val="auto"/>
                      <w:sz w:val="21"/>
                      <w:szCs w:val="21"/>
                    </w:rPr>
                  </w:pPr>
                  <w:r>
                    <w:rPr>
                      <w:b/>
                      <w:color w:val="auto"/>
                      <w:sz w:val="21"/>
                      <w:szCs w:val="21"/>
                    </w:rPr>
                    <w:t>副产物名称</w:t>
                  </w:r>
                </w:p>
              </w:tc>
              <w:tc>
                <w:tcPr>
                  <w:tcW w:w="723" w:type="pct"/>
                  <w:noWrap w:val="0"/>
                  <w:vAlign w:val="center"/>
                </w:tcPr>
                <w:p>
                  <w:pPr>
                    <w:pStyle w:val="25"/>
                    <w:jc w:val="center"/>
                    <w:rPr>
                      <w:b/>
                      <w:color w:val="auto"/>
                      <w:sz w:val="21"/>
                      <w:szCs w:val="21"/>
                    </w:rPr>
                  </w:pPr>
                  <w:r>
                    <w:rPr>
                      <w:b/>
                      <w:color w:val="auto"/>
                      <w:sz w:val="21"/>
                      <w:szCs w:val="21"/>
                    </w:rPr>
                    <w:t>产生工序</w:t>
                  </w:r>
                </w:p>
              </w:tc>
              <w:tc>
                <w:tcPr>
                  <w:tcW w:w="429" w:type="pct"/>
                  <w:noWrap w:val="0"/>
                  <w:vAlign w:val="center"/>
                </w:tcPr>
                <w:p>
                  <w:pPr>
                    <w:pStyle w:val="25"/>
                    <w:jc w:val="center"/>
                    <w:rPr>
                      <w:b/>
                      <w:color w:val="auto"/>
                      <w:sz w:val="21"/>
                      <w:szCs w:val="21"/>
                    </w:rPr>
                  </w:pPr>
                  <w:r>
                    <w:rPr>
                      <w:b/>
                      <w:color w:val="auto"/>
                      <w:sz w:val="21"/>
                      <w:szCs w:val="21"/>
                    </w:rPr>
                    <w:t>形态</w:t>
                  </w:r>
                </w:p>
              </w:tc>
              <w:tc>
                <w:tcPr>
                  <w:tcW w:w="536" w:type="pct"/>
                  <w:noWrap w:val="0"/>
                  <w:vAlign w:val="center"/>
                </w:tcPr>
                <w:p>
                  <w:pPr>
                    <w:pStyle w:val="25"/>
                    <w:jc w:val="center"/>
                    <w:rPr>
                      <w:b/>
                      <w:color w:val="auto"/>
                      <w:sz w:val="21"/>
                      <w:szCs w:val="21"/>
                    </w:rPr>
                  </w:pPr>
                  <w:r>
                    <w:rPr>
                      <w:b/>
                      <w:color w:val="auto"/>
                      <w:sz w:val="21"/>
                      <w:szCs w:val="21"/>
                    </w:rPr>
                    <w:t>主要成分</w:t>
                  </w:r>
                </w:p>
              </w:tc>
              <w:tc>
                <w:tcPr>
                  <w:tcW w:w="614" w:type="pct"/>
                  <w:noWrap w:val="0"/>
                  <w:vAlign w:val="center"/>
                </w:tcPr>
                <w:p>
                  <w:pPr>
                    <w:pStyle w:val="25"/>
                    <w:jc w:val="center"/>
                    <w:rPr>
                      <w:b/>
                      <w:color w:val="auto"/>
                      <w:sz w:val="21"/>
                      <w:szCs w:val="21"/>
                    </w:rPr>
                  </w:pPr>
                  <w:r>
                    <w:rPr>
                      <w:b/>
                      <w:color w:val="auto"/>
                      <w:sz w:val="21"/>
                      <w:szCs w:val="21"/>
                    </w:rPr>
                    <w:t>是否属固体废物</w:t>
                  </w:r>
                </w:p>
              </w:tc>
              <w:tc>
                <w:tcPr>
                  <w:tcW w:w="614" w:type="pct"/>
                  <w:noWrap w:val="0"/>
                  <w:vAlign w:val="center"/>
                </w:tcPr>
                <w:p>
                  <w:pPr>
                    <w:pStyle w:val="25"/>
                    <w:jc w:val="center"/>
                    <w:rPr>
                      <w:b/>
                      <w:color w:val="auto"/>
                      <w:sz w:val="21"/>
                      <w:szCs w:val="21"/>
                    </w:rPr>
                  </w:pPr>
                  <w:r>
                    <w:rPr>
                      <w:b/>
                      <w:color w:val="auto"/>
                      <w:sz w:val="21"/>
                      <w:szCs w:val="21"/>
                    </w:rPr>
                    <w:t>判断依据</w:t>
                  </w:r>
                </w:p>
              </w:tc>
              <w:tc>
                <w:tcPr>
                  <w:tcW w:w="614" w:type="pct"/>
                  <w:noWrap w:val="0"/>
                  <w:vAlign w:val="center"/>
                </w:tcPr>
                <w:p>
                  <w:pPr>
                    <w:pStyle w:val="25"/>
                    <w:jc w:val="center"/>
                    <w:rPr>
                      <w:rFonts w:hint="eastAsia" w:eastAsia="宋体"/>
                      <w:b/>
                      <w:color w:val="auto"/>
                      <w:sz w:val="21"/>
                      <w:szCs w:val="21"/>
                      <w:lang w:eastAsia="zh-CN"/>
                    </w:rPr>
                  </w:pPr>
                  <w:r>
                    <w:rPr>
                      <w:rFonts w:hint="eastAsia"/>
                      <w:b/>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41" w:type="pct"/>
                  <w:noWrap w:val="0"/>
                  <w:vAlign w:val="center"/>
                </w:tcPr>
                <w:p>
                  <w:pPr>
                    <w:pStyle w:val="25"/>
                    <w:snapToGrid w:val="0"/>
                    <w:jc w:val="center"/>
                    <w:rPr>
                      <w:color w:val="auto"/>
                      <w:sz w:val="21"/>
                      <w:szCs w:val="21"/>
                    </w:rPr>
                  </w:pPr>
                  <w:r>
                    <w:rPr>
                      <w:color w:val="auto"/>
                      <w:sz w:val="21"/>
                      <w:szCs w:val="21"/>
                    </w:rPr>
                    <w:t>1</w:t>
                  </w:r>
                </w:p>
              </w:tc>
              <w:tc>
                <w:tcPr>
                  <w:tcW w:w="1126" w:type="pct"/>
                  <w:noWrap w:val="0"/>
                  <w:vAlign w:val="center"/>
                </w:tcPr>
                <w:p>
                  <w:pPr>
                    <w:pStyle w:val="25"/>
                    <w:snapToGrid w:val="0"/>
                    <w:jc w:val="center"/>
                    <w:rPr>
                      <w:rFonts w:hint="eastAsia" w:eastAsia="宋体"/>
                      <w:color w:val="auto"/>
                      <w:sz w:val="21"/>
                      <w:szCs w:val="21"/>
                      <w:lang w:eastAsia="zh-CN"/>
                    </w:rPr>
                  </w:pPr>
                  <w:r>
                    <w:rPr>
                      <w:color w:val="auto"/>
                      <w:sz w:val="21"/>
                      <w:szCs w:val="21"/>
                    </w:rPr>
                    <w:t>不合格产品</w:t>
                  </w:r>
                </w:p>
              </w:tc>
              <w:tc>
                <w:tcPr>
                  <w:tcW w:w="723" w:type="pct"/>
                  <w:noWrap w:val="0"/>
                  <w:vAlign w:val="center"/>
                </w:tcPr>
                <w:p>
                  <w:pPr>
                    <w:pStyle w:val="25"/>
                    <w:snapToGrid w:val="0"/>
                    <w:jc w:val="center"/>
                    <w:rPr>
                      <w:color w:val="auto"/>
                      <w:sz w:val="21"/>
                      <w:szCs w:val="21"/>
                    </w:rPr>
                  </w:pPr>
                  <w:r>
                    <w:rPr>
                      <w:rFonts w:hint="default" w:ascii="Times New Roman" w:hAnsi="Times New Roman" w:cs="Times New Roman"/>
                      <w:sz w:val="21"/>
                      <w:szCs w:val="21"/>
                      <w:lang w:eastAsia="zh-CN"/>
                    </w:rPr>
                    <w:t>机加工</w:t>
                  </w:r>
                </w:p>
              </w:tc>
              <w:tc>
                <w:tcPr>
                  <w:tcW w:w="429" w:type="pct"/>
                  <w:noWrap w:val="0"/>
                  <w:vAlign w:val="center"/>
                </w:tcPr>
                <w:p>
                  <w:pPr>
                    <w:pStyle w:val="25"/>
                    <w:snapToGrid w:val="0"/>
                    <w:jc w:val="center"/>
                    <w:rPr>
                      <w:color w:val="auto"/>
                      <w:sz w:val="21"/>
                      <w:szCs w:val="21"/>
                    </w:rPr>
                  </w:pPr>
                  <w:r>
                    <w:rPr>
                      <w:rFonts w:hint="default" w:ascii="Times New Roman" w:hAnsi="Times New Roman" w:cs="Times New Roman"/>
                      <w:sz w:val="21"/>
                      <w:szCs w:val="21"/>
                    </w:rPr>
                    <w:t>固态</w:t>
                  </w:r>
                </w:p>
              </w:tc>
              <w:tc>
                <w:tcPr>
                  <w:tcW w:w="536" w:type="pct"/>
                  <w:noWrap w:val="0"/>
                  <w:vAlign w:val="center"/>
                </w:tcPr>
                <w:p>
                  <w:pPr>
                    <w:pStyle w:val="25"/>
                    <w:snapToGrid w:val="0"/>
                    <w:jc w:val="center"/>
                    <w:rPr>
                      <w:rFonts w:hint="eastAsia" w:eastAsia="宋体"/>
                      <w:color w:val="auto"/>
                      <w:sz w:val="21"/>
                      <w:szCs w:val="21"/>
                      <w:lang w:eastAsia="zh-CN"/>
                    </w:rPr>
                  </w:pPr>
                  <w:r>
                    <w:rPr>
                      <w:rFonts w:hint="default" w:ascii="Times New Roman" w:hAnsi="Times New Roman" w:cs="Times New Roman"/>
                      <w:sz w:val="21"/>
                      <w:szCs w:val="21"/>
                    </w:rPr>
                    <w:t>/</w:t>
                  </w:r>
                </w:p>
              </w:tc>
              <w:tc>
                <w:tcPr>
                  <w:tcW w:w="614" w:type="pct"/>
                  <w:noWrap w:val="0"/>
                  <w:vAlign w:val="center"/>
                </w:tcPr>
                <w:p>
                  <w:pPr>
                    <w:pStyle w:val="25"/>
                    <w:jc w:val="center"/>
                    <w:rPr>
                      <w:rFonts w:hint="eastAsia" w:eastAsia="宋体"/>
                      <w:color w:val="auto"/>
                      <w:sz w:val="21"/>
                      <w:szCs w:val="21"/>
                      <w:lang w:val="en-US" w:eastAsia="zh-CN"/>
                    </w:rPr>
                  </w:pPr>
                  <w:r>
                    <w:rPr>
                      <w:rFonts w:hint="eastAsia"/>
                      <w:color w:val="auto"/>
                      <w:sz w:val="21"/>
                      <w:szCs w:val="21"/>
                      <w:lang w:val="en-US" w:eastAsia="zh-CN"/>
                    </w:rPr>
                    <w:t>是</w:t>
                  </w:r>
                </w:p>
              </w:tc>
              <w:tc>
                <w:tcPr>
                  <w:tcW w:w="614" w:type="pct"/>
                  <w:noWrap w:val="0"/>
                  <w:vAlign w:val="center"/>
                </w:tcPr>
                <w:p>
                  <w:pPr>
                    <w:pStyle w:val="25"/>
                    <w:jc w:val="center"/>
                    <w:rPr>
                      <w:color w:val="auto"/>
                      <w:sz w:val="21"/>
                      <w:szCs w:val="21"/>
                    </w:rPr>
                  </w:pPr>
                  <w:r>
                    <w:rPr>
                      <w:rFonts w:hint="default" w:ascii="Times New Roman" w:hAnsi="Times New Roman" w:cs="Times New Roman"/>
                      <w:sz w:val="21"/>
                      <w:szCs w:val="21"/>
                    </w:rPr>
                    <w:t>4.1 a</w:t>
                  </w:r>
                </w:p>
              </w:tc>
              <w:tc>
                <w:tcPr>
                  <w:tcW w:w="614" w:type="pct"/>
                  <w:noWrap w:val="0"/>
                  <w:vAlign w:val="center"/>
                </w:tcPr>
                <w:p>
                  <w:pPr>
                    <w:pStyle w:val="25"/>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41" w:type="pct"/>
                  <w:noWrap w:val="0"/>
                  <w:vAlign w:val="center"/>
                </w:tcPr>
                <w:p>
                  <w:pPr>
                    <w:pStyle w:val="25"/>
                    <w:snapToGrid w:val="0"/>
                    <w:jc w:val="center"/>
                    <w:rPr>
                      <w:color w:val="auto"/>
                      <w:sz w:val="21"/>
                      <w:szCs w:val="21"/>
                    </w:rPr>
                  </w:pPr>
                  <w:r>
                    <w:rPr>
                      <w:color w:val="auto"/>
                      <w:sz w:val="21"/>
                      <w:szCs w:val="21"/>
                    </w:rPr>
                    <w:t>2</w:t>
                  </w:r>
                </w:p>
              </w:tc>
              <w:tc>
                <w:tcPr>
                  <w:tcW w:w="1126" w:type="pct"/>
                  <w:noWrap w:val="0"/>
                  <w:vAlign w:val="center"/>
                </w:tcPr>
                <w:p>
                  <w:pPr>
                    <w:pStyle w:val="25"/>
                    <w:snapToGrid w:val="0"/>
                    <w:jc w:val="center"/>
                    <w:rPr>
                      <w:color w:val="auto"/>
                      <w:sz w:val="21"/>
                      <w:szCs w:val="21"/>
                    </w:rPr>
                  </w:pPr>
                  <w:r>
                    <w:rPr>
                      <w:rFonts w:hint="eastAsia"/>
                      <w:color w:val="auto"/>
                      <w:sz w:val="21"/>
                      <w:szCs w:val="21"/>
                      <w:lang w:eastAsia="zh-CN"/>
                    </w:rPr>
                    <w:t>边角料</w:t>
                  </w:r>
                </w:p>
              </w:tc>
              <w:tc>
                <w:tcPr>
                  <w:tcW w:w="723" w:type="pct"/>
                  <w:noWrap w:val="0"/>
                  <w:vAlign w:val="center"/>
                </w:tcPr>
                <w:p>
                  <w:pPr>
                    <w:pStyle w:val="25"/>
                    <w:snapToGrid w:val="0"/>
                    <w:jc w:val="center"/>
                    <w:rPr>
                      <w:color w:val="auto"/>
                      <w:sz w:val="21"/>
                      <w:szCs w:val="21"/>
                    </w:rPr>
                  </w:pPr>
                  <w:r>
                    <w:rPr>
                      <w:rFonts w:hint="default" w:ascii="Times New Roman" w:hAnsi="Times New Roman" w:cs="Times New Roman"/>
                      <w:sz w:val="21"/>
                      <w:szCs w:val="21"/>
                      <w:lang w:eastAsia="zh-CN"/>
                    </w:rPr>
                    <w:t>机加工</w:t>
                  </w:r>
                </w:p>
              </w:tc>
              <w:tc>
                <w:tcPr>
                  <w:tcW w:w="429" w:type="pct"/>
                  <w:noWrap w:val="0"/>
                  <w:vAlign w:val="center"/>
                </w:tcPr>
                <w:p>
                  <w:pPr>
                    <w:pStyle w:val="25"/>
                    <w:snapToGrid w:val="0"/>
                    <w:jc w:val="center"/>
                    <w:rPr>
                      <w:color w:val="auto"/>
                      <w:sz w:val="21"/>
                      <w:szCs w:val="21"/>
                    </w:rPr>
                  </w:pPr>
                  <w:r>
                    <w:rPr>
                      <w:rFonts w:hint="default" w:ascii="Times New Roman" w:hAnsi="Times New Roman" w:cs="Times New Roman"/>
                      <w:sz w:val="21"/>
                      <w:szCs w:val="21"/>
                    </w:rPr>
                    <w:t>固态</w:t>
                  </w:r>
                </w:p>
              </w:tc>
              <w:tc>
                <w:tcPr>
                  <w:tcW w:w="536" w:type="pct"/>
                  <w:noWrap w:val="0"/>
                  <w:vAlign w:val="center"/>
                </w:tcPr>
                <w:p>
                  <w:pPr>
                    <w:jc w:val="center"/>
                    <w:rPr>
                      <w:rFonts w:hint="eastAsia"/>
                      <w:color w:val="auto"/>
                      <w:sz w:val="21"/>
                      <w:szCs w:val="21"/>
                      <w:lang w:eastAsia="zh-CN"/>
                    </w:rPr>
                  </w:pPr>
                  <w:r>
                    <w:rPr>
                      <w:rFonts w:hint="default" w:ascii="Times New Roman" w:hAnsi="Times New Roman" w:cs="Times New Roman"/>
                    </w:rPr>
                    <w:t>/</w:t>
                  </w:r>
                </w:p>
              </w:tc>
              <w:tc>
                <w:tcPr>
                  <w:tcW w:w="614" w:type="pct"/>
                  <w:noWrap w:val="0"/>
                  <w:vAlign w:val="center"/>
                </w:tcPr>
                <w:p>
                  <w:pPr>
                    <w:pStyle w:val="25"/>
                    <w:jc w:val="center"/>
                    <w:rPr>
                      <w:rFonts w:hint="eastAsia" w:eastAsia="宋体"/>
                      <w:color w:val="auto"/>
                      <w:sz w:val="21"/>
                      <w:szCs w:val="21"/>
                      <w:lang w:eastAsia="zh-CN"/>
                    </w:rPr>
                  </w:pPr>
                  <w:r>
                    <w:rPr>
                      <w:rFonts w:hint="eastAsia"/>
                      <w:color w:val="auto"/>
                      <w:sz w:val="21"/>
                      <w:szCs w:val="21"/>
                      <w:lang w:eastAsia="zh-CN"/>
                    </w:rPr>
                    <w:t>是</w:t>
                  </w:r>
                </w:p>
              </w:tc>
              <w:tc>
                <w:tcPr>
                  <w:tcW w:w="614" w:type="pct"/>
                  <w:noWrap w:val="0"/>
                  <w:vAlign w:val="center"/>
                </w:tcPr>
                <w:p>
                  <w:pPr>
                    <w:pStyle w:val="25"/>
                    <w:jc w:val="center"/>
                    <w:rPr>
                      <w:color w:val="auto"/>
                      <w:sz w:val="21"/>
                      <w:szCs w:val="21"/>
                    </w:rPr>
                  </w:pPr>
                  <w:r>
                    <w:rPr>
                      <w:rFonts w:hint="default" w:ascii="Times New Roman" w:hAnsi="Times New Roman" w:cs="Times New Roman"/>
                      <w:sz w:val="21"/>
                      <w:szCs w:val="21"/>
                    </w:rPr>
                    <w:t>4.2 a</w:t>
                  </w:r>
                </w:p>
              </w:tc>
              <w:tc>
                <w:tcPr>
                  <w:tcW w:w="614" w:type="pct"/>
                  <w:noWrap w:val="0"/>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noWrap w:val="0"/>
                  <w:vAlign w:val="center"/>
                </w:tcPr>
                <w:p>
                  <w:pPr>
                    <w:pStyle w:val="25"/>
                    <w:snapToGrid w:val="0"/>
                    <w:jc w:val="center"/>
                    <w:rPr>
                      <w:color w:val="auto"/>
                      <w:sz w:val="21"/>
                      <w:szCs w:val="21"/>
                    </w:rPr>
                  </w:pPr>
                  <w:r>
                    <w:rPr>
                      <w:rFonts w:hint="eastAsia"/>
                      <w:color w:val="auto"/>
                      <w:sz w:val="21"/>
                      <w:szCs w:val="21"/>
                      <w:lang w:val="en-US" w:eastAsia="zh-CN"/>
                    </w:rPr>
                    <w:t>3</w:t>
                  </w:r>
                </w:p>
              </w:tc>
              <w:tc>
                <w:tcPr>
                  <w:tcW w:w="1126" w:type="pct"/>
                  <w:noWrap w:val="0"/>
                  <w:vAlign w:val="center"/>
                </w:tcPr>
                <w:p>
                  <w:pPr>
                    <w:pStyle w:val="25"/>
                    <w:snapToGrid w:val="0"/>
                    <w:jc w:val="center"/>
                    <w:rPr>
                      <w:rFonts w:hint="eastAsia" w:eastAsia="宋体"/>
                      <w:color w:val="auto"/>
                      <w:sz w:val="21"/>
                      <w:szCs w:val="21"/>
                      <w:lang w:eastAsia="zh-CN"/>
                    </w:rPr>
                  </w:pPr>
                  <w:r>
                    <w:rPr>
                      <w:color w:val="auto"/>
                      <w:sz w:val="21"/>
                      <w:szCs w:val="21"/>
                    </w:rPr>
                    <w:t>废</w:t>
                  </w:r>
                  <w:r>
                    <w:rPr>
                      <w:rFonts w:hint="eastAsia"/>
                      <w:color w:val="auto"/>
                      <w:sz w:val="21"/>
                      <w:szCs w:val="21"/>
                      <w:lang w:eastAsia="zh-CN"/>
                    </w:rPr>
                    <w:t>包装材料</w:t>
                  </w:r>
                </w:p>
              </w:tc>
              <w:tc>
                <w:tcPr>
                  <w:tcW w:w="723" w:type="pct"/>
                  <w:noWrap w:val="0"/>
                  <w:vAlign w:val="center"/>
                </w:tcPr>
                <w:p>
                  <w:pPr>
                    <w:pStyle w:val="25"/>
                    <w:snapToGrid w:val="0"/>
                    <w:jc w:val="center"/>
                    <w:rPr>
                      <w:rFonts w:hint="eastAsia" w:eastAsia="宋体"/>
                      <w:color w:val="auto"/>
                      <w:sz w:val="21"/>
                      <w:szCs w:val="21"/>
                      <w:lang w:eastAsia="zh-CN"/>
                    </w:rPr>
                  </w:pPr>
                  <w:r>
                    <w:rPr>
                      <w:rFonts w:hint="eastAsia"/>
                      <w:color w:val="auto"/>
                      <w:sz w:val="21"/>
                      <w:szCs w:val="21"/>
                      <w:lang w:eastAsia="zh-CN"/>
                    </w:rPr>
                    <w:t>原辅料</w:t>
                  </w:r>
                </w:p>
              </w:tc>
              <w:tc>
                <w:tcPr>
                  <w:tcW w:w="429" w:type="pct"/>
                  <w:noWrap w:val="0"/>
                  <w:vAlign w:val="center"/>
                </w:tcPr>
                <w:p>
                  <w:pPr>
                    <w:pStyle w:val="25"/>
                    <w:snapToGrid w:val="0"/>
                    <w:jc w:val="center"/>
                    <w:rPr>
                      <w:color w:val="auto"/>
                      <w:sz w:val="21"/>
                      <w:szCs w:val="21"/>
                    </w:rPr>
                  </w:pPr>
                  <w:r>
                    <w:rPr>
                      <w:color w:val="auto"/>
                      <w:sz w:val="21"/>
                      <w:szCs w:val="21"/>
                    </w:rPr>
                    <w:t>固态</w:t>
                  </w:r>
                </w:p>
              </w:tc>
              <w:tc>
                <w:tcPr>
                  <w:tcW w:w="536" w:type="pct"/>
                  <w:noWrap w:val="0"/>
                  <w:vAlign w:val="center"/>
                </w:tcPr>
                <w:p>
                  <w:pPr>
                    <w:jc w:val="center"/>
                    <w:rPr>
                      <w:rFonts w:hint="eastAsia" w:eastAsia="宋体"/>
                      <w:color w:val="auto"/>
                      <w:szCs w:val="21"/>
                      <w:lang w:eastAsia="zh-CN"/>
                    </w:rPr>
                  </w:pPr>
                  <w:r>
                    <w:rPr>
                      <w:rFonts w:hAnsi="宋体"/>
                      <w:color w:val="000000"/>
                      <w:szCs w:val="21"/>
                    </w:rPr>
                    <w:t>纸箱，袋子</w:t>
                  </w:r>
                </w:p>
              </w:tc>
              <w:tc>
                <w:tcPr>
                  <w:tcW w:w="614" w:type="pct"/>
                  <w:noWrap w:val="0"/>
                  <w:vAlign w:val="center"/>
                </w:tcPr>
                <w:p>
                  <w:pPr>
                    <w:pStyle w:val="25"/>
                    <w:jc w:val="center"/>
                    <w:rPr>
                      <w:color w:val="auto"/>
                      <w:sz w:val="21"/>
                      <w:szCs w:val="21"/>
                    </w:rPr>
                  </w:pPr>
                  <w:r>
                    <w:rPr>
                      <w:color w:val="auto"/>
                      <w:sz w:val="21"/>
                      <w:szCs w:val="21"/>
                    </w:rPr>
                    <w:t>是</w:t>
                  </w:r>
                </w:p>
              </w:tc>
              <w:tc>
                <w:tcPr>
                  <w:tcW w:w="614" w:type="pct"/>
                  <w:noWrap w:val="0"/>
                  <w:vAlign w:val="center"/>
                </w:tcPr>
                <w:p>
                  <w:pPr>
                    <w:pStyle w:val="25"/>
                    <w:jc w:val="center"/>
                    <w:rPr>
                      <w:rFonts w:hint="default" w:eastAsia="宋体"/>
                      <w:color w:val="auto"/>
                      <w:sz w:val="21"/>
                      <w:szCs w:val="21"/>
                      <w:lang w:val="en-US" w:eastAsia="zh-CN"/>
                    </w:rPr>
                  </w:pPr>
                  <w:r>
                    <w:rPr>
                      <w:color w:val="auto"/>
                      <w:sz w:val="21"/>
                      <w:szCs w:val="21"/>
                    </w:rPr>
                    <w:t>4.</w:t>
                  </w:r>
                  <w:r>
                    <w:rPr>
                      <w:rFonts w:hint="eastAsia"/>
                      <w:color w:val="auto"/>
                      <w:sz w:val="21"/>
                      <w:szCs w:val="21"/>
                      <w:lang w:val="en-US" w:eastAsia="zh-CN"/>
                    </w:rPr>
                    <w:t>1 a</w:t>
                  </w:r>
                </w:p>
              </w:tc>
              <w:tc>
                <w:tcPr>
                  <w:tcW w:w="614" w:type="pct"/>
                  <w:noWrap w:val="0"/>
                  <w:vAlign w:val="center"/>
                </w:tcPr>
                <w:p>
                  <w:pPr>
                    <w:pStyle w:val="25"/>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noWrap w:val="0"/>
                  <w:vAlign w:val="center"/>
                </w:tcPr>
                <w:p>
                  <w:pPr>
                    <w:pStyle w:val="25"/>
                    <w:snapToGrid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126" w:type="pct"/>
                  <w:noWrap w:val="0"/>
                  <w:vAlign w:val="center"/>
                </w:tcPr>
                <w:p>
                  <w:pPr>
                    <w:pStyle w:val="25"/>
                    <w:snapToGrid w:val="0"/>
                    <w:jc w:val="center"/>
                    <w:rPr>
                      <w:color w:val="auto"/>
                      <w:sz w:val="21"/>
                      <w:szCs w:val="21"/>
                    </w:rPr>
                  </w:pPr>
                  <w:r>
                    <w:rPr>
                      <w:color w:val="auto"/>
                      <w:sz w:val="21"/>
                      <w:szCs w:val="21"/>
                    </w:rPr>
                    <w:t>生活垃圾</w:t>
                  </w:r>
                </w:p>
              </w:tc>
              <w:tc>
                <w:tcPr>
                  <w:tcW w:w="723" w:type="pct"/>
                  <w:noWrap w:val="0"/>
                  <w:vAlign w:val="center"/>
                </w:tcPr>
                <w:p>
                  <w:pPr>
                    <w:pStyle w:val="25"/>
                    <w:snapToGrid w:val="0"/>
                    <w:jc w:val="center"/>
                    <w:rPr>
                      <w:color w:val="auto"/>
                      <w:sz w:val="21"/>
                      <w:szCs w:val="21"/>
                    </w:rPr>
                  </w:pPr>
                  <w:r>
                    <w:rPr>
                      <w:color w:val="auto"/>
                      <w:sz w:val="21"/>
                      <w:szCs w:val="21"/>
                    </w:rPr>
                    <w:t>员工生活</w:t>
                  </w:r>
                </w:p>
              </w:tc>
              <w:tc>
                <w:tcPr>
                  <w:tcW w:w="429" w:type="pct"/>
                  <w:noWrap w:val="0"/>
                  <w:vAlign w:val="center"/>
                </w:tcPr>
                <w:p>
                  <w:pPr>
                    <w:pStyle w:val="25"/>
                    <w:snapToGrid w:val="0"/>
                    <w:jc w:val="center"/>
                    <w:rPr>
                      <w:color w:val="auto"/>
                      <w:sz w:val="21"/>
                      <w:szCs w:val="21"/>
                    </w:rPr>
                  </w:pPr>
                  <w:r>
                    <w:rPr>
                      <w:color w:val="auto"/>
                      <w:sz w:val="21"/>
                      <w:szCs w:val="21"/>
                    </w:rPr>
                    <w:t>固态</w:t>
                  </w:r>
                </w:p>
              </w:tc>
              <w:tc>
                <w:tcPr>
                  <w:tcW w:w="536" w:type="pct"/>
                  <w:noWrap w:val="0"/>
                  <w:vAlign w:val="center"/>
                </w:tcPr>
                <w:p>
                  <w:pPr>
                    <w:pStyle w:val="25"/>
                    <w:snapToGrid w:val="0"/>
                    <w:jc w:val="center"/>
                    <w:rPr>
                      <w:color w:val="auto"/>
                      <w:sz w:val="21"/>
                      <w:szCs w:val="21"/>
                    </w:rPr>
                  </w:pPr>
                  <w:r>
                    <w:rPr>
                      <w:color w:val="auto"/>
                      <w:sz w:val="21"/>
                      <w:szCs w:val="21"/>
                    </w:rPr>
                    <w:t>生活垃圾</w:t>
                  </w:r>
                </w:p>
              </w:tc>
              <w:tc>
                <w:tcPr>
                  <w:tcW w:w="614" w:type="pct"/>
                  <w:noWrap w:val="0"/>
                  <w:vAlign w:val="center"/>
                </w:tcPr>
                <w:p>
                  <w:pPr>
                    <w:pStyle w:val="25"/>
                    <w:jc w:val="center"/>
                    <w:rPr>
                      <w:color w:val="auto"/>
                      <w:sz w:val="21"/>
                      <w:szCs w:val="21"/>
                    </w:rPr>
                  </w:pPr>
                  <w:r>
                    <w:rPr>
                      <w:color w:val="auto"/>
                      <w:sz w:val="21"/>
                      <w:szCs w:val="21"/>
                    </w:rPr>
                    <w:t>是</w:t>
                  </w:r>
                </w:p>
              </w:tc>
              <w:tc>
                <w:tcPr>
                  <w:tcW w:w="614" w:type="pct"/>
                  <w:noWrap w:val="0"/>
                  <w:vAlign w:val="center"/>
                </w:tcPr>
                <w:p>
                  <w:pPr>
                    <w:pStyle w:val="25"/>
                    <w:jc w:val="center"/>
                    <w:rPr>
                      <w:rFonts w:hint="default" w:eastAsia="宋体"/>
                      <w:color w:val="auto"/>
                      <w:sz w:val="21"/>
                      <w:szCs w:val="21"/>
                      <w:lang w:val="en-US" w:eastAsia="zh-CN"/>
                    </w:rPr>
                  </w:pPr>
                  <w:r>
                    <w:rPr>
                      <w:rFonts w:hint="default" w:ascii="Times New Roman" w:hAnsi="Times New Roman" w:cs="Times New Roman"/>
                      <w:sz w:val="21"/>
                      <w:szCs w:val="21"/>
                    </w:rPr>
                    <w:t>4.1 h</w:t>
                  </w:r>
                </w:p>
              </w:tc>
              <w:tc>
                <w:tcPr>
                  <w:tcW w:w="614" w:type="pct"/>
                  <w:noWrap w:val="0"/>
                  <w:vAlign w:val="center"/>
                </w:tcPr>
                <w:p>
                  <w:pPr>
                    <w:pStyle w:val="25"/>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41" w:type="pct"/>
                  <w:noWrap w:val="0"/>
                  <w:vAlign w:val="center"/>
                </w:tcPr>
                <w:p>
                  <w:pPr>
                    <w:pStyle w:val="25"/>
                    <w:snapToGrid w:val="0"/>
                    <w:jc w:val="center"/>
                    <w:rPr>
                      <w:rFonts w:hint="default" w:eastAsia="宋体"/>
                      <w:color w:val="auto"/>
                      <w:sz w:val="21"/>
                      <w:szCs w:val="21"/>
                      <w:lang w:val="en-US" w:eastAsia="zh-CN"/>
                    </w:rPr>
                  </w:pPr>
                  <w:r>
                    <w:rPr>
                      <w:rFonts w:hint="eastAsia"/>
                      <w:color w:val="auto"/>
                      <w:sz w:val="21"/>
                      <w:szCs w:val="21"/>
                      <w:lang w:val="en-US" w:eastAsia="zh-CN"/>
                    </w:rPr>
                    <w:t>5</w:t>
                  </w:r>
                </w:p>
              </w:tc>
              <w:tc>
                <w:tcPr>
                  <w:tcW w:w="1126" w:type="pct"/>
                  <w:noWrap w:val="0"/>
                  <w:vAlign w:val="center"/>
                </w:tcPr>
                <w:p>
                  <w:pPr>
                    <w:jc w:val="center"/>
                    <w:rPr>
                      <w:rFonts w:hint="eastAsia" w:eastAsia="宋体"/>
                      <w:color w:val="auto"/>
                      <w:sz w:val="21"/>
                      <w:szCs w:val="21"/>
                      <w:lang w:eastAsia="zh-CN"/>
                    </w:rPr>
                  </w:pPr>
                  <w:r>
                    <w:rPr>
                      <w:color w:val="auto"/>
                      <w:sz w:val="21"/>
                      <w:szCs w:val="21"/>
                    </w:rPr>
                    <w:t>废活性炭</w:t>
                  </w:r>
                </w:p>
              </w:tc>
              <w:tc>
                <w:tcPr>
                  <w:tcW w:w="723" w:type="pct"/>
                  <w:noWrap w:val="0"/>
                  <w:vAlign w:val="center"/>
                </w:tcPr>
                <w:p>
                  <w:pPr>
                    <w:adjustRightInd w:val="0"/>
                    <w:snapToGrid w:val="0"/>
                    <w:contextualSpacing/>
                    <w:jc w:val="center"/>
                    <w:rPr>
                      <w:rFonts w:hint="eastAsia" w:eastAsia="宋体"/>
                      <w:color w:val="auto"/>
                      <w:sz w:val="21"/>
                      <w:szCs w:val="21"/>
                      <w:lang w:eastAsia="zh-CN"/>
                    </w:rPr>
                  </w:pPr>
                  <w:r>
                    <w:rPr>
                      <w:rFonts w:hint="eastAsia"/>
                      <w:color w:val="auto"/>
                      <w:spacing w:val="0"/>
                      <w:kern w:val="0"/>
                      <w:lang w:eastAsia="zh-CN"/>
                    </w:rPr>
                    <w:t>废气处理</w:t>
                  </w:r>
                </w:p>
              </w:tc>
              <w:tc>
                <w:tcPr>
                  <w:tcW w:w="429" w:type="pct"/>
                  <w:noWrap w:val="0"/>
                  <w:vAlign w:val="center"/>
                </w:tcPr>
                <w:p>
                  <w:pPr>
                    <w:jc w:val="center"/>
                    <w:rPr>
                      <w:color w:val="auto"/>
                      <w:sz w:val="21"/>
                      <w:szCs w:val="21"/>
                    </w:rPr>
                  </w:pPr>
                  <w:r>
                    <w:rPr>
                      <w:rFonts w:hint="eastAsia" w:ascii="Times New Roman" w:hAnsi="Times New Roman"/>
                      <w:color w:val="auto"/>
                      <w:spacing w:val="0"/>
                      <w:kern w:val="0"/>
                      <w:lang w:val="en-US" w:eastAsia="zh-CN"/>
                    </w:rPr>
                    <w:t>固态</w:t>
                  </w:r>
                </w:p>
              </w:tc>
              <w:tc>
                <w:tcPr>
                  <w:tcW w:w="536" w:type="pct"/>
                  <w:noWrap w:val="0"/>
                  <w:vAlign w:val="center"/>
                </w:tcPr>
                <w:p>
                  <w:pPr>
                    <w:adjustRightInd w:val="0"/>
                    <w:snapToGrid w:val="0"/>
                    <w:contextualSpacing/>
                    <w:jc w:val="center"/>
                    <w:rPr>
                      <w:color w:val="auto"/>
                      <w:sz w:val="21"/>
                      <w:szCs w:val="21"/>
                    </w:rPr>
                  </w:pPr>
                  <w:r>
                    <w:rPr>
                      <w:rFonts w:hint="eastAsia"/>
                      <w:color w:val="auto"/>
                      <w:spacing w:val="0"/>
                      <w:kern w:val="0"/>
                      <w:lang w:val="en-US" w:eastAsia="zh-CN"/>
                    </w:rPr>
                    <w:t>活性炭</w:t>
                  </w:r>
                </w:p>
              </w:tc>
              <w:tc>
                <w:tcPr>
                  <w:tcW w:w="614" w:type="pct"/>
                  <w:noWrap w:val="0"/>
                  <w:vAlign w:val="center"/>
                </w:tcPr>
                <w:p>
                  <w:pPr>
                    <w:pStyle w:val="25"/>
                    <w:jc w:val="center"/>
                    <w:rPr>
                      <w:rFonts w:hint="eastAsia" w:eastAsia="宋体"/>
                      <w:color w:val="auto"/>
                      <w:sz w:val="21"/>
                      <w:szCs w:val="21"/>
                      <w:lang w:eastAsia="zh-CN"/>
                    </w:rPr>
                  </w:pPr>
                  <w:r>
                    <w:rPr>
                      <w:rFonts w:hint="eastAsia"/>
                      <w:color w:val="auto"/>
                      <w:sz w:val="21"/>
                      <w:szCs w:val="21"/>
                      <w:lang w:eastAsia="zh-CN"/>
                    </w:rPr>
                    <w:t>是</w:t>
                  </w:r>
                </w:p>
              </w:tc>
              <w:tc>
                <w:tcPr>
                  <w:tcW w:w="614" w:type="pct"/>
                  <w:noWrap w:val="0"/>
                  <w:vAlign w:val="center"/>
                </w:tcPr>
                <w:p>
                  <w:pPr>
                    <w:adjustRightInd w:val="0"/>
                    <w:snapToGrid w:val="0"/>
                    <w:jc w:val="center"/>
                    <w:rPr>
                      <w:rFonts w:hint="default"/>
                      <w:color w:val="auto"/>
                      <w:sz w:val="21"/>
                      <w:szCs w:val="21"/>
                      <w:lang w:val="en-US"/>
                    </w:rPr>
                  </w:pPr>
                  <w:r>
                    <w:rPr>
                      <w:rFonts w:hint="default" w:ascii="Times New Roman" w:hAnsi="Times New Roman" w:cs="Times New Roman"/>
                      <w:sz w:val="21"/>
                      <w:szCs w:val="21"/>
                    </w:rPr>
                    <w:t xml:space="preserve">4.3 </w:t>
                  </w:r>
                  <w:r>
                    <w:rPr>
                      <w:rFonts w:hint="default" w:ascii="Times New Roman" w:hAnsi="Times New Roman" w:cs="Times New Roman"/>
                      <w:sz w:val="21"/>
                      <w:szCs w:val="21"/>
                      <w:lang w:val="en-US" w:eastAsia="zh-CN"/>
                    </w:rPr>
                    <w:t>n</w:t>
                  </w:r>
                </w:p>
              </w:tc>
              <w:tc>
                <w:tcPr>
                  <w:tcW w:w="614" w:type="pct"/>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41" w:type="pct"/>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6</w:t>
                  </w:r>
                </w:p>
              </w:tc>
              <w:tc>
                <w:tcPr>
                  <w:tcW w:w="1126" w:type="pct"/>
                  <w:noWrap w:val="0"/>
                  <w:vAlign w:val="center"/>
                </w:tcPr>
                <w:p>
                  <w:pPr>
                    <w:jc w:val="center"/>
                    <w:rPr>
                      <w:rFonts w:hint="eastAsia" w:eastAsia="宋体"/>
                      <w:color w:val="auto"/>
                      <w:sz w:val="21"/>
                      <w:szCs w:val="21"/>
                      <w:lang w:eastAsia="zh-CN"/>
                    </w:rPr>
                  </w:pPr>
                  <w:r>
                    <w:rPr>
                      <w:rFonts w:hint="eastAsia"/>
                      <w:color w:val="auto"/>
                      <w:sz w:val="21"/>
                      <w:szCs w:val="21"/>
                      <w:lang w:eastAsia="zh-CN"/>
                    </w:rPr>
                    <w:t>废机油</w:t>
                  </w:r>
                </w:p>
              </w:tc>
              <w:tc>
                <w:tcPr>
                  <w:tcW w:w="723" w:type="pct"/>
                  <w:noWrap w:val="0"/>
                  <w:vAlign w:val="center"/>
                </w:tcPr>
                <w:p>
                  <w:pPr>
                    <w:adjustRightInd w:val="0"/>
                    <w:snapToGrid w:val="0"/>
                    <w:contextualSpacing/>
                    <w:jc w:val="center"/>
                    <w:rPr>
                      <w:rFonts w:hint="eastAsia"/>
                      <w:color w:val="auto"/>
                      <w:spacing w:val="0"/>
                      <w:kern w:val="0"/>
                      <w:lang w:eastAsia="zh-CN"/>
                    </w:rPr>
                  </w:pPr>
                  <w:r>
                    <w:rPr>
                      <w:rFonts w:hint="eastAsia"/>
                      <w:color w:val="auto"/>
                      <w:spacing w:val="0"/>
                      <w:kern w:val="0"/>
                      <w:lang w:eastAsia="zh-CN"/>
                    </w:rPr>
                    <w:t>机械设备保养</w:t>
                  </w:r>
                </w:p>
              </w:tc>
              <w:tc>
                <w:tcPr>
                  <w:tcW w:w="429" w:type="pct"/>
                  <w:noWrap w:val="0"/>
                  <w:vAlign w:val="center"/>
                </w:tcPr>
                <w:p>
                  <w:pPr>
                    <w:jc w:val="center"/>
                    <w:rPr>
                      <w:rFonts w:hint="eastAsia" w:ascii="Times New Roman" w:hAnsi="Times New Roman"/>
                      <w:color w:val="auto"/>
                      <w:spacing w:val="0"/>
                      <w:kern w:val="0"/>
                      <w:lang w:val="en-US" w:eastAsia="zh-CN"/>
                    </w:rPr>
                  </w:pPr>
                  <w:r>
                    <w:rPr>
                      <w:rFonts w:hint="eastAsia"/>
                      <w:color w:val="auto"/>
                      <w:spacing w:val="0"/>
                      <w:kern w:val="0"/>
                      <w:lang w:val="en-US" w:eastAsia="zh-CN"/>
                    </w:rPr>
                    <w:t>液态</w:t>
                  </w:r>
                </w:p>
              </w:tc>
              <w:tc>
                <w:tcPr>
                  <w:tcW w:w="536" w:type="pct"/>
                  <w:noWrap w:val="0"/>
                  <w:vAlign w:val="center"/>
                </w:tcPr>
                <w:p>
                  <w:pPr>
                    <w:adjustRightInd w:val="0"/>
                    <w:snapToGrid w:val="0"/>
                    <w:contextualSpacing/>
                    <w:jc w:val="center"/>
                    <w:rPr>
                      <w:rFonts w:hint="eastAsia"/>
                      <w:color w:val="auto"/>
                      <w:spacing w:val="0"/>
                      <w:kern w:val="0"/>
                      <w:lang w:val="en-US" w:eastAsia="zh-CN"/>
                    </w:rPr>
                  </w:pPr>
                  <w:r>
                    <w:rPr>
                      <w:rFonts w:hint="eastAsia"/>
                      <w:color w:val="auto"/>
                      <w:spacing w:val="0"/>
                      <w:kern w:val="0"/>
                      <w:lang w:val="en-US" w:eastAsia="zh-CN"/>
                    </w:rPr>
                    <w:t>石油类</w:t>
                  </w:r>
                </w:p>
              </w:tc>
              <w:tc>
                <w:tcPr>
                  <w:tcW w:w="614" w:type="pct"/>
                  <w:noWrap w:val="0"/>
                  <w:vAlign w:val="center"/>
                </w:tcPr>
                <w:p>
                  <w:pPr>
                    <w:pStyle w:val="25"/>
                    <w:jc w:val="center"/>
                    <w:rPr>
                      <w:rFonts w:hint="eastAsia"/>
                      <w:color w:val="auto"/>
                      <w:sz w:val="21"/>
                      <w:szCs w:val="21"/>
                      <w:lang w:eastAsia="zh-CN"/>
                    </w:rPr>
                  </w:pPr>
                  <w:r>
                    <w:rPr>
                      <w:rFonts w:hint="eastAsia"/>
                      <w:color w:val="auto"/>
                      <w:sz w:val="21"/>
                      <w:szCs w:val="21"/>
                      <w:lang w:eastAsia="zh-CN"/>
                    </w:rPr>
                    <w:t>是</w:t>
                  </w:r>
                </w:p>
              </w:tc>
              <w:tc>
                <w:tcPr>
                  <w:tcW w:w="614"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4.1 d</w:t>
                  </w:r>
                </w:p>
              </w:tc>
              <w:tc>
                <w:tcPr>
                  <w:tcW w:w="614" w:type="pct"/>
                  <w:noWrap w:val="0"/>
                  <w:vAlign w:val="center"/>
                </w:tcPr>
                <w:p>
                  <w:pPr>
                    <w:adjustRightInd w:val="0"/>
                    <w:snapToGrid w:val="0"/>
                    <w:jc w:val="center"/>
                    <w:rPr>
                      <w:rFonts w:hint="eastAsia"/>
                      <w:sz w:val="21"/>
                      <w:szCs w:val="21"/>
                      <w:lang w:val="en-US" w:eastAsia="zh-CN"/>
                    </w:rPr>
                  </w:pPr>
                </w:p>
              </w:tc>
            </w:tr>
          </w:tbl>
          <w:p>
            <w:pPr>
              <w:pStyle w:val="25"/>
              <w:spacing w:before="120" w:beforeLines="50" w:line="360" w:lineRule="auto"/>
              <w:ind w:firstLine="480" w:firstLineChars="200"/>
              <w:rPr>
                <w:color w:val="auto"/>
                <w:kern w:val="2"/>
              </w:rPr>
            </w:pPr>
            <w:r>
              <w:rPr>
                <w:color w:val="auto"/>
                <w:kern w:val="2"/>
              </w:rPr>
              <w:t>3</w:t>
            </w:r>
            <w:r>
              <w:rPr>
                <w:rFonts w:hint="eastAsia"/>
                <w:color w:val="auto"/>
                <w:kern w:val="2"/>
                <w:lang w:eastAsia="zh-CN"/>
              </w:rPr>
              <w:t>、</w:t>
            </w:r>
            <w:r>
              <w:rPr>
                <w:color w:val="auto"/>
                <w:kern w:val="2"/>
              </w:rPr>
              <w:t>危险废物属性判定</w:t>
            </w:r>
          </w:p>
          <w:p>
            <w:pPr>
              <w:pStyle w:val="25"/>
              <w:spacing w:line="360" w:lineRule="auto"/>
              <w:ind w:firstLine="480" w:firstLineChars="200"/>
              <w:rPr>
                <w:b/>
                <w:color w:val="auto"/>
              </w:rPr>
            </w:pPr>
            <w:r>
              <w:rPr>
                <w:color w:val="auto"/>
                <w:kern w:val="2"/>
              </w:rPr>
              <w:t>根据《国家危险废物名录》</w:t>
            </w:r>
            <w:r>
              <w:rPr>
                <w:rFonts w:hint="eastAsia"/>
                <w:color w:val="auto"/>
                <w:kern w:val="2"/>
                <w:lang w:eastAsia="zh-CN"/>
              </w:rPr>
              <w:t>（</w:t>
            </w:r>
            <w:r>
              <w:rPr>
                <w:rFonts w:hint="eastAsia"/>
                <w:color w:val="auto"/>
                <w:kern w:val="2"/>
                <w:lang w:val="en-US" w:eastAsia="zh-CN"/>
              </w:rPr>
              <w:t>2021年版</w:t>
            </w:r>
            <w:r>
              <w:rPr>
                <w:rFonts w:hint="eastAsia"/>
                <w:color w:val="auto"/>
                <w:kern w:val="2"/>
                <w:lang w:eastAsia="zh-CN"/>
              </w:rPr>
              <w:t>）</w:t>
            </w:r>
            <w:r>
              <w:rPr>
                <w:color w:val="auto"/>
                <w:kern w:val="2"/>
              </w:rPr>
              <w:t>以及《危险废物鉴别标准》，判定本项目的固体废物是否属于危险废物，判定结果详见下表。</w:t>
            </w:r>
          </w:p>
          <w:p>
            <w:pPr>
              <w:pStyle w:val="25"/>
              <w:snapToGrid w:val="0"/>
              <w:spacing w:line="360" w:lineRule="auto"/>
              <w:jc w:val="center"/>
              <w:rPr>
                <w:color w:val="auto"/>
              </w:rPr>
            </w:pPr>
            <w:r>
              <w:rPr>
                <w:b/>
                <w:color w:val="auto"/>
              </w:rPr>
              <w:t>表4-</w:t>
            </w:r>
            <w:r>
              <w:rPr>
                <w:rFonts w:hint="eastAsia"/>
                <w:b/>
                <w:color w:val="auto"/>
              </w:rPr>
              <w:t>1</w:t>
            </w:r>
            <w:r>
              <w:rPr>
                <w:rFonts w:hint="eastAsia"/>
                <w:b/>
                <w:color w:val="auto"/>
                <w:lang w:val="en-US" w:eastAsia="zh-CN"/>
              </w:rPr>
              <w:t>5</w:t>
            </w:r>
            <w:r>
              <w:rPr>
                <w:b/>
                <w:color w:val="auto"/>
              </w:rPr>
              <w:t xml:space="preserve">  项目危险废物属性判定表</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282"/>
              <w:gridCol w:w="900"/>
              <w:gridCol w:w="750"/>
              <w:gridCol w:w="1150"/>
              <w:gridCol w:w="1100"/>
              <w:gridCol w:w="788"/>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 w:type="dxa"/>
                  <w:noWrap w:val="0"/>
                  <w:vAlign w:val="center"/>
                </w:tcPr>
                <w:p>
                  <w:pPr>
                    <w:pStyle w:val="25"/>
                    <w:snapToGrid w:val="0"/>
                    <w:jc w:val="center"/>
                    <w:rPr>
                      <w:color w:val="auto"/>
                      <w:sz w:val="21"/>
                      <w:szCs w:val="21"/>
                    </w:rPr>
                  </w:pPr>
                  <w:r>
                    <w:rPr>
                      <w:b/>
                      <w:color w:val="auto"/>
                      <w:sz w:val="21"/>
                      <w:szCs w:val="21"/>
                    </w:rPr>
                    <w:t>编号</w:t>
                  </w:r>
                </w:p>
              </w:tc>
              <w:tc>
                <w:tcPr>
                  <w:tcW w:w="1282" w:type="dxa"/>
                  <w:noWrap w:val="0"/>
                  <w:vAlign w:val="center"/>
                </w:tcPr>
                <w:p>
                  <w:pPr>
                    <w:pStyle w:val="25"/>
                    <w:snapToGrid w:val="0"/>
                    <w:jc w:val="center"/>
                    <w:rPr>
                      <w:color w:val="auto"/>
                      <w:sz w:val="21"/>
                      <w:szCs w:val="21"/>
                    </w:rPr>
                  </w:pPr>
                  <w:r>
                    <w:rPr>
                      <w:b/>
                      <w:color w:val="auto"/>
                      <w:sz w:val="21"/>
                      <w:szCs w:val="21"/>
                    </w:rPr>
                    <w:t>副产物名称</w:t>
                  </w:r>
                </w:p>
              </w:tc>
              <w:tc>
                <w:tcPr>
                  <w:tcW w:w="900" w:type="dxa"/>
                  <w:noWrap w:val="0"/>
                  <w:vAlign w:val="center"/>
                </w:tcPr>
                <w:p>
                  <w:pPr>
                    <w:pStyle w:val="25"/>
                    <w:snapToGrid w:val="0"/>
                    <w:jc w:val="center"/>
                    <w:rPr>
                      <w:color w:val="auto"/>
                      <w:sz w:val="21"/>
                      <w:szCs w:val="21"/>
                    </w:rPr>
                  </w:pPr>
                  <w:r>
                    <w:rPr>
                      <w:b/>
                      <w:color w:val="auto"/>
                      <w:sz w:val="21"/>
                      <w:szCs w:val="21"/>
                    </w:rPr>
                    <w:t>产生工序</w:t>
                  </w:r>
                </w:p>
              </w:tc>
              <w:tc>
                <w:tcPr>
                  <w:tcW w:w="750" w:type="dxa"/>
                  <w:noWrap w:val="0"/>
                  <w:vAlign w:val="center"/>
                </w:tcPr>
                <w:p>
                  <w:pPr>
                    <w:pStyle w:val="25"/>
                    <w:snapToGrid w:val="0"/>
                    <w:jc w:val="center"/>
                    <w:rPr>
                      <w:rFonts w:hint="eastAsia" w:eastAsia="宋体"/>
                      <w:b/>
                      <w:color w:val="auto"/>
                      <w:sz w:val="21"/>
                      <w:szCs w:val="21"/>
                      <w:lang w:eastAsia="zh-CN"/>
                    </w:rPr>
                  </w:pPr>
                  <w:r>
                    <w:rPr>
                      <w:rFonts w:hint="eastAsia"/>
                      <w:b/>
                      <w:color w:val="auto"/>
                      <w:sz w:val="21"/>
                      <w:szCs w:val="21"/>
                      <w:lang w:eastAsia="zh-CN"/>
                    </w:rPr>
                    <w:t>形态</w:t>
                  </w:r>
                </w:p>
              </w:tc>
              <w:tc>
                <w:tcPr>
                  <w:tcW w:w="1150" w:type="dxa"/>
                  <w:noWrap w:val="0"/>
                  <w:vAlign w:val="center"/>
                </w:tcPr>
                <w:p>
                  <w:pPr>
                    <w:pStyle w:val="25"/>
                    <w:snapToGrid w:val="0"/>
                    <w:jc w:val="center"/>
                    <w:rPr>
                      <w:rFonts w:hint="eastAsia" w:eastAsia="宋体"/>
                      <w:b/>
                      <w:color w:val="auto"/>
                      <w:sz w:val="21"/>
                      <w:szCs w:val="21"/>
                      <w:lang w:eastAsia="zh-CN"/>
                    </w:rPr>
                  </w:pPr>
                  <w:r>
                    <w:rPr>
                      <w:rFonts w:hint="eastAsia"/>
                      <w:b/>
                      <w:color w:val="auto"/>
                      <w:sz w:val="21"/>
                      <w:szCs w:val="21"/>
                      <w:lang w:eastAsia="zh-CN"/>
                    </w:rPr>
                    <w:t>主要成分</w:t>
                  </w:r>
                </w:p>
              </w:tc>
              <w:tc>
                <w:tcPr>
                  <w:tcW w:w="1100" w:type="dxa"/>
                  <w:noWrap w:val="0"/>
                  <w:vAlign w:val="center"/>
                </w:tcPr>
                <w:p>
                  <w:pPr>
                    <w:pStyle w:val="25"/>
                    <w:snapToGrid w:val="0"/>
                    <w:jc w:val="center"/>
                    <w:rPr>
                      <w:color w:val="auto"/>
                      <w:sz w:val="21"/>
                      <w:szCs w:val="21"/>
                    </w:rPr>
                  </w:pPr>
                  <w:r>
                    <w:rPr>
                      <w:b/>
                      <w:color w:val="auto"/>
                      <w:sz w:val="21"/>
                      <w:szCs w:val="21"/>
                    </w:rPr>
                    <w:t>是否属危险废物</w:t>
                  </w:r>
                </w:p>
              </w:tc>
              <w:tc>
                <w:tcPr>
                  <w:tcW w:w="788" w:type="dxa"/>
                  <w:noWrap w:val="0"/>
                  <w:vAlign w:val="center"/>
                </w:tcPr>
                <w:p>
                  <w:pPr>
                    <w:pStyle w:val="25"/>
                    <w:snapToGrid w:val="0"/>
                    <w:jc w:val="center"/>
                    <w:rPr>
                      <w:rFonts w:hint="default"/>
                      <w:b/>
                      <w:color w:val="auto"/>
                      <w:sz w:val="21"/>
                      <w:szCs w:val="21"/>
                      <w:lang w:val="en-US" w:eastAsia="zh-CN"/>
                    </w:rPr>
                  </w:pPr>
                  <w:r>
                    <w:rPr>
                      <w:rFonts w:hint="default"/>
                      <w:b/>
                      <w:color w:val="auto"/>
                      <w:sz w:val="21"/>
                      <w:szCs w:val="21"/>
                      <w:lang w:val="en-US" w:eastAsia="zh-CN"/>
                    </w:rPr>
                    <w:t>危险</w:t>
                  </w:r>
                </w:p>
                <w:p>
                  <w:pPr>
                    <w:pStyle w:val="25"/>
                    <w:snapToGrid w:val="0"/>
                    <w:jc w:val="center"/>
                    <w:rPr>
                      <w:b/>
                      <w:color w:val="auto"/>
                      <w:sz w:val="21"/>
                      <w:szCs w:val="21"/>
                    </w:rPr>
                  </w:pPr>
                  <w:r>
                    <w:rPr>
                      <w:rFonts w:hint="default"/>
                      <w:b/>
                      <w:color w:val="auto"/>
                      <w:sz w:val="21"/>
                      <w:szCs w:val="21"/>
                      <w:lang w:val="en-US" w:eastAsia="zh-CN"/>
                    </w:rPr>
                    <w:t>特性</w:t>
                  </w:r>
                </w:p>
              </w:tc>
              <w:tc>
                <w:tcPr>
                  <w:tcW w:w="1534" w:type="dxa"/>
                  <w:noWrap w:val="0"/>
                  <w:vAlign w:val="center"/>
                </w:tcPr>
                <w:p>
                  <w:pPr>
                    <w:pStyle w:val="25"/>
                    <w:snapToGrid w:val="0"/>
                    <w:jc w:val="center"/>
                    <w:rPr>
                      <w:b/>
                      <w:color w:val="auto"/>
                      <w:sz w:val="21"/>
                      <w:szCs w:val="21"/>
                    </w:rPr>
                  </w:pPr>
                  <w:r>
                    <w:rPr>
                      <w:b/>
                      <w:color w:val="auto"/>
                      <w:sz w:val="21"/>
                      <w:szCs w:val="21"/>
                    </w:rPr>
                    <w:t>废物类别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3" w:type="dxa"/>
                  <w:noWrap w:val="0"/>
                  <w:vAlign w:val="center"/>
                </w:tcPr>
                <w:p>
                  <w:pPr>
                    <w:pStyle w:val="25"/>
                    <w:snapToGrid w:val="0"/>
                    <w:jc w:val="center"/>
                    <w:rPr>
                      <w:color w:val="auto"/>
                      <w:sz w:val="21"/>
                      <w:szCs w:val="21"/>
                    </w:rPr>
                  </w:pPr>
                  <w:r>
                    <w:rPr>
                      <w:color w:val="auto"/>
                      <w:sz w:val="21"/>
                      <w:szCs w:val="21"/>
                    </w:rPr>
                    <w:t>1</w:t>
                  </w:r>
                </w:p>
              </w:tc>
              <w:tc>
                <w:tcPr>
                  <w:tcW w:w="1282" w:type="dxa"/>
                  <w:noWrap w:val="0"/>
                  <w:vAlign w:val="center"/>
                </w:tcPr>
                <w:p>
                  <w:pPr>
                    <w:pStyle w:val="25"/>
                    <w:snapToGrid w:val="0"/>
                    <w:jc w:val="center"/>
                    <w:rPr>
                      <w:color w:val="auto"/>
                      <w:sz w:val="21"/>
                      <w:szCs w:val="21"/>
                    </w:rPr>
                  </w:pPr>
                  <w:r>
                    <w:rPr>
                      <w:color w:val="auto"/>
                      <w:sz w:val="21"/>
                      <w:szCs w:val="21"/>
                    </w:rPr>
                    <w:t>不合格产品</w:t>
                  </w:r>
                </w:p>
              </w:tc>
              <w:tc>
                <w:tcPr>
                  <w:tcW w:w="900" w:type="dxa"/>
                  <w:noWrap w:val="0"/>
                  <w:vAlign w:val="center"/>
                </w:tcPr>
                <w:p>
                  <w:pPr>
                    <w:pStyle w:val="25"/>
                    <w:snapToGrid w:val="0"/>
                    <w:jc w:val="center"/>
                    <w:rPr>
                      <w:color w:val="auto"/>
                      <w:sz w:val="21"/>
                      <w:szCs w:val="21"/>
                    </w:rPr>
                  </w:pPr>
                  <w:r>
                    <w:rPr>
                      <w:rFonts w:hint="default" w:ascii="Times New Roman" w:hAnsi="Times New Roman" w:cs="Times New Roman"/>
                      <w:sz w:val="21"/>
                      <w:szCs w:val="21"/>
                      <w:lang w:eastAsia="zh-CN"/>
                    </w:rPr>
                    <w:t>机加工</w:t>
                  </w:r>
                </w:p>
              </w:tc>
              <w:tc>
                <w:tcPr>
                  <w:tcW w:w="750" w:type="dxa"/>
                  <w:noWrap w:val="0"/>
                  <w:vAlign w:val="center"/>
                </w:tcPr>
                <w:p>
                  <w:pPr>
                    <w:pStyle w:val="25"/>
                    <w:snapToGrid w:val="0"/>
                    <w:jc w:val="center"/>
                    <w:rPr>
                      <w:color w:val="auto"/>
                      <w:sz w:val="21"/>
                      <w:szCs w:val="21"/>
                    </w:rPr>
                  </w:pPr>
                  <w:r>
                    <w:rPr>
                      <w:rFonts w:hint="default" w:ascii="Times New Roman" w:hAnsi="Times New Roman" w:cs="Times New Roman"/>
                      <w:sz w:val="21"/>
                      <w:szCs w:val="21"/>
                    </w:rPr>
                    <w:t>固态</w:t>
                  </w:r>
                </w:p>
              </w:tc>
              <w:tc>
                <w:tcPr>
                  <w:tcW w:w="1150" w:type="dxa"/>
                  <w:noWrap w:val="0"/>
                  <w:vAlign w:val="center"/>
                </w:tcPr>
                <w:p>
                  <w:pPr>
                    <w:pStyle w:val="25"/>
                    <w:snapToGrid w:val="0"/>
                    <w:jc w:val="center"/>
                    <w:rPr>
                      <w:rFonts w:hint="eastAsia" w:eastAsia="宋体"/>
                      <w:color w:val="auto"/>
                      <w:sz w:val="21"/>
                      <w:szCs w:val="21"/>
                      <w:lang w:eastAsia="zh-CN"/>
                    </w:rPr>
                  </w:pPr>
                  <w:r>
                    <w:rPr>
                      <w:rFonts w:hint="default" w:ascii="Times New Roman" w:hAnsi="Times New Roman" w:cs="Times New Roman"/>
                      <w:sz w:val="21"/>
                      <w:szCs w:val="21"/>
                    </w:rPr>
                    <w:t>/</w:t>
                  </w:r>
                </w:p>
              </w:tc>
              <w:tc>
                <w:tcPr>
                  <w:tcW w:w="1100" w:type="dxa"/>
                  <w:noWrap w:val="0"/>
                  <w:vAlign w:val="center"/>
                </w:tcPr>
                <w:p>
                  <w:pPr>
                    <w:pStyle w:val="25"/>
                    <w:snapToGrid w:val="0"/>
                    <w:jc w:val="center"/>
                    <w:rPr>
                      <w:color w:val="auto"/>
                      <w:sz w:val="21"/>
                      <w:szCs w:val="21"/>
                    </w:rPr>
                  </w:pPr>
                  <w:r>
                    <w:rPr>
                      <w:color w:val="auto"/>
                      <w:sz w:val="21"/>
                      <w:szCs w:val="21"/>
                    </w:rPr>
                    <w:t>否</w:t>
                  </w:r>
                </w:p>
              </w:tc>
              <w:tc>
                <w:tcPr>
                  <w:tcW w:w="788" w:type="dxa"/>
                  <w:noWrap w:val="0"/>
                  <w:vAlign w:val="center"/>
                </w:tcPr>
                <w:p>
                  <w:pPr>
                    <w:adjustRightInd w:val="0"/>
                    <w:snapToGrid w:val="0"/>
                    <w:contextualSpacing/>
                    <w:jc w:val="center"/>
                    <w:rPr>
                      <w:color w:val="auto"/>
                      <w:sz w:val="21"/>
                      <w:szCs w:val="21"/>
                    </w:rPr>
                  </w:pPr>
                  <w:r>
                    <w:rPr>
                      <w:rFonts w:hint="eastAsia" w:ascii="Times New Roman" w:hAnsi="Times New Roman" w:cs="Times New Roman"/>
                      <w:color w:val="auto"/>
                      <w:spacing w:val="0"/>
                      <w:kern w:val="0"/>
                      <w:sz w:val="21"/>
                      <w:szCs w:val="21"/>
                      <w:lang w:val="en-US" w:eastAsia="zh-CN"/>
                    </w:rPr>
                    <w:t>/</w:t>
                  </w:r>
                </w:p>
              </w:tc>
              <w:tc>
                <w:tcPr>
                  <w:tcW w:w="1534" w:type="dxa"/>
                  <w:noWrap w:val="0"/>
                  <w:vAlign w:val="center"/>
                </w:tcPr>
                <w:p>
                  <w:pPr>
                    <w:pStyle w:val="25"/>
                    <w:snapToGrid w:val="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3" w:type="dxa"/>
                  <w:noWrap w:val="0"/>
                  <w:vAlign w:val="center"/>
                </w:tcPr>
                <w:p>
                  <w:pPr>
                    <w:pStyle w:val="25"/>
                    <w:snapToGrid w:val="0"/>
                    <w:jc w:val="center"/>
                    <w:rPr>
                      <w:color w:val="auto"/>
                      <w:sz w:val="21"/>
                      <w:szCs w:val="21"/>
                    </w:rPr>
                  </w:pPr>
                  <w:r>
                    <w:rPr>
                      <w:color w:val="auto"/>
                      <w:sz w:val="21"/>
                      <w:szCs w:val="21"/>
                    </w:rPr>
                    <w:t>2</w:t>
                  </w:r>
                </w:p>
              </w:tc>
              <w:tc>
                <w:tcPr>
                  <w:tcW w:w="1282" w:type="dxa"/>
                  <w:noWrap w:val="0"/>
                  <w:vAlign w:val="center"/>
                </w:tcPr>
                <w:p>
                  <w:pPr>
                    <w:pStyle w:val="25"/>
                    <w:snapToGrid w:val="0"/>
                    <w:jc w:val="center"/>
                    <w:rPr>
                      <w:color w:val="auto"/>
                      <w:sz w:val="21"/>
                      <w:szCs w:val="21"/>
                    </w:rPr>
                  </w:pPr>
                  <w:r>
                    <w:rPr>
                      <w:rFonts w:hint="eastAsia"/>
                      <w:color w:val="auto"/>
                      <w:sz w:val="21"/>
                      <w:szCs w:val="21"/>
                      <w:lang w:eastAsia="zh-CN"/>
                    </w:rPr>
                    <w:t>边角料</w:t>
                  </w:r>
                </w:p>
              </w:tc>
              <w:tc>
                <w:tcPr>
                  <w:tcW w:w="900" w:type="dxa"/>
                  <w:noWrap w:val="0"/>
                  <w:vAlign w:val="center"/>
                </w:tcPr>
                <w:p>
                  <w:pPr>
                    <w:pStyle w:val="25"/>
                    <w:snapToGrid w:val="0"/>
                    <w:jc w:val="center"/>
                    <w:rPr>
                      <w:color w:val="auto"/>
                      <w:sz w:val="21"/>
                      <w:szCs w:val="21"/>
                    </w:rPr>
                  </w:pPr>
                  <w:r>
                    <w:rPr>
                      <w:rFonts w:hint="default" w:ascii="Times New Roman" w:hAnsi="Times New Roman" w:cs="Times New Roman"/>
                      <w:sz w:val="21"/>
                      <w:szCs w:val="21"/>
                      <w:lang w:eastAsia="zh-CN"/>
                    </w:rPr>
                    <w:t>机加工</w:t>
                  </w:r>
                </w:p>
              </w:tc>
              <w:tc>
                <w:tcPr>
                  <w:tcW w:w="750" w:type="dxa"/>
                  <w:noWrap w:val="0"/>
                  <w:vAlign w:val="center"/>
                </w:tcPr>
                <w:p>
                  <w:pPr>
                    <w:pStyle w:val="25"/>
                    <w:snapToGrid w:val="0"/>
                    <w:jc w:val="center"/>
                    <w:rPr>
                      <w:color w:val="auto"/>
                      <w:sz w:val="21"/>
                      <w:szCs w:val="21"/>
                    </w:rPr>
                  </w:pPr>
                  <w:r>
                    <w:rPr>
                      <w:rFonts w:hint="default" w:ascii="Times New Roman" w:hAnsi="Times New Roman" w:cs="Times New Roman"/>
                      <w:sz w:val="21"/>
                      <w:szCs w:val="21"/>
                    </w:rPr>
                    <w:t>固态</w:t>
                  </w:r>
                </w:p>
              </w:tc>
              <w:tc>
                <w:tcPr>
                  <w:tcW w:w="1150" w:type="dxa"/>
                  <w:noWrap w:val="0"/>
                  <w:vAlign w:val="center"/>
                </w:tcPr>
                <w:p>
                  <w:pPr>
                    <w:jc w:val="center"/>
                    <w:rPr>
                      <w:rFonts w:hint="eastAsia"/>
                      <w:color w:val="auto"/>
                      <w:sz w:val="21"/>
                      <w:szCs w:val="21"/>
                      <w:lang w:eastAsia="zh-CN"/>
                    </w:rPr>
                  </w:pPr>
                  <w:r>
                    <w:rPr>
                      <w:rFonts w:hint="default" w:ascii="Times New Roman" w:hAnsi="Times New Roman" w:cs="Times New Roman"/>
                    </w:rPr>
                    <w:t>/</w:t>
                  </w:r>
                </w:p>
              </w:tc>
              <w:tc>
                <w:tcPr>
                  <w:tcW w:w="1100" w:type="dxa"/>
                  <w:noWrap w:val="0"/>
                  <w:vAlign w:val="center"/>
                </w:tcPr>
                <w:p>
                  <w:pPr>
                    <w:pStyle w:val="25"/>
                    <w:snapToGrid w:val="0"/>
                    <w:jc w:val="center"/>
                    <w:rPr>
                      <w:rFonts w:hint="eastAsia" w:eastAsia="宋体"/>
                      <w:color w:val="auto"/>
                      <w:sz w:val="21"/>
                      <w:szCs w:val="21"/>
                      <w:lang w:eastAsia="zh-CN"/>
                    </w:rPr>
                  </w:pPr>
                  <w:r>
                    <w:rPr>
                      <w:rFonts w:hint="eastAsia"/>
                      <w:color w:val="auto"/>
                      <w:sz w:val="21"/>
                      <w:szCs w:val="21"/>
                      <w:lang w:eastAsia="zh-CN"/>
                    </w:rPr>
                    <w:t>否</w:t>
                  </w:r>
                </w:p>
              </w:tc>
              <w:tc>
                <w:tcPr>
                  <w:tcW w:w="788" w:type="dxa"/>
                  <w:noWrap w:val="0"/>
                  <w:vAlign w:val="center"/>
                </w:tcPr>
                <w:p>
                  <w:pPr>
                    <w:adjustRightInd w:val="0"/>
                    <w:snapToGrid w:val="0"/>
                    <w:contextualSpacing/>
                    <w:jc w:val="center"/>
                    <w:rPr>
                      <w:rFonts w:hint="default" w:ascii="Times New Roman" w:hAnsi="Times New Roman" w:cs="Times New Roman"/>
                      <w:color w:val="auto"/>
                      <w:spacing w:val="0"/>
                      <w:kern w:val="0"/>
                      <w:sz w:val="21"/>
                      <w:szCs w:val="21"/>
                      <w:lang w:val="en-US" w:eastAsia="zh-CN"/>
                    </w:rPr>
                  </w:pPr>
                  <w:r>
                    <w:rPr>
                      <w:rFonts w:hint="eastAsia" w:cs="Times New Roman"/>
                      <w:color w:val="auto"/>
                      <w:spacing w:val="0"/>
                      <w:kern w:val="0"/>
                      <w:sz w:val="21"/>
                      <w:szCs w:val="21"/>
                      <w:lang w:val="en-US" w:eastAsia="zh-CN"/>
                    </w:rPr>
                    <w:t>/</w:t>
                  </w:r>
                </w:p>
              </w:tc>
              <w:tc>
                <w:tcPr>
                  <w:tcW w:w="1534" w:type="dxa"/>
                  <w:noWrap w:val="0"/>
                  <w:vAlign w:val="center"/>
                </w:tcPr>
                <w:p>
                  <w:pPr>
                    <w:pStyle w:val="25"/>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noWrap w:val="0"/>
                  <w:vAlign w:val="center"/>
                </w:tcPr>
                <w:p>
                  <w:pPr>
                    <w:pStyle w:val="25"/>
                    <w:snapToGrid w:val="0"/>
                    <w:jc w:val="center"/>
                    <w:rPr>
                      <w:color w:val="auto"/>
                      <w:sz w:val="21"/>
                      <w:szCs w:val="21"/>
                    </w:rPr>
                  </w:pPr>
                  <w:r>
                    <w:rPr>
                      <w:rFonts w:hint="eastAsia"/>
                      <w:color w:val="auto"/>
                      <w:sz w:val="21"/>
                      <w:szCs w:val="21"/>
                      <w:lang w:val="en-US" w:eastAsia="zh-CN"/>
                    </w:rPr>
                    <w:t>3</w:t>
                  </w:r>
                </w:p>
              </w:tc>
              <w:tc>
                <w:tcPr>
                  <w:tcW w:w="1282" w:type="dxa"/>
                  <w:noWrap w:val="0"/>
                  <w:vAlign w:val="center"/>
                </w:tcPr>
                <w:p>
                  <w:pPr>
                    <w:pStyle w:val="25"/>
                    <w:snapToGrid w:val="0"/>
                    <w:jc w:val="center"/>
                    <w:rPr>
                      <w:color w:val="auto"/>
                      <w:sz w:val="21"/>
                      <w:szCs w:val="21"/>
                    </w:rPr>
                  </w:pPr>
                  <w:r>
                    <w:rPr>
                      <w:color w:val="auto"/>
                      <w:sz w:val="21"/>
                      <w:szCs w:val="21"/>
                    </w:rPr>
                    <w:t>废</w:t>
                  </w:r>
                  <w:r>
                    <w:rPr>
                      <w:rFonts w:hint="eastAsia"/>
                      <w:color w:val="auto"/>
                      <w:sz w:val="21"/>
                      <w:szCs w:val="21"/>
                      <w:lang w:eastAsia="zh-CN"/>
                    </w:rPr>
                    <w:t>包装材料</w:t>
                  </w:r>
                </w:p>
              </w:tc>
              <w:tc>
                <w:tcPr>
                  <w:tcW w:w="900" w:type="dxa"/>
                  <w:noWrap w:val="0"/>
                  <w:vAlign w:val="center"/>
                </w:tcPr>
                <w:p>
                  <w:pPr>
                    <w:pStyle w:val="25"/>
                    <w:snapToGrid w:val="0"/>
                    <w:jc w:val="center"/>
                    <w:rPr>
                      <w:color w:val="auto"/>
                      <w:sz w:val="21"/>
                      <w:szCs w:val="21"/>
                    </w:rPr>
                  </w:pPr>
                  <w:r>
                    <w:rPr>
                      <w:rFonts w:hint="eastAsia"/>
                      <w:color w:val="auto"/>
                      <w:sz w:val="21"/>
                      <w:szCs w:val="21"/>
                      <w:lang w:eastAsia="zh-CN"/>
                    </w:rPr>
                    <w:t>原辅料</w:t>
                  </w:r>
                </w:p>
              </w:tc>
              <w:tc>
                <w:tcPr>
                  <w:tcW w:w="750" w:type="dxa"/>
                  <w:noWrap w:val="0"/>
                  <w:vAlign w:val="center"/>
                </w:tcPr>
                <w:p>
                  <w:pPr>
                    <w:pStyle w:val="25"/>
                    <w:snapToGrid w:val="0"/>
                    <w:jc w:val="center"/>
                    <w:rPr>
                      <w:color w:val="auto"/>
                      <w:sz w:val="21"/>
                      <w:szCs w:val="21"/>
                    </w:rPr>
                  </w:pPr>
                  <w:r>
                    <w:rPr>
                      <w:color w:val="auto"/>
                      <w:sz w:val="21"/>
                      <w:szCs w:val="21"/>
                    </w:rPr>
                    <w:t>固态</w:t>
                  </w:r>
                </w:p>
              </w:tc>
              <w:tc>
                <w:tcPr>
                  <w:tcW w:w="1150" w:type="dxa"/>
                  <w:noWrap w:val="0"/>
                  <w:vAlign w:val="center"/>
                </w:tcPr>
                <w:p>
                  <w:pPr>
                    <w:jc w:val="center"/>
                    <w:rPr>
                      <w:rFonts w:hint="eastAsia" w:eastAsia="宋体"/>
                      <w:color w:val="auto"/>
                      <w:sz w:val="21"/>
                      <w:szCs w:val="21"/>
                      <w:lang w:eastAsia="zh-CN"/>
                    </w:rPr>
                  </w:pPr>
                  <w:r>
                    <w:rPr>
                      <w:rFonts w:hAnsi="宋体"/>
                      <w:color w:val="000000"/>
                      <w:szCs w:val="21"/>
                    </w:rPr>
                    <w:t>纸箱，袋子</w:t>
                  </w:r>
                </w:p>
              </w:tc>
              <w:tc>
                <w:tcPr>
                  <w:tcW w:w="1100" w:type="dxa"/>
                  <w:noWrap w:val="0"/>
                  <w:vAlign w:val="center"/>
                </w:tcPr>
                <w:p>
                  <w:pPr>
                    <w:pStyle w:val="25"/>
                    <w:snapToGrid w:val="0"/>
                    <w:jc w:val="center"/>
                    <w:rPr>
                      <w:color w:val="auto"/>
                      <w:sz w:val="21"/>
                      <w:szCs w:val="21"/>
                    </w:rPr>
                  </w:pPr>
                  <w:r>
                    <w:rPr>
                      <w:color w:val="auto"/>
                      <w:sz w:val="21"/>
                      <w:szCs w:val="21"/>
                    </w:rPr>
                    <w:t>否</w:t>
                  </w:r>
                </w:p>
              </w:tc>
              <w:tc>
                <w:tcPr>
                  <w:tcW w:w="788" w:type="dxa"/>
                  <w:noWrap w:val="0"/>
                  <w:vAlign w:val="center"/>
                </w:tcPr>
                <w:p>
                  <w:pPr>
                    <w:adjustRightInd w:val="0"/>
                    <w:snapToGrid w:val="0"/>
                    <w:contextualSpacing/>
                    <w:jc w:val="center"/>
                    <w:rPr>
                      <w:color w:val="auto"/>
                      <w:sz w:val="21"/>
                      <w:szCs w:val="21"/>
                    </w:rPr>
                  </w:pPr>
                  <w:r>
                    <w:rPr>
                      <w:rFonts w:hint="eastAsia" w:ascii="Times New Roman" w:hAnsi="Times New Roman" w:cs="Times New Roman"/>
                      <w:color w:val="auto"/>
                      <w:spacing w:val="0"/>
                      <w:kern w:val="0"/>
                      <w:sz w:val="21"/>
                      <w:szCs w:val="21"/>
                      <w:lang w:val="en-US" w:eastAsia="zh-CN"/>
                    </w:rPr>
                    <w:t>/</w:t>
                  </w:r>
                </w:p>
              </w:tc>
              <w:tc>
                <w:tcPr>
                  <w:tcW w:w="1534" w:type="dxa"/>
                  <w:noWrap w:val="0"/>
                  <w:vAlign w:val="center"/>
                </w:tcPr>
                <w:p>
                  <w:pPr>
                    <w:jc w:val="center"/>
                    <w:rPr>
                      <w:color w:val="auto"/>
                      <w:kern w:val="0"/>
                      <w:szCs w:val="21"/>
                    </w:rPr>
                  </w:pPr>
                  <w:r>
                    <w:rPr>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noWrap w:val="0"/>
                  <w:vAlign w:val="center"/>
                </w:tcPr>
                <w:p>
                  <w:pPr>
                    <w:pStyle w:val="25"/>
                    <w:snapToGrid w:val="0"/>
                    <w:jc w:val="center"/>
                    <w:rPr>
                      <w:color w:val="auto"/>
                      <w:sz w:val="21"/>
                      <w:szCs w:val="21"/>
                    </w:rPr>
                  </w:pPr>
                  <w:r>
                    <w:rPr>
                      <w:rFonts w:hint="eastAsia"/>
                      <w:color w:val="auto"/>
                      <w:sz w:val="21"/>
                      <w:szCs w:val="21"/>
                      <w:lang w:val="en-US" w:eastAsia="zh-CN"/>
                    </w:rPr>
                    <w:t>4</w:t>
                  </w:r>
                </w:p>
              </w:tc>
              <w:tc>
                <w:tcPr>
                  <w:tcW w:w="1282" w:type="dxa"/>
                  <w:noWrap w:val="0"/>
                  <w:vAlign w:val="center"/>
                </w:tcPr>
                <w:p>
                  <w:pPr>
                    <w:pStyle w:val="25"/>
                    <w:snapToGrid w:val="0"/>
                    <w:jc w:val="center"/>
                    <w:rPr>
                      <w:color w:val="auto"/>
                      <w:sz w:val="21"/>
                      <w:szCs w:val="21"/>
                    </w:rPr>
                  </w:pPr>
                  <w:r>
                    <w:rPr>
                      <w:color w:val="auto"/>
                      <w:sz w:val="21"/>
                      <w:szCs w:val="21"/>
                    </w:rPr>
                    <w:t>生活垃圾</w:t>
                  </w:r>
                </w:p>
              </w:tc>
              <w:tc>
                <w:tcPr>
                  <w:tcW w:w="900" w:type="dxa"/>
                  <w:noWrap w:val="0"/>
                  <w:vAlign w:val="center"/>
                </w:tcPr>
                <w:p>
                  <w:pPr>
                    <w:pStyle w:val="25"/>
                    <w:snapToGrid w:val="0"/>
                    <w:jc w:val="center"/>
                    <w:rPr>
                      <w:color w:val="auto"/>
                      <w:sz w:val="21"/>
                      <w:szCs w:val="21"/>
                    </w:rPr>
                  </w:pPr>
                  <w:r>
                    <w:rPr>
                      <w:color w:val="auto"/>
                      <w:sz w:val="21"/>
                      <w:szCs w:val="21"/>
                    </w:rPr>
                    <w:t>员工生活</w:t>
                  </w:r>
                </w:p>
              </w:tc>
              <w:tc>
                <w:tcPr>
                  <w:tcW w:w="750" w:type="dxa"/>
                  <w:noWrap w:val="0"/>
                  <w:vAlign w:val="center"/>
                </w:tcPr>
                <w:p>
                  <w:pPr>
                    <w:pStyle w:val="25"/>
                    <w:snapToGrid w:val="0"/>
                    <w:jc w:val="center"/>
                    <w:rPr>
                      <w:color w:val="auto"/>
                      <w:sz w:val="21"/>
                      <w:szCs w:val="21"/>
                    </w:rPr>
                  </w:pPr>
                  <w:r>
                    <w:rPr>
                      <w:color w:val="auto"/>
                      <w:sz w:val="21"/>
                      <w:szCs w:val="21"/>
                    </w:rPr>
                    <w:t>固态</w:t>
                  </w:r>
                </w:p>
              </w:tc>
              <w:tc>
                <w:tcPr>
                  <w:tcW w:w="1150" w:type="dxa"/>
                  <w:noWrap w:val="0"/>
                  <w:vAlign w:val="center"/>
                </w:tcPr>
                <w:p>
                  <w:pPr>
                    <w:pStyle w:val="25"/>
                    <w:snapToGrid w:val="0"/>
                    <w:jc w:val="center"/>
                    <w:rPr>
                      <w:rFonts w:hint="eastAsia" w:eastAsia="宋体"/>
                      <w:color w:val="auto"/>
                      <w:sz w:val="21"/>
                      <w:szCs w:val="21"/>
                      <w:lang w:eastAsia="zh-CN"/>
                    </w:rPr>
                  </w:pPr>
                  <w:r>
                    <w:rPr>
                      <w:color w:val="auto"/>
                      <w:sz w:val="21"/>
                      <w:szCs w:val="21"/>
                    </w:rPr>
                    <w:t>生活垃圾</w:t>
                  </w:r>
                </w:p>
              </w:tc>
              <w:tc>
                <w:tcPr>
                  <w:tcW w:w="1100" w:type="dxa"/>
                  <w:noWrap w:val="0"/>
                  <w:vAlign w:val="center"/>
                </w:tcPr>
                <w:p>
                  <w:pPr>
                    <w:pStyle w:val="25"/>
                    <w:snapToGrid w:val="0"/>
                    <w:jc w:val="center"/>
                    <w:rPr>
                      <w:rFonts w:hint="default" w:eastAsia="宋体"/>
                      <w:color w:val="auto"/>
                      <w:sz w:val="21"/>
                      <w:szCs w:val="21"/>
                      <w:lang w:val="en-US" w:eastAsia="zh-CN"/>
                    </w:rPr>
                  </w:pPr>
                  <w:r>
                    <w:rPr>
                      <w:rFonts w:hint="eastAsia"/>
                      <w:color w:val="auto"/>
                      <w:sz w:val="21"/>
                      <w:szCs w:val="21"/>
                      <w:lang w:val="en-US" w:eastAsia="zh-CN"/>
                    </w:rPr>
                    <w:t>否</w:t>
                  </w:r>
                </w:p>
              </w:tc>
              <w:tc>
                <w:tcPr>
                  <w:tcW w:w="788" w:type="dxa"/>
                  <w:noWrap w:val="0"/>
                  <w:vAlign w:val="center"/>
                </w:tcPr>
                <w:p>
                  <w:pPr>
                    <w:adjustRightInd w:val="0"/>
                    <w:snapToGrid w:val="0"/>
                    <w:contextualSpacing/>
                    <w:jc w:val="center"/>
                    <w:rPr>
                      <w:color w:val="auto"/>
                      <w:sz w:val="21"/>
                      <w:szCs w:val="21"/>
                    </w:rPr>
                  </w:pPr>
                  <w:r>
                    <w:rPr>
                      <w:rFonts w:hint="eastAsia" w:cs="Times New Roman"/>
                      <w:color w:val="auto"/>
                      <w:spacing w:val="0"/>
                      <w:kern w:val="0"/>
                      <w:sz w:val="21"/>
                      <w:szCs w:val="21"/>
                      <w:lang w:val="en-US" w:eastAsia="zh-CN"/>
                    </w:rPr>
                    <w:t>/</w:t>
                  </w:r>
                </w:p>
              </w:tc>
              <w:tc>
                <w:tcPr>
                  <w:tcW w:w="1534" w:type="dxa"/>
                  <w:noWrap w:val="0"/>
                  <w:vAlign w:val="center"/>
                </w:tcPr>
                <w:p>
                  <w:pPr>
                    <w:jc w:val="center"/>
                    <w:rPr>
                      <w:rFonts w:hint="eastAsia" w:eastAsia="宋体"/>
                      <w:color w:val="auto"/>
                      <w:kern w:val="0"/>
                      <w:szCs w:val="21"/>
                      <w:lang w:eastAsia="zh-CN"/>
                    </w:rPr>
                  </w:pPr>
                  <w:r>
                    <w:rPr>
                      <w:rFonts w:hint="eastAsia"/>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noWrap w:val="0"/>
                  <w:vAlign w:val="center"/>
                </w:tcPr>
                <w:p>
                  <w:pPr>
                    <w:pStyle w:val="25"/>
                    <w:snapToGrid w:val="0"/>
                    <w:jc w:val="center"/>
                    <w:rPr>
                      <w:color w:val="auto"/>
                      <w:sz w:val="21"/>
                      <w:szCs w:val="21"/>
                    </w:rPr>
                  </w:pPr>
                  <w:r>
                    <w:rPr>
                      <w:rFonts w:hint="eastAsia"/>
                      <w:color w:val="auto"/>
                      <w:sz w:val="21"/>
                      <w:szCs w:val="21"/>
                      <w:lang w:val="en-US" w:eastAsia="zh-CN"/>
                    </w:rPr>
                    <w:t>5</w:t>
                  </w:r>
                </w:p>
              </w:tc>
              <w:tc>
                <w:tcPr>
                  <w:tcW w:w="1282" w:type="dxa"/>
                  <w:noWrap w:val="0"/>
                  <w:vAlign w:val="center"/>
                </w:tcPr>
                <w:p>
                  <w:pPr>
                    <w:jc w:val="center"/>
                    <w:rPr>
                      <w:color w:val="auto"/>
                      <w:sz w:val="21"/>
                      <w:szCs w:val="21"/>
                    </w:rPr>
                  </w:pPr>
                  <w:r>
                    <w:rPr>
                      <w:color w:val="auto"/>
                      <w:sz w:val="21"/>
                      <w:szCs w:val="21"/>
                    </w:rPr>
                    <w:t>废活性炭</w:t>
                  </w:r>
                </w:p>
              </w:tc>
              <w:tc>
                <w:tcPr>
                  <w:tcW w:w="900" w:type="dxa"/>
                  <w:noWrap w:val="0"/>
                  <w:vAlign w:val="center"/>
                </w:tcPr>
                <w:p>
                  <w:pPr>
                    <w:adjustRightInd w:val="0"/>
                    <w:snapToGrid w:val="0"/>
                    <w:contextualSpacing/>
                    <w:jc w:val="center"/>
                    <w:rPr>
                      <w:color w:val="auto"/>
                      <w:sz w:val="21"/>
                      <w:szCs w:val="21"/>
                    </w:rPr>
                  </w:pPr>
                  <w:r>
                    <w:rPr>
                      <w:rFonts w:hint="eastAsia"/>
                      <w:color w:val="auto"/>
                      <w:spacing w:val="0"/>
                      <w:kern w:val="0"/>
                      <w:lang w:eastAsia="zh-CN"/>
                    </w:rPr>
                    <w:t>废气处理</w:t>
                  </w:r>
                </w:p>
              </w:tc>
              <w:tc>
                <w:tcPr>
                  <w:tcW w:w="750" w:type="dxa"/>
                  <w:noWrap w:val="0"/>
                  <w:vAlign w:val="center"/>
                </w:tcPr>
                <w:p>
                  <w:pPr>
                    <w:jc w:val="center"/>
                    <w:rPr>
                      <w:color w:val="auto"/>
                      <w:sz w:val="21"/>
                      <w:szCs w:val="21"/>
                    </w:rPr>
                  </w:pPr>
                  <w:r>
                    <w:rPr>
                      <w:rFonts w:hint="eastAsia" w:ascii="Times New Roman" w:hAnsi="Times New Roman"/>
                      <w:color w:val="auto"/>
                      <w:spacing w:val="0"/>
                      <w:kern w:val="0"/>
                      <w:lang w:val="en-US" w:eastAsia="zh-CN"/>
                    </w:rPr>
                    <w:t>固态</w:t>
                  </w:r>
                </w:p>
              </w:tc>
              <w:tc>
                <w:tcPr>
                  <w:tcW w:w="1150" w:type="dxa"/>
                  <w:noWrap w:val="0"/>
                  <w:vAlign w:val="center"/>
                </w:tcPr>
                <w:p>
                  <w:pPr>
                    <w:adjustRightInd w:val="0"/>
                    <w:snapToGrid w:val="0"/>
                    <w:contextualSpacing/>
                    <w:jc w:val="center"/>
                    <w:rPr>
                      <w:color w:val="auto"/>
                      <w:sz w:val="21"/>
                      <w:szCs w:val="21"/>
                    </w:rPr>
                  </w:pPr>
                  <w:r>
                    <w:rPr>
                      <w:rFonts w:hint="eastAsia"/>
                      <w:color w:val="auto"/>
                      <w:spacing w:val="0"/>
                      <w:kern w:val="0"/>
                      <w:lang w:val="en-US" w:eastAsia="zh-CN"/>
                    </w:rPr>
                    <w:t>活性炭</w:t>
                  </w:r>
                </w:p>
              </w:tc>
              <w:tc>
                <w:tcPr>
                  <w:tcW w:w="1100" w:type="dxa"/>
                  <w:noWrap w:val="0"/>
                  <w:vAlign w:val="center"/>
                </w:tcPr>
                <w:p>
                  <w:pPr>
                    <w:pStyle w:val="25"/>
                    <w:snapToGrid w:val="0"/>
                    <w:jc w:val="center"/>
                    <w:rPr>
                      <w:color w:val="auto"/>
                      <w:sz w:val="21"/>
                      <w:szCs w:val="21"/>
                    </w:rPr>
                  </w:pPr>
                  <w:r>
                    <w:rPr>
                      <w:color w:val="auto"/>
                      <w:sz w:val="21"/>
                      <w:szCs w:val="21"/>
                    </w:rPr>
                    <w:t>是</w:t>
                  </w:r>
                </w:p>
              </w:tc>
              <w:tc>
                <w:tcPr>
                  <w:tcW w:w="788" w:type="dxa"/>
                  <w:noWrap w:val="0"/>
                  <w:vAlign w:val="center"/>
                </w:tcPr>
                <w:p>
                  <w:pPr>
                    <w:adjustRightInd w:val="0"/>
                    <w:snapToGrid w:val="0"/>
                    <w:contextualSpacing/>
                    <w:jc w:val="center"/>
                    <w:rPr>
                      <w:color w:val="auto"/>
                      <w:sz w:val="21"/>
                      <w:szCs w:val="21"/>
                    </w:rPr>
                  </w:pPr>
                  <w:r>
                    <w:rPr>
                      <w:rFonts w:hint="default" w:ascii="Times New Roman" w:hAnsi="Times New Roman" w:cs="Times New Roman"/>
                      <w:color w:val="000000"/>
                      <w:spacing w:val="0"/>
                      <w:kern w:val="0"/>
                      <w:sz w:val="21"/>
                      <w:szCs w:val="21"/>
                      <w:lang w:val="en-US" w:eastAsia="zh-CN"/>
                    </w:rPr>
                    <w:t>T/In</w:t>
                  </w:r>
                </w:p>
              </w:tc>
              <w:tc>
                <w:tcPr>
                  <w:tcW w:w="1534" w:type="dxa"/>
                  <w:noWrap w:val="0"/>
                  <w:vAlign w:val="center"/>
                </w:tcPr>
                <w:p>
                  <w:pPr>
                    <w:adjustRightInd w:val="0"/>
                    <w:snapToGrid w:val="0"/>
                    <w:contextualSpacing/>
                    <w:jc w:val="center"/>
                    <w:rPr>
                      <w:color w:val="auto"/>
                      <w:kern w:val="0"/>
                      <w:szCs w:val="21"/>
                    </w:rPr>
                  </w:pPr>
                  <w:r>
                    <w:rPr>
                      <w:rFonts w:hint="default" w:ascii="Times New Roman" w:hAnsi="Times New Roman" w:cs="Times New Roman"/>
                      <w:color w:val="000000"/>
                      <w:spacing w:val="0"/>
                      <w:kern w:val="0"/>
                      <w:sz w:val="21"/>
                      <w:szCs w:val="21"/>
                      <w:lang w:val="en-US" w:eastAsia="zh-CN"/>
                    </w:rPr>
                    <w:t>HW49  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6</w:t>
                  </w:r>
                </w:p>
              </w:tc>
              <w:tc>
                <w:tcPr>
                  <w:tcW w:w="1282" w:type="dxa"/>
                  <w:noWrap w:val="0"/>
                  <w:vAlign w:val="center"/>
                </w:tcPr>
                <w:p>
                  <w:pPr>
                    <w:jc w:val="center"/>
                    <w:rPr>
                      <w:color w:val="auto"/>
                      <w:sz w:val="21"/>
                      <w:szCs w:val="21"/>
                    </w:rPr>
                  </w:pPr>
                  <w:r>
                    <w:rPr>
                      <w:rFonts w:hint="eastAsia"/>
                      <w:color w:val="auto"/>
                      <w:sz w:val="21"/>
                      <w:szCs w:val="21"/>
                      <w:lang w:eastAsia="zh-CN"/>
                    </w:rPr>
                    <w:t>废机油</w:t>
                  </w:r>
                </w:p>
              </w:tc>
              <w:tc>
                <w:tcPr>
                  <w:tcW w:w="900" w:type="dxa"/>
                  <w:noWrap w:val="0"/>
                  <w:vAlign w:val="center"/>
                </w:tcPr>
                <w:p>
                  <w:pPr>
                    <w:adjustRightInd w:val="0"/>
                    <w:snapToGrid w:val="0"/>
                    <w:contextualSpacing/>
                    <w:jc w:val="center"/>
                    <w:rPr>
                      <w:rFonts w:hint="eastAsia"/>
                      <w:color w:val="auto"/>
                      <w:spacing w:val="0"/>
                      <w:kern w:val="0"/>
                      <w:lang w:eastAsia="zh-CN"/>
                    </w:rPr>
                  </w:pPr>
                  <w:r>
                    <w:rPr>
                      <w:rFonts w:hint="eastAsia"/>
                      <w:color w:val="auto"/>
                      <w:spacing w:val="0"/>
                      <w:kern w:val="0"/>
                      <w:lang w:eastAsia="zh-CN"/>
                    </w:rPr>
                    <w:t>机械设备保养</w:t>
                  </w:r>
                </w:p>
              </w:tc>
              <w:tc>
                <w:tcPr>
                  <w:tcW w:w="750" w:type="dxa"/>
                  <w:noWrap w:val="0"/>
                  <w:vAlign w:val="center"/>
                </w:tcPr>
                <w:p>
                  <w:pPr>
                    <w:jc w:val="center"/>
                    <w:rPr>
                      <w:rFonts w:hint="eastAsia" w:ascii="Times New Roman" w:hAnsi="Times New Roman"/>
                      <w:color w:val="auto"/>
                      <w:spacing w:val="0"/>
                      <w:kern w:val="0"/>
                      <w:lang w:val="en-US" w:eastAsia="zh-CN"/>
                    </w:rPr>
                  </w:pPr>
                  <w:r>
                    <w:rPr>
                      <w:rFonts w:hint="eastAsia"/>
                      <w:color w:val="auto"/>
                      <w:spacing w:val="0"/>
                      <w:kern w:val="0"/>
                      <w:lang w:val="en-US" w:eastAsia="zh-CN"/>
                    </w:rPr>
                    <w:t>液态</w:t>
                  </w:r>
                </w:p>
              </w:tc>
              <w:tc>
                <w:tcPr>
                  <w:tcW w:w="1150" w:type="dxa"/>
                  <w:noWrap w:val="0"/>
                  <w:vAlign w:val="center"/>
                </w:tcPr>
                <w:p>
                  <w:pPr>
                    <w:adjustRightInd w:val="0"/>
                    <w:snapToGrid w:val="0"/>
                    <w:contextualSpacing/>
                    <w:jc w:val="center"/>
                    <w:rPr>
                      <w:rFonts w:hint="eastAsia"/>
                      <w:color w:val="auto"/>
                      <w:spacing w:val="0"/>
                      <w:kern w:val="0"/>
                      <w:lang w:val="en-US" w:eastAsia="zh-CN"/>
                    </w:rPr>
                  </w:pPr>
                  <w:r>
                    <w:rPr>
                      <w:rFonts w:hint="eastAsia"/>
                      <w:color w:val="auto"/>
                      <w:spacing w:val="0"/>
                      <w:kern w:val="0"/>
                      <w:lang w:val="en-US" w:eastAsia="zh-CN"/>
                    </w:rPr>
                    <w:t>石油类</w:t>
                  </w:r>
                </w:p>
              </w:tc>
              <w:tc>
                <w:tcPr>
                  <w:tcW w:w="1100" w:type="dxa"/>
                  <w:noWrap w:val="0"/>
                  <w:vAlign w:val="center"/>
                </w:tcPr>
                <w:p>
                  <w:pPr>
                    <w:pStyle w:val="25"/>
                    <w:snapToGrid w:val="0"/>
                    <w:jc w:val="center"/>
                    <w:rPr>
                      <w:rFonts w:hint="eastAsia" w:eastAsia="宋体"/>
                      <w:color w:val="auto"/>
                      <w:sz w:val="21"/>
                      <w:szCs w:val="21"/>
                      <w:lang w:eastAsia="zh-CN"/>
                    </w:rPr>
                  </w:pPr>
                  <w:r>
                    <w:rPr>
                      <w:rFonts w:hint="eastAsia"/>
                      <w:color w:val="auto"/>
                      <w:sz w:val="21"/>
                      <w:szCs w:val="21"/>
                      <w:lang w:eastAsia="zh-CN"/>
                    </w:rPr>
                    <w:t>是</w:t>
                  </w:r>
                </w:p>
              </w:tc>
              <w:tc>
                <w:tcPr>
                  <w:tcW w:w="788" w:type="dxa"/>
                  <w:noWrap w:val="0"/>
                  <w:vAlign w:val="center"/>
                </w:tcPr>
                <w:p>
                  <w:pPr>
                    <w:adjustRightInd w:val="0"/>
                    <w:snapToGrid w:val="0"/>
                    <w:contextualSpacing/>
                    <w:jc w:val="center"/>
                    <w:rPr>
                      <w:rFonts w:hint="default" w:ascii="Times New Roman" w:hAnsi="Times New Roman" w:cs="Times New Roman"/>
                      <w:color w:val="000000"/>
                      <w:spacing w:val="0"/>
                      <w:kern w:val="0"/>
                      <w:sz w:val="21"/>
                      <w:szCs w:val="21"/>
                      <w:lang w:val="en-US" w:eastAsia="zh-CN"/>
                    </w:rPr>
                  </w:pPr>
                  <w:r>
                    <w:rPr>
                      <w:rFonts w:hint="default" w:ascii="Times New Roman" w:hAnsi="Times New Roman" w:cs="Times New Roman"/>
                      <w:color w:val="000000"/>
                      <w:spacing w:val="0"/>
                      <w:kern w:val="0"/>
                      <w:sz w:val="21"/>
                      <w:szCs w:val="21"/>
                      <w:lang w:val="en-US" w:eastAsia="zh-CN"/>
                    </w:rPr>
                    <w:t>T/I</w:t>
                  </w:r>
                </w:p>
              </w:tc>
              <w:tc>
                <w:tcPr>
                  <w:tcW w:w="1534" w:type="dxa"/>
                  <w:noWrap w:val="0"/>
                  <w:vAlign w:val="center"/>
                </w:tcPr>
                <w:p>
                  <w:pPr>
                    <w:spacing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HW08</w:t>
                  </w:r>
                </w:p>
                <w:p>
                  <w:pPr>
                    <w:adjustRightInd w:val="0"/>
                    <w:snapToGrid w:val="0"/>
                    <w:contextualSpacing/>
                    <w:jc w:val="center"/>
                    <w:rPr>
                      <w:rFonts w:hint="default" w:ascii="Times New Roman" w:hAnsi="Times New Roman" w:cs="Times New Roman"/>
                      <w:color w:val="000000"/>
                      <w:spacing w:val="0"/>
                      <w:kern w:val="0"/>
                      <w:sz w:val="21"/>
                      <w:szCs w:val="21"/>
                      <w:lang w:val="en-US" w:eastAsia="zh-CN"/>
                    </w:rPr>
                  </w:pPr>
                  <w:r>
                    <w:rPr>
                      <w:rFonts w:ascii="Times New Roman" w:hAnsi="Times New Roman" w:eastAsia="宋体" w:cs="Times New Roman"/>
                      <w:b w:val="0"/>
                      <w:bCs w:val="0"/>
                      <w:color w:val="auto"/>
                      <w:sz w:val="21"/>
                      <w:szCs w:val="21"/>
                    </w:rPr>
                    <w:t>900-214-08</w:t>
                  </w:r>
                </w:p>
              </w:tc>
            </w:tr>
          </w:tbl>
          <w:p>
            <w:pPr>
              <w:pStyle w:val="25"/>
              <w:snapToGrid w:val="0"/>
              <w:spacing w:before="120" w:beforeLines="50" w:line="360" w:lineRule="auto"/>
              <w:ind w:firstLine="480" w:firstLineChars="200"/>
              <w:jc w:val="both"/>
              <w:outlineLvl w:val="0"/>
              <w:rPr>
                <w:bCs/>
                <w:color w:val="auto"/>
              </w:rPr>
            </w:pPr>
            <w:r>
              <w:rPr>
                <w:bCs/>
                <w:color w:val="auto"/>
              </w:rPr>
              <w:t>4</w:t>
            </w:r>
            <w:r>
              <w:rPr>
                <w:rFonts w:hint="eastAsia"/>
                <w:bCs/>
                <w:color w:val="auto"/>
                <w:lang w:eastAsia="zh-CN"/>
              </w:rPr>
              <w:t>、</w:t>
            </w:r>
            <w:r>
              <w:rPr>
                <w:bCs/>
                <w:color w:val="auto"/>
              </w:rPr>
              <w:t>固体废物污染源源强核算</w:t>
            </w:r>
          </w:p>
          <w:p>
            <w:pPr>
              <w:pStyle w:val="25"/>
              <w:snapToGrid w:val="0"/>
              <w:spacing w:line="360" w:lineRule="auto"/>
              <w:ind w:firstLine="482" w:firstLineChars="200"/>
              <w:jc w:val="center"/>
              <w:outlineLvl w:val="0"/>
              <w:rPr>
                <w:b/>
                <w:bCs/>
                <w:color w:val="auto"/>
              </w:rPr>
            </w:pPr>
          </w:p>
          <w:p>
            <w:pPr>
              <w:pStyle w:val="25"/>
              <w:snapToGrid w:val="0"/>
              <w:spacing w:line="360" w:lineRule="auto"/>
              <w:ind w:firstLine="482" w:firstLineChars="200"/>
              <w:jc w:val="center"/>
              <w:outlineLvl w:val="0"/>
              <w:rPr>
                <w:b/>
                <w:bCs/>
                <w:color w:val="auto"/>
              </w:rPr>
            </w:pPr>
          </w:p>
          <w:p>
            <w:pPr>
              <w:pStyle w:val="25"/>
              <w:snapToGrid w:val="0"/>
              <w:spacing w:line="360" w:lineRule="auto"/>
              <w:ind w:firstLine="482" w:firstLineChars="200"/>
              <w:jc w:val="center"/>
              <w:outlineLvl w:val="0"/>
              <w:rPr>
                <w:b/>
                <w:bCs/>
                <w:color w:val="auto"/>
              </w:rPr>
            </w:pPr>
          </w:p>
          <w:p>
            <w:pPr>
              <w:pStyle w:val="25"/>
              <w:snapToGrid w:val="0"/>
              <w:spacing w:line="360" w:lineRule="auto"/>
              <w:ind w:firstLine="482" w:firstLineChars="200"/>
              <w:jc w:val="center"/>
              <w:outlineLvl w:val="0"/>
              <w:rPr>
                <w:b/>
                <w:bCs/>
                <w:color w:val="auto"/>
              </w:rPr>
            </w:pPr>
          </w:p>
          <w:p>
            <w:pPr>
              <w:pStyle w:val="25"/>
              <w:snapToGrid w:val="0"/>
              <w:spacing w:line="360" w:lineRule="auto"/>
              <w:ind w:firstLine="482" w:firstLineChars="200"/>
              <w:jc w:val="center"/>
              <w:outlineLvl w:val="0"/>
              <w:rPr>
                <w:b/>
                <w:bCs/>
                <w:color w:val="auto"/>
              </w:rPr>
            </w:pPr>
          </w:p>
          <w:p>
            <w:pPr>
              <w:pStyle w:val="25"/>
              <w:snapToGrid w:val="0"/>
              <w:spacing w:line="360" w:lineRule="auto"/>
              <w:ind w:firstLine="482" w:firstLineChars="200"/>
              <w:jc w:val="center"/>
              <w:outlineLvl w:val="0"/>
              <w:rPr>
                <w:bCs/>
                <w:color w:val="auto"/>
              </w:rPr>
            </w:pPr>
            <w:r>
              <w:rPr>
                <w:b/>
                <w:bCs/>
                <w:color w:val="auto"/>
              </w:rPr>
              <w:t>表4-</w:t>
            </w:r>
            <w:r>
              <w:rPr>
                <w:rFonts w:hint="eastAsia"/>
                <w:b/>
                <w:bCs/>
                <w:color w:val="auto"/>
              </w:rPr>
              <w:t>1</w:t>
            </w:r>
            <w:r>
              <w:rPr>
                <w:rFonts w:hint="eastAsia"/>
                <w:b/>
                <w:bCs/>
                <w:color w:val="auto"/>
                <w:lang w:val="en-US" w:eastAsia="zh-CN"/>
              </w:rPr>
              <w:t>6</w:t>
            </w:r>
            <w:r>
              <w:rPr>
                <w:b/>
                <w:bCs/>
                <w:color w:val="auto"/>
              </w:rPr>
              <w:t xml:space="preserve">  固体废物污染源源强核算表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393"/>
              <w:gridCol w:w="1394"/>
              <w:gridCol w:w="1011"/>
              <w:gridCol w:w="1057"/>
              <w:gridCol w:w="924"/>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jc w:val="center"/>
                    <w:rPr>
                      <w:b/>
                      <w:color w:val="auto"/>
                      <w:szCs w:val="21"/>
                    </w:rPr>
                  </w:pPr>
                  <w:r>
                    <w:rPr>
                      <w:b/>
                      <w:color w:val="auto"/>
                      <w:szCs w:val="21"/>
                    </w:rPr>
                    <w:t>序号</w:t>
                  </w:r>
                </w:p>
              </w:tc>
              <w:tc>
                <w:tcPr>
                  <w:tcW w:w="877" w:type="pct"/>
                  <w:noWrap w:val="0"/>
                  <w:vAlign w:val="center"/>
                </w:tcPr>
                <w:p>
                  <w:pPr>
                    <w:jc w:val="center"/>
                    <w:rPr>
                      <w:b/>
                      <w:color w:val="auto"/>
                      <w:szCs w:val="21"/>
                    </w:rPr>
                  </w:pPr>
                  <w:r>
                    <w:rPr>
                      <w:b/>
                      <w:color w:val="auto"/>
                      <w:szCs w:val="21"/>
                    </w:rPr>
                    <w:t>固体废物名称</w:t>
                  </w:r>
                </w:p>
              </w:tc>
              <w:tc>
                <w:tcPr>
                  <w:tcW w:w="878" w:type="pct"/>
                  <w:noWrap w:val="0"/>
                  <w:vAlign w:val="center"/>
                </w:tcPr>
                <w:p>
                  <w:pPr>
                    <w:jc w:val="center"/>
                    <w:rPr>
                      <w:b/>
                      <w:color w:val="auto"/>
                      <w:szCs w:val="21"/>
                    </w:rPr>
                  </w:pPr>
                  <w:r>
                    <w:rPr>
                      <w:b/>
                      <w:color w:val="auto"/>
                      <w:szCs w:val="21"/>
                    </w:rPr>
                    <w:t>固体废物属性</w:t>
                  </w:r>
                </w:p>
              </w:tc>
              <w:tc>
                <w:tcPr>
                  <w:tcW w:w="636" w:type="pct"/>
                  <w:noWrap w:val="0"/>
                  <w:vAlign w:val="center"/>
                </w:tcPr>
                <w:p>
                  <w:pPr>
                    <w:jc w:val="center"/>
                    <w:rPr>
                      <w:b/>
                      <w:color w:val="auto"/>
                      <w:szCs w:val="21"/>
                    </w:rPr>
                  </w:pPr>
                  <w:r>
                    <w:rPr>
                      <w:b/>
                      <w:color w:val="auto"/>
                      <w:szCs w:val="21"/>
                    </w:rPr>
                    <w:t>产生量t/a</w:t>
                  </w:r>
                </w:p>
              </w:tc>
              <w:tc>
                <w:tcPr>
                  <w:tcW w:w="665" w:type="pct"/>
                  <w:noWrap w:val="0"/>
                  <w:vAlign w:val="center"/>
                </w:tcPr>
                <w:p>
                  <w:pPr>
                    <w:jc w:val="center"/>
                    <w:rPr>
                      <w:b/>
                      <w:color w:val="auto"/>
                      <w:szCs w:val="21"/>
                    </w:rPr>
                  </w:pPr>
                  <w:r>
                    <w:rPr>
                      <w:b/>
                      <w:color w:val="auto"/>
                      <w:szCs w:val="21"/>
                    </w:rPr>
                    <w:t>处置措施</w:t>
                  </w:r>
                </w:p>
              </w:tc>
              <w:tc>
                <w:tcPr>
                  <w:tcW w:w="582" w:type="pct"/>
                  <w:noWrap w:val="0"/>
                  <w:tcMar>
                    <w:top w:w="28" w:type="dxa"/>
                    <w:left w:w="28" w:type="dxa"/>
                    <w:bottom w:w="28" w:type="dxa"/>
                    <w:right w:w="28" w:type="dxa"/>
                  </w:tcMar>
                  <w:vAlign w:val="center"/>
                </w:tcPr>
                <w:p>
                  <w:pPr>
                    <w:jc w:val="center"/>
                    <w:rPr>
                      <w:b/>
                      <w:color w:val="auto"/>
                      <w:szCs w:val="21"/>
                    </w:rPr>
                  </w:pPr>
                  <w:r>
                    <w:rPr>
                      <w:b/>
                      <w:color w:val="auto"/>
                      <w:szCs w:val="21"/>
                    </w:rPr>
                    <w:t>处置量（t/a）</w:t>
                  </w:r>
                </w:p>
              </w:tc>
              <w:tc>
                <w:tcPr>
                  <w:tcW w:w="958" w:type="pct"/>
                  <w:noWrap w:val="0"/>
                  <w:tcMar>
                    <w:top w:w="28" w:type="dxa"/>
                    <w:left w:w="28" w:type="dxa"/>
                    <w:bottom w:w="28" w:type="dxa"/>
                    <w:right w:w="28" w:type="dxa"/>
                  </w:tcMar>
                  <w:vAlign w:val="center"/>
                </w:tcPr>
                <w:p>
                  <w:pPr>
                    <w:jc w:val="center"/>
                    <w:rPr>
                      <w:b/>
                      <w:color w:val="auto"/>
                      <w:szCs w:val="21"/>
                    </w:rPr>
                  </w:pPr>
                  <w:r>
                    <w:rPr>
                      <w:b/>
                      <w:color w:val="auto"/>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pStyle w:val="25"/>
                    <w:snapToGrid w:val="0"/>
                    <w:jc w:val="center"/>
                    <w:rPr>
                      <w:color w:val="auto"/>
                      <w:szCs w:val="21"/>
                    </w:rPr>
                  </w:pPr>
                  <w:r>
                    <w:rPr>
                      <w:color w:val="auto"/>
                      <w:sz w:val="21"/>
                      <w:szCs w:val="21"/>
                    </w:rPr>
                    <w:t>1</w:t>
                  </w:r>
                </w:p>
              </w:tc>
              <w:tc>
                <w:tcPr>
                  <w:tcW w:w="877" w:type="pct"/>
                  <w:noWrap w:val="0"/>
                  <w:vAlign w:val="center"/>
                </w:tcPr>
                <w:p>
                  <w:pPr>
                    <w:pStyle w:val="25"/>
                    <w:snapToGrid w:val="0"/>
                    <w:jc w:val="center"/>
                    <w:rPr>
                      <w:color w:val="auto"/>
                      <w:sz w:val="21"/>
                      <w:szCs w:val="21"/>
                    </w:rPr>
                  </w:pPr>
                  <w:r>
                    <w:rPr>
                      <w:color w:val="auto"/>
                      <w:sz w:val="21"/>
                      <w:szCs w:val="21"/>
                    </w:rPr>
                    <w:t>不合格产品</w:t>
                  </w:r>
                </w:p>
              </w:tc>
              <w:tc>
                <w:tcPr>
                  <w:tcW w:w="878" w:type="pct"/>
                  <w:noWrap w:val="0"/>
                  <w:vAlign w:val="center"/>
                </w:tcPr>
                <w:p>
                  <w:pPr>
                    <w:jc w:val="center"/>
                    <w:rPr>
                      <w:color w:val="auto"/>
                      <w:szCs w:val="21"/>
                    </w:rPr>
                  </w:pPr>
                  <w:r>
                    <w:rPr>
                      <w:color w:val="auto"/>
                      <w:szCs w:val="21"/>
                    </w:rPr>
                    <w:t>一般工业废物</w:t>
                  </w:r>
                </w:p>
              </w:tc>
              <w:tc>
                <w:tcPr>
                  <w:tcW w:w="636" w:type="pct"/>
                  <w:noWrap w:val="0"/>
                  <w:vAlign w:val="center"/>
                </w:tcPr>
                <w:p>
                  <w:pPr>
                    <w:jc w:val="center"/>
                    <w:rPr>
                      <w:color w:val="auto"/>
                      <w:szCs w:val="21"/>
                    </w:rPr>
                  </w:pPr>
                  <w:r>
                    <w:rPr>
                      <w:rFonts w:hint="eastAsia"/>
                      <w:color w:val="auto"/>
                      <w:szCs w:val="21"/>
                      <w:lang w:val="en-US" w:eastAsia="zh-CN"/>
                    </w:rPr>
                    <w:t>6</w:t>
                  </w:r>
                </w:p>
              </w:tc>
              <w:tc>
                <w:tcPr>
                  <w:tcW w:w="665" w:type="pct"/>
                  <w:vMerge w:val="restart"/>
                  <w:noWrap w:val="0"/>
                  <w:vAlign w:val="center"/>
                </w:tcPr>
                <w:p>
                  <w:pPr>
                    <w:jc w:val="center"/>
                    <w:rPr>
                      <w:color w:val="auto"/>
                      <w:szCs w:val="21"/>
                    </w:rPr>
                  </w:pPr>
                  <w:r>
                    <w:rPr>
                      <w:color w:val="auto"/>
                      <w:szCs w:val="21"/>
                    </w:rPr>
                    <w:t>一般固废暂存间暂存</w:t>
                  </w:r>
                </w:p>
              </w:tc>
              <w:tc>
                <w:tcPr>
                  <w:tcW w:w="582" w:type="pct"/>
                  <w:noWrap w:val="0"/>
                  <w:tcMar>
                    <w:top w:w="28" w:type="dxa"/>
                    <w:left w:w="28" w:type="dxa"/>
                    <w:bottom w:w="28" w:type="dxa"/>
                    <w:right w:w="28" w:type="dxa"/>
                  </w:tcMar>
                  <w:vAlign w:val="center"/>
                </w:tcPr>
                <w:p>
                  <w:pPr>
                    <w:jc w:val="center"/>
                    <w:rPr>
                      <w:color w:val="auto"/>
                      <w:szCs w:val="21"/>
                    </w:rPr>
                  </w:pPr>
                  <w:r>
                    <w:rPr>
                      <w:rFonts w:hint="eastAsia"/>
                      <w:color w:val="auto"/>
                      <w:szCs w:val="21"/>
                      <w:lang w:val="en-US" w:eastAsia="zh-CN"/>
                    </w:rPr>
                    <w:t>6</w:t>
                  </w:r>
                </w:p>
              </w:tc>
              <w:tc>
                <w:tcPr>
                  <w:tcW w:w="958" w:type="pct"/>
                  <w:vMerge w:val="restart"/>
                  <w:noWrap w:val="0"/>
                  <w:tcMar>
                    <w:top w:w="28" w:type="dxa"/>
                    <w:left w:w="28" w:type="dxa"/>
                    <w:bottom w:w="28" w:type="dxa"/>
                    <w:right w:w="28" w:type="dxa"/>
                  </w:tcMar>
                  <w:vAlign w:val="center"/>
                </w:tcPr>
                <w:p>
                  <w:pPr>
                    <w:widowControl/>
                    <w:jc w:val="center"/>
                    <w:rPr>
                      <w:rFonts w:hint="eastAsia" w:eastAsia="宋体"/>
                      <w:color w:val="auto"/>
                      <w:szCs w:val="21"/>
                      <w:lang w:eastAsia="zh-CN"/>
                    </w:rPr>
                  </w:pPr>
                  <w:r>
                    <w:rPr>
                      <w:rFonts w:hint="eastAsia"/>
                      <w:color w:val="auto"/>
                      <w:szCs w:val="21"/>
                      <w:lang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pStyle w:val="25"/>
                    <w:snapToGrid w:val="0"/>
                    <w:jc w:val="center"/>
                    <w:rPr>
                      <w:color w:val="auto"/>
                      <w:szCs w:val="21"/>
                    </w:rPr>
                  </w:pPr>
                  <w:r>
                    <w:rPr>
                      <w:color w:val="auto"/>
                      <w:sz w:val="21"/>
                      <w:szCs w:val="21"/>
                    </w:rPr>
                    <w:t>2</w:t>
                  </w:r>
                </w:p>
              </w:tc>
              <w:tc>
                <w:tcPr>
                  <w:tcW w:w="877" w:type="pct"/>
                  <w:noWrap w:val="0"/>
                  <w:vAlign w:val="center"/>
                </w:tcPr>
                <w:p>
                  <w:pPr>
                    <w:pStyle w:val="25"/>
                    <w:snapToGrid w:val="0"/>
                    <w:jc w:val="center"/>
                    <w:rPr>
                      <w:color w:val="auto"/>
                      <w:sz w:val="21"/>
                      <w:szCs w:val="21"/>
                    </w:rPr>
                  </w:pPr>
                  <w:r>
                    <w:rPr>
                      <w:rFonts w:hint="eastAsia"/>
                      <w:color w:val="auto"/>
                      <w:sz w:val="21"/>
                      <w:szCs w:val="21"/>
                      <w:lang w:eastAsia="zh-CN"/>
                    </w:rPr>
                    <w:t>边角料</w:t>
                  </w:r>
                </w:p>
              </w:tc>
              <w:tc>
                <w:tcPr>
                  <w:tcW w:w="878" w:type="pct"/>
                  <w:noWrap w:val="0"/>
                  <w:vAlign w:val="center"/>
                </w:tcPr>
                <w:p>
                  <w:pPr>
                    <w:jc w:val="center"/>
                    <w:rPr>
                      <w:color w:val="auto"/>
                      <w:szCs w:val="21"/>
                    </w:rPr>
                  </w:pPr>
                  <w:r>
                    <w:rPr>
                      <w:color w:val="auto"/>
                      <w:szCs w:val="21"/>
                    </w:rPr>
                    <w:t>一般工业废物</w:t>
                  </w:r>
                </w:p>
              </w:tc>
              <w:tc>
                <w:tcPr>
                  <w:tcW w:w="636" w:type="pct"/>
                  <w:noWrap w:val="0"/>
                  <w:vAlign w:val="center"/>
                </w:tcPr>
                <w:p>
                  <w:pPr>
                    <w:jc w:val="center"/>
                    <w:rPr>
                      <w:rFonts w:hint="default"/>
                      <w:color w:val="auto"/>
                      <w:szCs w:val="21"/>
                      <w:lang w:val="en-US" w:eastAsia="zh-CN"/>
                    </w:rPr>
                  </w:pPr>
                  <w:r>
                    <w:rPr>
                      <w:rFonts w:hint="eastAsia"/>
                      <w:color w:val="auto"/>
                      <w:szCs w:val="21"/>
                      <w:lang w:val="en-US" w:eastAsia="zh-CN"/>
                    </w:rPr>
                    <w:t>16</w:t>
                  </w:r>
                </w:p>
              </w:tc>
              <w:tc>
                <w:tcPr>
                  <w:tcW w:w="665" w:type="pct"/>
                  <w:vMerge w:val="continue"/>
                  <w:noWrap w:val="0"/>
                  <w:vAlign w:val="center"/>
                </w:tcPr>
                <w:p>
                  <w:pPr>
                    <w:jc w:val="center"/>
                    <w:rPr>
                      <w:color w:val="auto"/>
                      <w:szCs w:val="21"/>
                    </w:rPr>
                  </w:pPr>
                </w:p>
              </w:tc>
              <w:tc>
                <w:tcPr>
                  <w:tcW w:w="582" w:type="pct"/>
                  <w:noWrap w:val="0"/>
                  <w:tcMar>
                    <w:top w:w="28" w:type="dxa"/>
                    <w:left w:w="28" w:type="dxa"/>
                    <w:bottom w:w="28" w:type="dxa"/>
                    <w:right w:w="28" w:type="dxa"/>
                  </w:tcMar>
                  <w:vAlign w:val="center"/>
                </w:tcPr>
                <w:p>
                  <w:pPr>
                    <w:jc w:val="center"/>
                    <w:rPr>
                      <w:rFonts w:hint="default"/>
                      <w:color w:val="auto"/>
                      <w:szCs w:val="21"/>
                      <w:lang w:val="en-US" w:eastAsia="zh-CN"/>
                    </w:rPr>
                  </w:pPr>
                  <w:r>
                    <w:rPr>
                      <w:rFonts w:hint="eastAsia"/>
                      <w:color w:val="auto"/>
                      <w:szCs w:val="21"/>
                      <w:lang w:val="en-US" w:eastAsia="zh-CN"/>
                    </w:rPr>
                    <w:t>16</w:t>
                  </w:r>
                </w:p>
              </w:tc>
              <w:tc>
                <w:tcPr>
                  <w:tcW w:w="958" w:type="pct"/>
                  <w:vMerge w:val="continue"/>
                  <w:noWrap w:val="0"/>
                  <w:tcMar>
                    <w:top w:w="28" w:type="dxa"/>
                    <w:left w:w="28" w:type="dxa"/>
                    <w:bottom w:w="28" w:type="dxa"/>
                    <w:right w:w="28" w:type="dxa"/>
                  </w:tcMar>
                  <w:vAlign w:val="center"/>
                </w:tcPr>
                <w:p>
                  <w:pPr>
                    <w:pStyle w:val="43"/>
                    <w:rPr>
                      <w:rFonts w:hint="eastAsia"/>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pStyle w:val="25"/>
                    <w:snapToGrid w:val="0"/>
                    <w:jc w:val="center"/>
                    <w:rPr>
                      <w:color w:val="auto"/>
                      <w:szCs w:val="21"/>
                    </w:rPr>
                  </w:pPr>
                  <w:r>
                    <w:rPr>
                      <w:rFonts w:hint="eastAsia"/>
                      <w:color w:val="auto"/>
                      <w:sz w:val="21"/>
                      <w:szCs w:val="21"/>
                      <w:lang w:val="en-US" w:eastAsia="zh-CN"/>
                    </w:rPr>
                    <w:t>3</w:t>
                  </w:r>
                </w:p>
              </w:tc>
              <w:tc>
                <w:tcPr>
                  <w:tcW w:w="877" w:type="pct"/>
                  <w:noWrap w:val="0"/>
                  <w:vAlign w:val="center"/>
                </w:tcPr>
                <w:p>
                  <w:pPr>
                    <w:pStyle w:val="25"/>
                    <w:snapToGrid w:val="0"/>
                    <w:jc w:val="center"/>
                    <w:rPr>
                      <w:color w:val="auto"/>
                      <w:sz w:val="21"/>
                      <w:szCs w:val="21"/>
                    </w:rPr>
                  </w:pPr>
                  <w:r>
                    <w:rPr>
                      <w:color w:val="auto"/>
                      <w:sz w:val="21"/>
                      <w:szCs w:val="21"/>
                    </w:rPr>
                    <w:t>废</w:t>
                  </w:r>
                  <w:r>
                    <w:rPr>
                      <w:rFonts w:hint="eastAsia"/>
                      <w:color w:val="auto"/>
                      <w:sz w:val="21"/>
                      <w:szCs w:val="21"/>
                      <w:lang w:eastAsia="zh-CN"/>
                    </w:rPr>
                    <w:t>包装材料</w:t>
                  </w:r>
                </w:p>
              </w:tc>
              <w:tc>
                <w:tcPr>
                  <w:tcW w:w="878" w:type="pct"/>
                  <w:noWrap w:val="0"/>
                  <w:vAlign w:val="center"/>
                </w:tcPr>
                <w:p>
                  <w:pPr>
                    <w:jc w:val="center"/>
                    <w:rPr>
                      <w:color w:val="auto"/>
                      <w:szCs w:val="21"/>
                    </w:rPr>
                  </w:pPr>
                  <w:r>
                    <w:rPr>
                      <w:color w:val="auto"/>
                      <w:szCs w:val="21"/>
                    </w:rPr>
                    <w:t>一般工业废物</w:t>
                  </w:r>
                </w:p>
              </w:tc>
              <w:tc>
                <w:tcPr>
                  <w:tcW w:w="636" w:type="pct"/>
                  <w:noWrap w:val="0"/>
                  <w:vAlign w:val="center"/>
                </w:tcPr>
                <w:p>
                  <w:pPr>
                    <w:jc w:val="center"/>
                    <w:rPr>
                      <w:rFonts w:hint="eastAsia"/>
                      <w:color w:val="auto"/>
                      <w:szCs w:val="21"/>
                      <w:lang w:val="en-US" w:eastAsia="zh-CN"/>
                    </w:rPr>
                  </w:pPr>
                  <w:r>
                    <w:rPr>
                      <w:rFonts w:hint="eastAsia"/>
                      <w:color w:val="auto"/>
                      <w:szCs w:val="21"/>
                      <w:lang w:val="en-US" w:eastAsia="zh-CN"/>
                    </w:rPr>
                    <w:t>0.6</w:t>
                  </w:r>
                </w:p>
              </w:tc>
              <w:tc>
                <w:tcPr>
                  <w:tcW w:w="665" w:type="pct"/>
                  <w:vMerge w:val="continue"/>
                  <w:noWrap w:val="0"/>
                  <w:vAlign w:val="center"/>
                </w:tcPr>
                <w:p>
                  <w:pPr>
                    <w:jc w:val="center"/>
                    <w:rPr>
                      <w:color w:val="auto"/>
                      <w:szCs w:val="21"/>
                    </w:rPr>
                  </w:pPr>
                </w:p>
              </w:tc>
              <w:tc>
                <w:tcPr>
                  <w:tcW w:w="582" w:type="pct"/>
                  <w:noWrap w:val="0"/>
                  <w:tcMar>
                    <w:top w:w="28" w:type="dxa"/>
                    <w:left w:w="28" w:type="dxa"/>
                    <w:bottom w:w="28" w:type="dxa"/>
                    <w:right w:w="28" w:type="dxa"/>
                  </w:tcMar>
                  <w:vAlign w:val="center"/>
                </w:tcPr>
                <w:p>
                  <w:pPr>
                    <w:jc w:val="center"/>
                    <w:rPr>
                      <w:rFonts w:hint="eastAsia"/>
                      <w:color w:val="auto"/>
                      <w:szCs w:val="21"/>
                      <w:lang w:val="en-US" w:eastAsia="zh-CN"/>
                    </w:rPr>
                  </w:pPr>
                  <w:r>
                    <w:rPr>
                      <w:rFonts w:hint="eastAsia"/>
                      <w:color w:val="auto"/>
                      <w:szCs w:val="21"/>
                      <w:lang w:val="en-US" w:eastAsia="zh-CN"/>
                    </w:rPr>
                    <w:t>0.6</w:t>
                  </w:r>
                </w:p>
              </w:tc>
              <w:tc>
                <w:tcPr>
                  <w:tcW w:w="958" w:type="pct"/>
                  <w:vMerge w:val="continue"/>
                  <w:noWrap w:val="0"/>
                  <w:vAlign w:val="center"/>
                </w:tcPr>
                <w:p>
                  <w:pPr>
                    <w:widowControl/>
                    <w:jc w:val="center"/>
                    <w:rPr>
                      <w:rFonts w:hint="eastAsia" w:eastAsia="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pStyle w:val="25"/>
                    <w:snapToGrid w:val="0"/>
                    <w:jc w:val="center"/>
                    <w:rPr>
                      <w:color w:val="auto"/>
                      <w:szCs w:val="21"/>
                    </w:rPr>
                  </w:pPr>
                  <w:r>
                    <w:rPr>
                      <w:rFonts w:hint="eastAsia"/>
                      <w:color w:val="auto"/>
                      <w:sz w:val="21"/>
                      <w:szCs w:val="21"/>
                      <w:lang w:val="en-US" w:eastAsia="zh-CN"/>
                    </w:rPr>
                    <w:t>4</w:t>
                  </w:r>
                </w:p>
              </w:tc>
              <w:tc>
                <w:tcPr>
                  <w:tcW w:w="877" w:type="pct"/>
                  <w:noWrap w:val="0"/>
                  <w:vAlign w:val="center"/>
                </w:tcPr>
                <w:p>
                  <w:pPr>
                    <w:pStyle w:val="25"/>
                    <w:snapToGrid w:val="0"/>
                    <w:jc w:val="center"/>
                    <w:rPr>
                      <w:color w:val="auto"/>
                      <w:sz w:val="21"/>
                      <w:szCs w:val="21"/>
                    </w:rPr>
                  </w:pPr>
                  <w:r>
                    <w:rPr>
                      <w:color w:val="auto"/>
                      <w:sz w:val="21"/>
                      <w:szCs w:val="21"/>
                    </w:rPr>
                    <w:t>生活垃圾</w:t>
                  </w:r>
                </w:p>
              </w:tc>
              <w:tc>
                <w:tcPr>
                  <w:tcW w:w="878" w:type="pct"/>
                  <w:noWrap w:val="0"/>
                  <w:vAlign w:val="center"/>
                </w:tcPr>
                <w:p>
                  <w:pPr>
                    <w:jc w:val="center"/>
                    <w:rPr>
                      <w:color w:val="auto"/>
                      <w:szCs w:val="21"/>
                    </w:rPr>
                  </w:pPr>
                  <w:r>
                    <w:rPr>
                      <w:color w:val="auto"/>
                      <w:szCs w:val="21"/>
                    </w:rPr>
                    <w:t>一般工业废物</w:t>
                  </w:r>
                </w:p>
              </w:tc>
              <w:tc>
                <w:tcPr>
                  <w:tcW w:w="636" w:type="pct"/>
                  <w:noWrap w:val="0"/>
                  <w:vAlign w:val="center"/>
                </w:tcPr>
                <w:p>
                  <w:pPr>
                    <w:jc w:val="center"/>
                    <w:rPr>
                      <w:rFonts w:hint="default"/>
                      <w:color w:val="auto"/>
                      <w:szCs w:val="21"/>
                      <w:lang w:val="en-US" w:eastAsia="zh-CN"/>
                    </w:rPr>
                  </w:pPr>
                  <w:r>
                    <w:rPr>
                      <w:color w:val="auto"/>
                      <w:szCs w:val="21"/>
                    </w:rPr>
                    <w:t>2.</w:t>
                  </w:r>
                  <w:r>
                    <w:rPr>
                      <w:rFonts w:hint="eastAsia"/>
                      <w:color w:val="auto"/>
                      <w:szCs w:val="21"/>
                      <w:lang w:val="en-US" w:eastAsia="zh-CN"/>
                    </w:rPr>
                    <w:t>25</w:t>
                  </w:r>
                </w:p>
              </w:tc>
              <w:tc>
                <w:tcPr>
                  <w:tcW w:w="665" w:type="pct"/>
                  <w:noWrap w:val="0"/>
                  <w:vAlign w:val="center"/>
                </w:tcPr>
                <w:p>
                  <w:pPr>
                    <w:jc w:val="center"/>
                    <w:rPr>
                      <w:color w:val="auto"/>
                      <w:szCs w:val="21"/>
                    </w:rPr>
                  </w:pPr>
                  <w:r>
                    <w:rPr>
                      <w:color w:val="auto"/>
                      <w:szCs w:val="21"/>
                    </w:rPr>
                    <w:t>垃圾桶暂存</w:t>
                  </w:r>
                </w:p>
              </w:tc>
              <w:tc>
                <w:tcPr>
                  <w:tcW w:w="582" w:type="pct"/>
                  <w:noWrap w:val="0"/>
                  <w:tcMar>
                    <w:top w:w="28" w:type="dxa"/>
                    <w:left w:w="28" w:type="dxa"/>
                    <w:bottom w:w="28" w:type="dxa"/>
                    <w:right w:w="28" w:type="dxa"/>
                  </w:tcMar>
                  <w:vAlign w:val="center"/>
                </w:tcPr>
                <w:p>
                  <w:pPr>
                    <w:jc w:val="center"/>
                    <w:rPr>
                      <w:rFonts w:hint="default"/>
                      <w:color w:val="auto"/>
                      <w:szCs w:val="21"/>
                      <w:lang w:val="en-US" w:eastAsia="zh-CN"/>
                    </w:rPr>
                  </w:pPr>
                  <w:r>
                    <w:rPr>
                      <w:color w:val="auto"/>
                      <w:szCs w:val="21"/>
                    </w:rPr>
                    <w:t>2.</w:t>
                  </w:r>
                  <w:r>
                    <w:rPr>
                      <w:rFonts w:hint="eastAsia"/>
                      <w:color w:val="auto"/>
                      <w:szCs w:val="21"/>
                      <w:lang w:val="en-US" w:eastAsia="zh-CN"/>
                    </w:rPr>
                    <w:t>25</w:t>
                  </w:r>
                </w:p>
              </w:tc>
              <w:tc>
                <w:tcPr>
                  <w:tcW w:w="958" w:type="pct"/>
                  <w:noWrap w:val="0"/>
                  <w:vAlign w:val="center"/>
                </w:tcPr>
                <w:p>
                  <w:pPr>
                    <w:snapToGrid w:val="0"/>
                    <w:jc w:val="center"/>
                    <w:rPr>
                      <w:color w:val="auto"/>
                      <w:szCs w:val="21"/>
                    </w:rPr>
                  </w:pPr>
                  <w:r>
                    <w:rPr>
                      <w:color w:val="auto"/>
                      <w:kern w:val="0"/>
                      <w:szCs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pStyle w:val="25"/>
                    <w:snapToGrid w:val="0"/>
                    <w:jc w:val="center"/>
                    <w:rPr>
                      <w:color w:val="auto"/>
                      <w:szCs w:val="21"/>
                    </w:rPr>
                  </w:pPr>
                  <w:r>
                    <w:rPr>
                      <w:rFonts w:hint="eastAsia"/>
                      <w:color w:val="auto"/>
                      <w:sz w:val="21"/>
                      <w:szCs w:val="21"/>
                      <w:lang w:val="en-US" w:eastAsia="zh-CN"/>
                    </w:rPr>
                    <w:t>5</w:t>
                  </w:r>
                </w:p>
              </w:tc>
              <w:tc>
                <w:tcPr>
                  <w:tcW w:w="877" w:type="pct"/>
                  <w:noWrap w:val="0"/>
                  <w:vAlign w:val="center"/>
                </w:tcPr>
                <w:p>
                  <w:pPr>
                    <w:jc w:val="center"/>
                    <w:rPr>
                      <w:color w:val="auto"/>
                      <w:sz w:val="21"/>
                      <w:szCs w:val="21"/>
                    </w:rPr>
                  </w:pPr>
                  <w:r>
                    <w:rPr>
                      <w:color w:val="auto"/>
                      <w:sz w:val="21"/>
                      <w:szCs w:val="21"/>
                    </w:rPr>
                    <w:t>废活性炭</w:t>
                  </w:r>
                </w:p>
              </w:tc>
              <w:tc>
                <w:tcPr>
                  <w:tcW w:w="878" w:type="pct"/>
                  <w:noWrap w:val="0"/>
                  <w:vAlign w:val="center"/>
                </w:tcPr>
                <w:p>
                  <w:pPr>
                    <w:jc w:val="center"/>
                    <w:rPr>
                      <w:color w:val="auto"/>
                      <w:szCs w:val="21"/>
                    </w:rPr>
                  </w:pPr>
                  <w:r>
                    <w:rPr>
                      <w:color w:val="auto"/>
                      <w:szCs w:val="21"/>
                    </w:rPr>
                    <w:t>危险废物</w:t>
                  </w:r>
                </w:p>
              </w:tc>
              <w:tc>
                <w:tcPr>
                  <w:tcW w:w="636" w:type="pct"/>
                  <w:noWrap w:val="0"/>
                  <w:vAlign w:val="center"/>
                </w:tcPr>
                <w:p>
                  <w:pPr>
                    <w:jc w:val="center"/>
                    <w:rPr>
                      <w:rFonts w:hint="default"/>
                      <w:color w:val="auto"/>
                      <w:szCs w:val="21"/>
                      <w:lang w:val="en-US" w:eastAsia="zh-CN"/>
                    </w:rPr>
                  </w:pPr>
                  <w:r>
                    <w:rPr>
                      <w:rFonts w:hint="eastAsia"/>
                      <w:color w:val="auto"/>
                      <w:szCs w:val="21"/>
                      <w:lang w:val="en-US" w:eastAsia="zh-CN"/>
                    </w:rPr>
                    <w:t>2.21</w:t>
                  </w:r>
                </w:p>
              </w:tc>
              <w:tc>
                <w:tcPr>
                  <w:tcW w:w="665" w:type="pct"/>
                  <w:vMerge w:val="restart"/>
                  <w:noWrap w:val="0"/>
                  <w:vAlign w:val="center"/>
                </w:tcPr>
                <w:p>
                  <w:pPr>
                    <w:jc w:val="center"/>
                    <w:rPr>
                      <w:color w:val="auto"/>
                      <w:szCs w:val="21"/>
                    </w:rPr>
                  </w:pPr>
                  <w:r>
                    <w:rPr>
                      <w:color w:val="auto"/>
                      <w:szCs w:val="21"/>
                    </w:rPr>
                    <w:t>危险废物暂存间暂存</w:t>
                  </w:r>
                </w:p>
              </w:tc>
              <w:tc>
                <w:tcPr>
                  <w:tcW w:w="582" w:type="pct"/>
                  <w:noWrap w:val="0"/>
                  <w:tcMar>
                    <w:top w:w="28" w:type="dxa"/>
                    <w:left w:w="28" w:type="dxa"/>
                    <w:bottom w:w="28" w:type="dxa"/>
                    <w:right w:w="28" w:type="dxa"/>
                  </w:tcMar>
                  <w:vAlign w:val="center"/>
                </w:tcPr>
                <w:p>
                  <w:pPr>
                    <w:jc w:val="center"/>
                    <w:rPr>
                      <w:rFonts w:hint="default"/>
                      <w:color w:val="auto"/>
                      <w:szCs w:val="21"/>
                      <w:lang w:val="en-US" w:eastAsia="zh-CN"/>
                    </w:rPr>
                  </w:pPr>
                  <w:r>
                    <w:rPr>
                      <w:rFonts w:hint="eastAsia"/>
                      <w:color w:val="auto"/>
                      <w:szCs w:val="21"/>
                      <w:lang w:val="en-US" w:eastAsia="zh-CN"/>
                    </w:rPr>
                    <w:t>2.21</w:t>
                  </w:r>
                </w:p>
              </w:tc>
              <w:tc>
                <w:tcPr>
                  <w:tcW w:w="958" w:type="pct"/>
                  <w:vMerge w:val="restart"/>
                  <w:noWrap w:val="0"/>
                  <w:tcMar>
                    <w:top w:w="28" w:type="dxa"/>
                    <w:left w:w="28" w:type="dxa"/>
                    <w:bottom w:w="28" w:type="dxa"/>
                    <w:right w:w="28" w:type="dxa"/>
                  </w:tcMar>
                  <w:vAlign w:val="center"/>
                </w:tcPr>
                <w:p>
                  <w:pPr>
                    <w:snapToGrid w:val="0"/>
                    <w:jc w:val="center"/>
                    <w:rPr>
                      <w:color w:val="auto"/>
                      <w:szCs w:val="21"/>
                    </w:rPr>
                  </w:pPr>
                  <w:r>
                    <w:rPr>
                      <w:color w:val="auto"/>
                      <w:szCs w:val="21"/>
                    </w:rPr>
                    <w:t>交由有危险废物处理资质单位处理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6</w:t>
                  </w:r>
                </w:p>
              </w:tc>
              <w:tc>
                <w:tcPr>
                  <w:tcW w:w="877" w:type="pct"/>
                  <w:noWrap w:val="0"/>
                  <w:vAlign w:val="center"/>
                </w:tcPr>
                <w:p>
                  <w:pPr>
                    <w:jc w:val="center"/>
                    <w:rPr>
                      <w:rFonts w:hint="eastAsia" w:eastAsia="宋体"/>
                      <w:color w:val="auto"/>
                      <w:sz w:val="21"/>
                      <w:szCs w:val="21"/>
                      <w:lang w:eastAsia="zh-CN"/>
                    </w:rPr>
                  </w:pPr>
                  <w:r>
                    <w:rPr>
                      <w:rFonts w:hint="eastAsia"/>
                      <w:color w:val="auto"/>
                      <w:sz w:val="21"/>
                      <w:szCs w:val="21"/>
                      <w:lang w:eastAsia="zh-CN"/>
                    </w:rPr>
                    <w:t>废机油</w:t>
                  </w:r>
                </w:p>
              </w:tc>
              <w:tc>
                <w:tcPr>
                  <w:tcW w:w="878" w:type="pct"/>
                  <w:noWrap w:val="0"/>
                  <w:vAlign w:val="center"/>
                </w:tcPr>
                <w:p>
                  <w:pPr>
                    <w:jc w:val="center"/>
                    <w:rPr>
                      <w:color w:val="auto"/>
                      <w:szCs w:val="21"/>
                    </w:rPr>
                  </w:pPr>
                  <w:r>
                    <w:rPr>
                      <w:color w:val="auto"/>
                      <w:szCs w:val="21"/>
                    </w:rPr>
                    <w:t>危险废物</w:t>
                  </w:r>
                </w:p>
              </w:tc>
              <w:tc>
                <w:tcPr>
                  <w:tcW w:w="636" w:type="pct"/>
                  <w:noWrap w:val="0"/>
                  <w:vAlign w:val="center"/>
                </w:tcPr>
                <w:p>
                  <w:pPr>
                    <w:jc w:val="center"/>
                    <w:rPr>
                      <w:rFonts w:hint="default"/>
                      <w:color w:val="auto"/>
                      <w:szCs w:val="21"/>
                      <w:lang w:val="en-US" w:eastAsia="zh-CN"/>
                    </w:rPr>
                  </w:pPr>
                  <w:r>
                    <w:rPr>
                      <w:rFonts w:hint="eastAsia"/>
                      <w:color w:val="auto"/>
                      <w:szCs w:val="21"/>
                      <w:lang w:val="en-US" w:eastAsia="zh-CN"/>
                    </w:rPr>
                    <w:t>3</w:t>
                  </w:r>
                </w:p>
              </w:tc>
              <w:tc>
                <w:tcPr>
                  <w:tcW w:w="665" w:type="pct"/>
                  <w:vMerge w:val="continue"/>
                  <w:noWrap w:val="0"/>
                  <w:vAlign w:val="center"/>
                </w:tcPr>
                <w:p>
                  <w:pPr>
                    <w:jc w:val="center"/>
                    <w:rPr>
                      <w:color w:val="auto"/>
                      <w:szCs w:val="21"/>
                    </w:rPr>
                  </w:pPr>
                </w:p>
              </w:tc>
              <w:tc>
                <w:tcPr>
                  <w:tcW w:w="582" w:type="pct"/>
                  <w:noWrap w:val="0"/>
                  <w:tcMar>
                    <w:top w:w="28" w:type="dxa"/>
                    <w:left w:w="28" w:type="dxa"/>
                    <w:bottom w:w="28" w:type="dxa"/>
                    <w:right w:w="28" w:type="dxa"/>
                  </w:tcMar>
                  <w:vAlign w:val="center"/>
                </w:tcPr>
                <w:p>
                  <w:pPr>
                    <w:jc w:val="center"/>
                    <w:rPr>
                      <w:rFonts w:hint="default"/>
                      <w:color w:val="auto"/>
                      <w:szCs w:val="21"/>
                      <w:lang w:val="en-US" w:eastAsia="zh-CN"/>
                    </w:rPr>
                  </w:pPr>
                  <w:r>
                    <w:rPr>
                      <w:rFonts w:hint="eastAsia"/>
                      <w:color w:val="auto"/>
                      <w:szCs w:val="21"/>
                      <w:lang w:val="en-US" w:eastAsia="zh-CN"/>
                    </w:rPr>
                    <w:t>3</w:t>
                  </w:r>
                </w:p>
              </w:tc>
              <w:tc>
                <w:tcPr>
                  <w:tcW w:w="958" w:type="pct"/>
                  <w:vMerge w:val="continue"/>
                  <w:noWrap w:val="0"/>
                  <w:tcMar>
                    <w:top w:w="28" w:type="dxa"/>
                    <w:left w:w="28" w:type="dxa"/>
                    <w:bottom w:w="28" w:type="dxa"/>
                    <w:right w:w="28" w:type="dxa"/>
                  </w:tcMar>
                  <w:vAlign w:val="center"/>
                </w:tcPr>
                <w:p>
                  <w:pPr>
                    <w:snapToGrid w:val="0"/>
                    <w:jc w:val="center"/>
                    <w:rPr>
                      <w:color w:val="auto"/>
                      <w:szCs w:val="21"/>
                    </w:rPr>
                  </w:pPr>
                </w:p>
              </w:tc>
            </w:tr>
          </w:tbl>
          <w:p>
            <w:pPr>
              <w:pStyle w:val="25"/>
              <w:snapToGrid w:val="0"/>
              <w:spacing w:before="120" w:beforeLines="50" w:line="360" w:lineRule="auto"/>
              <w:ind w:firstLine="482" w:firstLineChars="200"/>
              <w:jc w:val="both"/>
              <w:outlineLvl w:val="0"/>
              <w:rPr>
                <w:rFonts w:hint="eastAsia"/>
                <w:b/>
                <w:bCs w:val="0"/>
                <w:color w:val="auto"/>
              </w:rPr>
            </w:pPr>
            <w:r>
              <w:rPr>
                <w:rFonts w:hint="eastAsia"/>
                <w:b/>
                <w:bCs w:val="0"/>
                <w:color w:val="auto"/>
                <w:lang w:eastAsia="zh-CN"/>
              </w:rPr>
              <w:t>（五）</w:t>
            </w:r>
            <w:r>
              <w:rPr>
                <w:rFonts w:hint="eastAsia"/>
                <w:b/>
                <w:bCs w:val="0"/>
                <w:color w:val="auto"/>
              </w:rPr>
              <w:t>环境管理要求</w:t>
            </w:r>
          </w:p>
          <w:p>
            <w:pPr>
              <w:adjustRightInd w:val="0"/>
              <w:snapToGrid w:val="0"/>
              <w:spacing w:line="360" w:lineRule="auto"/>
              <w:ind w:firstLine="482" w:firstLineChars="200"/>
              <w:rPr>
                <w:color w:val="auto"/>
                <w:sz w:val="24"/>
              </w:rPr>
            </w:pPr>
            <w:r>
              <w:rPr>
                <w:rFonts w:hint="eastAsia"/>
                <w:b/>
                <w:bCs/>
                <w:color w:val="auto"/>
                <w:sz w:val="24"/>
                <w:lang w:val="en-US" w:eastAsia="zh-CN"/>
              </w:rPr>
              <w:t>1、</w:t>
            </w:r>
            <w:r>
              <w:rPr>
                <w:b/>
                <w:bCs/>
                <w:color w:val="auto"/>
                <w:sz w:val="24"/>
              </w:rPr>
              <w:t>固废暂存设施建设要求：</w:t>
            </w:r>
          </w:p>
          <w:p>
            <w:pPr>
              <w:adjustRightInd w:val="0"/>
              <w:snapToGrid w:val="0"/>
              <w:spacing w:line="360" w:lineRule="auto"/>
              <w:ind w:firstLine="480" w:firstLineChars="200"/>
              <w:rPr>
                <w:color w:val="auto"/>
                <w:sz w:val="24"/>
              </w:rPr>
            </w:pPr>
            <w:r>
              <w:rPr>
                <w:color w:val="auto"/>
                <w:sz w:val="24"/>
              </w:rPr>
              <w:t>一般工业固废的暂存场所需按照《一般工业固体废物贮存</w:t>
            </w:r>
            <w:r>
              <w:rPr>
                <w:rFonts w:hint="eastAsia"/>
                <w:color w:val="auto"/>
                <w:sz w:val="24"/>
                <w:lang w:eastAsia="zh-CN"/>
              </w:rPr>
              <w:t>和填埋</w:t>
            </w:r>
            <w:r>
              <w:rPr>
                <w:color w:val="auto"/>
                <w:sz w:val="24"/>
              </w:rPr>
              <w:t>污染控制标准》（GB18599-20</w:t>
            </w:r>
            <w:r>
              <w:rPr>
                <w:rFonts w:hint="eastAsia"/>
                <w:color w:val="auto"/>
                <w:sz w:val="24"/>
                <w:lang w:val="en-US" w:eastAsia="zh-CN"/>
              </w:rPr>
              <w:t>20</w:t>
            </w:r>
            <w:r>
              <w:rPr>
                <w:color w:val="auto"/>
                <w:sz w:val="24"/>
              </w:rPr>
              <w:t>）要求建设，具体要求如下：</w:t>
            </w:r>
          </w:p>
          <w:p>
            <w:pPr>
              <w:adjustRightInd w:val="0"/>
              <w:snapToGrid w:val="0"/>
              <w:spacing w:line="360" w:lineRule="auto"/>
              <w:ind w:firstLine="480" w:firstLineChars="200"/>
              <w:rPr>
                <w:color w:val="auto"/>
                <w:sz w:val="24"/>
              </w:rPr>
            </w:pPr>
            <w:r>
              <w:rPr>
                <w:color w:val="auto"/>
                <w:sz w:val="24"/>
              </w:rPr>
              <w:t>（1）暂存</w:t>
            </w:r>
            <w:r>
              <w:rPr>
                <w:rFonts w:ascii="Times New Roman" w:hAnsi="Times New Roman" w:cs="Times New Roman"/>
                <w:color w:val="auto"/>
                <w:sz w:val="24"/>
              </w:rPr>
              <w:t>场所</w:t>
            </w:r>
            <w:r>
              <w:rPr>
                <w:rFonts w:hint="eastAsia" w:ascii="宋体" w:hAnsi="宋体" w:eastAsia="宋体" w:cs="宋体"/>
                <w:color w:val="000000"/>
                <w:kern w:val="0"/>
                <w:sz w:val="24"/>
                <w:szCs w:val="24"/>
                <w:lang w:val="en-US" w:eastAsia="zh-CN" w:bidi="ar"/>
              </w:rPr>
              <w:t>地面采用水泥硬化，</w:t>
            </w:r>
            <w:r>
              <w:rPr>
                <w:rFonts w:hint="eastAsia" w:ascii="Times New Roman" w:hAnsi="Times New Roman" w:cs="Times New Roman"/>
                <w:color w:val="auto"/>
                <w:sz w:val="24"/>
              </w:rPr>
              <w:t>具有防风、防雨、防渗功能</w:t>
            </w:r>
            <w:r>
              <w:rPr>
                <w:rFonts w:ascii="Times New Roman" w:hAnsi="Times New Roman" w:cs="Times New Roman"/>
                <w:color w:val="auto"/>
                <w:sz w:val="24"/>
              </w:rPr>
              <w:t>；</w:t>
            </w:r>
          </w:p>
          <w:p>
            <w:pPr>
              <w:adjustRightInd w:val="0"/>
              <w:snapToGrid w:val="0"/>
              <w:spacing w:line="360" w:lineRule="auto"/>
              <w:ind w:firstLine="480" w:firstLineChars="200"/>
              <w:rPr>
                <w:color w:val="auto"/>
                <w:sz w:val="24"/>
              </w:rPr>
            </w:pPr>
            <w:r>
              <w:rPr>
                <w:color w:val="auto"/>
                <w:sz w:val="24"/>
              </w:rPr>
              <w:t>（2）暂存</w:t>
            </w:r>
            <w:r>
              <w:rPr>
                <w:rFonts w:ascii="Times New Roman" w:hAnsi="Times New Roman" w:cs="Times New Roman"/>
                <w:color w:val="auto"/>
                <w:sz w:val="24"/>
              </w:rPr>
              <w:t>场所</w:t>
            </w:r>
            <w:r>
              <w:rPr>
                <w:rFonts w:hint="eastAsia" w:ascii="Times New Roman" w:hAnsi="Times New Roman" w:cs="Times New Roman"/>
                <w:color w:val="auto"/>
                <w:sz w:val="24"/>
                <w:lang w:eastAsia="zh-CN"/>
              </w:rPr>
              <w:t>需</w:t>
            </w:r>
            <w:r>
              <w:rPr>
                <w:rFonts w:hint="eastAsia" w:ascii="Times New Roman" w:hAnsi="Times New Roman" w:cs="Times New Roman"/>
                <w:color w:val="auto"/>
                <w:sz w:val="24"/>
              </w:rPr>
              <w:t>粘贴标识牌</w:t>
            </w:r>
            <w:r>
              <w:rPr>
                <w:rFonts w:hint="eastAsia" w:ascii="宋体" w:hAnsi="宋体" w:cs="宋体"/>
                <w:color w:val="000000"/>
                <w:kern w:val="0"/>
                <w:sz w:val="24"/>
                <w:szCs w:val="24"/>
                <w:lang w:val="en-US" w:eastAsia="zh-CN" w:bidi="ar"/>
              </w:rPr>
              <w:t>，分类堆存一般固废，做好固废台账记录。</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color w:val="auto"/>
              </w:rPr>
            </w:pPr>
            <w:r>
              <w:rPr>
                <w:rFonts w:hint="eastAsia"/>
                <w:b/>
                <w:bCs/>
                <w:color w:val="auto"/>
                <w:lang w:val="en-US" w:eastAsia="zh-CN"/>
              </w:rPr>
              <w:t>2、</w:t>
            </w:r>
            <w:r>
              <w:rPr>
                <w:b/>
                <w:bCs/>
                <w:color w:val="auto"/>
              </w:rPr>
              <w:t>危废暂存设施建设</w:t>
            </w:r>
            <w:r>
              <w:rPr>
                <w:rFonts w:hint="eastAsia"/>
                <w:b/>
                <w:bCs/>
                <w:color w:val="auto"/>
                <w:lang w:val="en-US" w:eastAsia="zh-CN"/>
              </w:rPr>
              <w:t>和管理</w:t>
            </w:r>
            <w:r>
              <w:rPr>
                <w:b/>
                <w:bCs/>
                <w:color w:val="auto"/>
              </w:rPr>
              <w:t>要求：</w:t>
            </w:r>
          </w:p>
          <w:p>
            <w:pPr>
              <w:adjustRightInd w:val="0"/>
              <w:snapToGrid w:val="0"/>
              <w:spacing w:line="360" w:lineRule="auto"/>
              <w:ind w:firstLine="480" w:firstLineChars="200"/>
              <w:rPr>
                <w:color w:val="auto"/>
                <w:sz w:val="24"/>
              </w:rPr>
            </w:pPr>
            <w:r>
              <w:rPr>
                <w:rFonts w:ascii="Times New Roman" w:hAnsi="Times New Roman" w:cs="Times New Roman"/>
                <w:color w:val="auto"/>
                <w:sz w:val="24"/>
              </w:rPr>
              <w:t>危险废物暂存场</w:t>
            </w:r>
            <w:r>
              <w:rPr>
                <w:rFonts w:hint="eastAsia" w:ascii="Times New Roman" w:hAnsi="Times New Roman" w:cs="Times New Roman"/>
                <w:color w:val="auto"/>
                <w:sz w:val="24"/>
                <w:lang w:eastAsia="zh-CN"/>
              </w:rPr>
              <w:t>所</w:t>
            </w:r>
            <w:r>
              <w:rPr>
                <w:rFonts w:ascii="Times New Roman" w:hAnsi="Times New Roman" w:cs="Times New Roman"/>
                <w:color w:val="auto"/>
                <w:sz w:val="24"/>
              </w:rPr>
              <w:t>的设置执行《危险废物贮存污染控制标准》（GB18597-2001）及</w:t>
            </w:r>
            <w:r>
              <w:rPr>
                <w:rFonts w:hint="eastAsia" w:ascii="Times New Roman" w:hAnsi="Times New Roman" w:cs="Times New Roman"/>
                <w:color w:val="auto"/>
                <w:sz w:val="24"/>
                <w:lang w:eastAsia="zh-CN"/>
              </w:rPr>
              <w:t>环节保护部公告</w:t>
            </w:r>
            <w:r>
              <w:rPr>
                <w:rFonts w:ascii="Times New Roman" w:hAnsi="Times New Roman" w:cs="Times New Roman"/>
                <w:color w:val="auto"/>
                <w:sz w:val="24"/>
              </w:rPr>
              <w:t>2013年</w:t>
            </w:r>
            <w:r>
              <w:rPr>
                <w:rFonts w:hint="eastAsia" w:ascii="Times New Roman" w:hAnsi="Times New Roman" w:cs="Times New Roman"/>
                <w:color w:val="auto"/>
                <w:sz w:val="24"/>
                <w:lang w:eastAsia="zh-CN"/>
              </w:rPr>
              <w:t>第</w:t>
            </w:r>
            <w:r>
              <w:rPr>
                <w:rFonts w:hint="eastAsia" w:ascii="Times New Roman" w:hAnsi="Times New Roman" w:cs="Times New Roman"/>
                <w:color w:val="auto"/>
                <w:sz w:val="24"/>
                <w:lang w:val="en-US" w:eastAsia="zh-CN"/>
              </w:rPr>
              <w:t>36号规定的</w:t>
            </w:r>
            <w:r>
              <w:rPr>
                <w:rFonts w:ascii="Times New Roman" w:hAnsi="Times New Roman" w:cs="Times New Roman"/>
                <w:color w:val="auto"/>
                <w:sz w:val="24"/>
              </w:rPr>
              <w:t>修改单中</w:t>
            </w:r>
            <w:r>
              <w:rPr>
                <w:rFonts w:hint="eastAsia" w:ascii="Times New Roman" w:hAnsi="Times New Roman" w:cs="Times New Roman"/>
                <w:color w:val="auto"/>
                <w:sz w:val="24"/>
                <w:lang w:eastAsia="zh-CN"/>
              </w:rPr>
              <w:t>的有</w:t>
            </w:r>
            <w:r>
              <w:rPr>
                <w:rFonts w:ascii="Times New Roman" w:hAnsi="Times New Roman" w:cs="Times New Roman"/>
                <w:color w:val="auto"/>
                <w:sz w:val="24"/>
              </w:rPr>
              <w:t>关</w:t>
            </w:r>
            <w:r>
              <w:rPr>
                <w:color w:val="auto"/>
                <w:sz w:val="24"/>
              </w:rPr>
              <w:t>要求设置，并做到以下几点：</w:t>
            </w:r>
          </w:p>
          <w:p>
            <w:pPr>
              <w:adjustRightInd w:val="0"/>
              <w:snapToGrid w:val="0"/>
              <w:spacing w:line="360" w:lineRule="auto"/>
              <w:ind w:firstLine="480" w:firstLineChars="200"/>
              <w:rPr>
                <w:color w:val="auto"/>
                <w:sz w:val="24"/>
              </w:rPr>
            </w:pPr>
            <w:r>
              <w:rPr>
                <w:color w:val="auto"/>
                <w:sz w:val="24"/>
              </w:rPr>
              <w:t>（1）暂存</w:t>
            </w:r>
            <w:r>
              <w:rPr>
                <w:rFonts w:ascii="Times New Roman" w:hAnsi="Times New Roman" w:cs="Times New Roman"/>
                <w:color w:val="auto"/>
                <w:sz w:val="24"/>
              </w:rPr>
              <w:t>场所</w:t>
            </w:r>
            <w:r>
              <w:rPr>
                <w:rFonts w:hint="eastAsia" w:ascii="Times New Roman" w:hAnsi="Times New Roman" w:cs="Times New Roman"/>
                <w:color w:val="auto"/>
                <w:sz w:val="24"/>
                <w:lang w:eastAsia="zh-CN"/>
              </w:rPr>
              <w:t>地面涂刷环氧树脂漆，</w:t>
            </w:r>
            <w:r>
              <w:rPr>
                <w:rFonts w:hint="eastAsia" w:ascii="Times New Roman" w:hAnsi="Times New Roman" w:cs="Times New Roman"/>
                <w:color w:val="auto"/>
                <w:sz w:val="24"/>
              </w:rPr>
              <w:t>具有防风、防雨、防渗功能</w:t>
            </w:r>
            <w:r>
              <w:rPr>
                <w:rFonts w:ascii="Times New Roman" w:hAnsi="Times New Roman" w:cs="Times New Roman"/>
                <w:color w:val="auto"/>
                <w:sz w:val="24"/>
              </w:rPr>
              <w:t>；</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color w:val="auto"/>
                <w:sz w:val="24"/>
              </w:rPr>
              <w:t>（2）暂存</w:t>
            </w:r>
            <w:r>
              <w:rPr>
                <w:rFonts w:ascii="Times New Roman" w:hAnsi="Times New Roman" w:cs="Times New Roman"/>
                <w:color w:val="auto"/>
                <w:sz w:val="24"/>
              </w:rPr>
              <w:t>场所</w:t>
            </w:r>
            <w:r>
              <w:rPr>
                <w:rFonts w:hint="eastAsia" w:ascii="Times New Roman" w:hAnsi="Times New Roman" w:cs="Times New Roman"/>
                <w:color w:val="auto"/>
                <w:sz w:val="24"/>
                <w:lang w:eastAsia="zh-CN"/>
              </w:rPr>
              <w:t>需</w:t>
            </w:r>
            <w:r>
              <w:rPr>
                <w:rFonts w:hint="eastAsia" w:ascii="Times New Roman" w:hAnsi="Times New Roman" w:cs="Times New Roman"/>
                <w:color w:val="auto"/>
                <w:sz w:val="24"/>
              </w:rPr>
              <w:t>粘贴</w:t>
            </w:r>
            <w:r>
              <w:rPr>
                <w:rFonts w:hint="eastAsia" w:cs="Times New Roman"/>
                <w:color w:val="auto"/>
                <w:sz w:val="24"/>
                <w:lang w:eastAsia="zh-CN"/>
              </w:rPr>
              <w:t>警示</w:t>
            </w:r>
            <w:r>
              <w:rPr>
                <w:rFonts w:hint="eastAsia" w:ascii="Times New Roman" w:hAnsi="Times New Roman" w:cs="Times New Roman"/>
                <w:color w:val="auto"/>
                <w:sz w:val="24"/>
              </w:rPr>
              <w:t>标识牌</w:t>
            </w:r>
            <w:r>
              <w:rPr>
                <w:rFonts w:hint="eastAsia" w:ascii="Times New Roman" w:hAnsi="Times New Roman" w:cs="Times New Roman"/>
                <w:color w:val="auto"/>
                <w:sz w:val="24"/>
                <w:lang w:eastAsia="zh-CN"/>
              </w:rPr>
              <w:t>，分区堆放危险废物；</w:t>
            </w:r>
          </w:p>
          <w:p>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）废机油是易泄漏的危险废物，应设置托盘及围堰；</w:t>
            </w:r>
          </w:p>
          <w:p>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lang w:eastAsia="zh-CN"/>
              </w:rPr>
              <w:t>）暂存场地处需设置备用吸收材料；</w:t>
            </w:r>
          </w:p>
          <w:p>
            <w:pPr>
              <w:adjustRightInd w:val="0"/>
              <w:snapToGrid w:val="0"/>
              <w:spacing w:line="360" w:lineRule="auto"/>
              <w:ind w:firstLine="480" w:firstLineChars="200"/>
              <w:rPr>
                <w:rFonts w:hint="eastAsia"/>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5</w:t>
            </w:r>
            <w:r>
              <w:rPr>
                <w:rFonts w:hint="eastAsia" w:ascii="Times New Roman" w:hAnsi="Times New Roman" w:cs="Times New Roman"/>
                <w:color w:val="auto"/>
                <w:sz w:val="24"/>
                <w:lang w:eastAsia="zh-CN"/>
              </w:rPr>
              <w:t>）暂存场所必要时配备双人锁；</w:t>
            </w:r>
          </w:p>
          <w:p>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（6）</w:t>
            </w:r>
            <w:r>
              <w:rPr>
                <w:rFonts w:hint="eastAsia" w:ascii="Times New Roman" w:hAnsi="Times New Roman" w:cs="Times New Roman"/>
                <w:color w:val="auto"/>
                <w:sz w:val="24"/>
                <w:lang w:eastAsia="zh-CN"/>
              </w:rPr>
              <w:t>建立危险废物管理制度；</w:t>
            </w:r>
          </w:p>
          <w:p>
            <w:pPr>
              <w:adjustRightInd w:val="0"/>
              <w:snapToGrid w:val="0"/>
              <w:spacing w:line="360" w:lineRule="auto"/>
              <w:ind w:firstLine="480" w:firstLineChars="200"/>
              <w:rPr>
                <w:rFonts w:hint="eastAsia"/>
                <w:color w:val="auto"/>
                <w:lang w:val="en-US"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lang w:eastAsia="zh-CN"/>
              </w:rPr>
              <w:t>）设置电子秤，做好危废台账的记录。</w:t>
            </w:r>
          </w:p>
          <w:p>
            <w:pPr>
              <w:adjustRightInd w:val="0"/>
              <w:snapToGrid w:val="0"/>
              <w:spacing w:line="360" w:lineRule="auto"/>
              <w:ind w:firstLine="480" w:firstLineChars="200"/>
              <w:rPr>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lang w:eastAsia="zh-CN"/>
              </w:rPr>
              <w:t>）废活性炭密封保存，定期开展检查。</w:t>
            </w:r>
          </w:p>
          <w:p>
            <w:pPr>
              <w:pStyle w:val="25"/>
              <w:spacing w:line="360" w:lineRule="auto"/>
              <w:ind w:firstLine="482" w:firstLineChars="200"/>
              <w:rPr>
                <w:rFonts w:hint="eastAsia" w:ascii="Times" w:hAnsi="Times" w:eastAsia="宋体"/>
                <w:bCs/>
                <w:color w:val="auto"/>
                <w:spacing w:val="0"/>
                <w:sz w:val="24"/>
                <w:szCs w:val="24"/>
                <w:lang w:val="en-US" w:eastAsia="zh-CN"/>
              </w:rPr>
            </w:pPr>
            <w:r>
              <w:rPr>
                <w:rFonts w:hint="eastAsia"/>
                <w:b/>
                <w:bCs/>
                <w:color w:val="auto"/>
                <w:lang w:eastAsia="zh-CN"/>
              </w:rPr>
              <w:t>（六）</w:t>
            </w:r>
            <w:r>
              <w:rPr>
                <w:rFonts w:hint="eastAsia"/>
                <w:b/>
                <w:bCs/>
                <w:color w:val="auto"/>
              </w:rPr>
              <w:t>地下水</w:t>
            </w:r>
            <w:r>
              <w:rPr>
                <w:rFonts w:hint="eastAsia"/>
                <w:b/>
                <w:bCs/>
                <w:color w:val="auto"/>
                <w:lang w:val="en-US" w:eastAsia="zh-CN"/>
              </w:rPr>
              <w:t>影响分析</w:t>
            </w:r>
          </w:p>
          <w:p>
            <w:pPr>
              <w:adjustRightInd w:val="0"/>
              <w:snapToGrid w:val="0"/>
              <w:spacing w:line="360" w:lineRule="auto"/>
              <w:ind w:firstLine="480" w:firstLineChars="200"/>
              <w:rPr>
                <w:rFonts w:hint="eastAsia" w:eastAsia="宋体"/>
                <w:color w:val="auto"/>
                <w:sz w:val="24"/>
                <w:lang w:eastAsia="zh-CN"/>
              </w:rPr>
            </w:pPr>
            <w:r>
              <w:rPr>
                <w:color w:val="auto"/>
                <w:sz w:val="24"/>
              </w:rPr>
              <w:t>关键污染源为</w:t>
            </w:r>
            <w:r>
              <w:rPr>
                <w:rFonts w:hint="eastAsia"/>
                <w:color w:val="auto"/>
                <w:sz w:val="24"/>
              </w:rPr>
              <w:t>危废暂存间</w:t>
            </w:r>
            <w:r>
              <w:rPr>
                <w:color w:val="auto"/>
                <w:sz w:val="24"/>
              </w:rPr>
              <w:t>。</w:t>
            </w:r>
            <w:r>
              <w:rPr>
                <w:rFonts w:hint="eastAsia"/>
                <w:color w:val="auto"/>
                <w:sz w:val="24"/>
                <w:lang w:eastAsia="zh-CN"/>
              </w:rPr>
              <w:t>地面采取相应防渗措施，</w:t>
            </w:r>
            <w:r>
              <w:rPr>
                <w:rFonts w:hint="eastAsia"/>
                <w:color w:val="auto"/>
                <w:sz w:val="24"/>
              </w:rPr>
              <w:t>将危废暂存间</w:t>
            </w:r>
            <w:r>
              <w:rPr>
                <w:rFonts w:hint="eastAsia"/>
                <w:color w:val="auto"/>
                <w:sz w:val="24"/>
                <w:lang w:eastAsia="zh-CN"/>
              </w:rPr>
              <w:t>作</w:t>
            </w:r>
            <w:r>
              <w:rPr>
                <w:rFonts w:hint="eastAsia"/>
                <w:color w:val="auto"/>
                <w:sz w:val="24"/>
              </w:rPr>
              <w:t>为重点防渗区，</w:t>
            </w:r>
            <w:r>
              <w:rPr>
                <w:rFonts w:hint="eastAsia"/>
                <w:color w:val="auto"/>
                <w:sz w:val="24"/>
                <w:lang w:eastAsia="zh-CN"/>
              </w:rPr>
              <w:t>生产区、一般固废间、</w:t>
            </w:r>
            <w:r>
              <w:rPr>
                <w:rFonts w:hint="eastAsia"/>
                <w:color w:val="auto"/>
                <w:sz w:val="24"/>
              </w:rPr>
              <w:t>办公</w:t>
            </w:r>
            <w:r>
              <w:rPr>
                <w:rFonts w:hint="eastAsia"/>
                <w:color w:val="auto"/>
                <w:sz w:val="24"/>
                <w:lang w:eastAsia="zh-CN"/>
              </w:rPr>
              <w:t>区作为一般防渗区</w:t>
            </w:r>
            <w:r>
              <w:rPr>
                <w:rFonts w:hint="eastAsia"/>
                <w:color w:val="auto"/>
                <w:sz w:val="24"/>
              </w:rPr>
              <w:t>。</w:t>
            </w:r>
          </w:p>
          <w:p>
            <w:pPr>
              <w:pStyle w:val="25"/>
              <w:spacing w:line="360" w:lineRule="auto"/>
              <w:ind w:firstLine="482" w:firstLineChars="200"/>
              <w:rPr>
                <w:rFonts w:hint="eastAsia" w:eastAsia="宋体"/>
                <w:b/>
                <w:bCs/>
                <w:color w:val="auto"/>
                <w:lang w:eastAsia="zh-CN"/>
              </w:rPr>
            </w:pPr>
            <w:r>
              <w:rPr>
                <w:rFonts w:hint="eastAsia"/>
                <w:b/>
                <w:bCs/>
                <w:color w:val="auto"/>
                <w:lang w:eastAsia="zh-CN"/>
              </w:rPr>
              <w:t>（七）</w:t>
            </w:r>
            <w:r>
              <w:rPr>
                <w:rFonts w:hint="eastAsia"/>
                <w:b/>
                <w:bCs/>
                <w:color w:val="auto"/>
              </w:rPr>
              <w:t>土壤</w:t>
            </w:r>
            <w:r>
              <w:rPr>
                <w:rFonts w:hint="eastAsia"/>
                <w:b/>
                <w:bCs/>
                <w:color w:val="auto"/>
                <w:lang w:eastAsia="zh-CN"/>
              </w:rPr>
              <w:t>影响分析</w:t>
            </w:r>
          </w:p>
          <w:p>
            <w:pPr>
              <w:autoSpaceDE w:val="0"/>
              <w:autoSpaceDN w:val="0"/>
              <w:adjustRightInd w:val="0"/>
              <w:snapToGrid w:val="0"/>
              <w:spacing w:line="360" w:lineRule="auto"/>
              <w:ind w:firstLine="482" w:firstLineChars="200"/>
              <w:jc w:val="left"/>
              <w:rPr>
                <w:rFonts w:ascii="Times" w:hAnsi="Times"/>
                <w:b/>
                <w:bCs/>
                <w:color w:val="auto"/>
                <w:spacing w:val="0"/>
                <w:sz w:val="24"/>
                <w:szCs w:val="24"/>
              </w:rPr>
            </w:pPr>
            <w:r>
              <w:rPr>
                <w:rFonts w:hint="eastAsia" w:ascii="Times" w:hAnsi="Times"/>
                <w:b/>
                <w:bCs/>
                <w:color w:val="auto"/>
                <w:spacing w:val="0"/>
                <w:sz w:val="24"/>
                <w:szCs w:val="24"/>
              </w:rPr>
              <w:t>（1）等级判定</w:t>
            </w:r>
          </w:p>
          <w:p>
            <w:pPr>
              <w:autoSpaceDE w:val="0"/>
              <w:autoSpaceDN w:val="0"/>
              <w:adjustRightInd w:val="0"/>
              <w:snapToGrid w:val="0"/>
              <w:spacing w:line="360" w:lineRule="auto"/>
              <w:ind w:firstLine="480" w:firstLineChars="200"/>
              <w:jc w:val="left"/>
              <w:rPr>
                <w:rFonts w:ascii="Times" w:hAnsi="Times"/>
                <w:bCs/>
                <w:color w:val="auto"/>
                <w:spacing w:val="0"/>
                <w:sz w:val="24"/>
                <w:szCs w:val="24"/>
              </w:rPr>
            </w:pPr>
            <w:r>
              <w:rPr>
                <w:rFonts w:hint="eastAsia" w:ascii="Times" w:hAnsi="Times"/>
                <w:bCs/>
                <w:color w:val="auto"/>
                <w:spacing w:val="0"/>
                <w:sz w:val="24"/>
                <w:szCs w:val="24"/>
              </w:rPr>
              <w:t>1）占地规模</w:t>
            </w:r>
          </w:p>
          <w:p>
            <w:pPr>
              <w:autoSpaceDE w:val="0"/>
              <w:autoSpaceDN w:val="0"/>
              <w:adjustRightInd w:val="0"/>
              <w:snapToGrid w:val="0"/>
              <w:spacing w:line="360" w:lineRule="auto"/>
              <w:ind w:firstLine="480" w:firstLineChars="200"/>
              <w:jc w:val="left"/>
              <w:rPr>
                <w:rFonts w:ascii="Times" w:hAnsi="Times"/>
                <w:bCs/>
                <w:color w:val="000000"/>
                <w:spacing w:val="0"/>
                <w:sz w:val="24"/>
                <w:szCs w:val="24"/>
              </w:rPr>
            </w:pPr>
            <w:r>
              <w:rPr>
                <w:rFonts w:hint="eastAsia" w:ascii="Times" w:hAnsi="Times"/>
                <w:bCs/>
                <w:color w:val="auto"/>
                <w:spacing w:val="0"/>
                <w:sz w:val="24"/>
                <w:szCs w:val="24"/>
              </w:rPr>
              <w:t xml:space="preserve">根据《环境影响评价技术导则  </w:t>
            </w:r>
            <w:r>
              <w:rPr>
                <w:rFonts w:hint="eastAsia" w:ascii="Times" w:hAnsi="Times"/>
                <w:bCs/>
                <w:color w:val="000000"/>
                <w:spacing w:val="0"/>
                <w:sz w:val="24"/>
                <w:szCs w:val="24"/>
              </w:rPr>
              <w:t>土壤环境》（HJ964-2018），本项目属于污染影响型建设项目，建设项目占地面积为</w:t>
            </w:r>
            <w:r>
              <w:rPr>
                <w:rFonts w:ascii="Times" w:hAnsi="Times"/>
                <w:color w:val="000000"/>
                <w:spacing w:val="0"/>
                <w:sz w:val="24"/>
                <w:szCs w:val="24"/>
              </w:rPr>
              <w:t>2</w:t>
            </w:r>
            <w:r>
              <w:rPr>
                <w:rFonts w:hint="eastAsia" w:ascii="Times" w:hAnsi="Times"/>
                <w:color w:val="000000"/>
                <w:spacing w:val="0"/>
                <w:sz w:val="24"/>
                <w:szCs w:val="24"/>
                <w:lang w:val="en-US" w:eastAsia="zh-CN"/>
              </w:rPr>
              <w:t>0191</w:t>
            </w:r>
            <w:r>
              <w:rPr>
                <w:rFonts w:hint="eastAsia" w:ascii="Times" w:hAnsi="Times"/>
                <w:color w:val="000000"/>
                <w:spacing w:val="0"/>
                <w:sz w:val="24"/>
                <w:szCs w:val="24"/>
              </w:rPr>
              <w:t>m</w:t>
            </w:r>
            <w:r>
              <w:rPr>
                <w:rFonts w:hint="eastAsia" w:ascii="Times" w:hAnsi="Times"/>
                <w:color w:val="000000"/>
                <w:spacing w:val="0"/>
                <w:sz w:val="24"/>
                <w:szCs w:val="24"/>
                <w:vertAlign w:val="superscript"/>
              </w:rPr>
              <w:t>2</w:t>
            </w:r>
            <w:r>
              <w:rPr>
                <w:rFonts w:hint="eastAsia" w:ascii="Times" w:hAnsi="Times"/>
                <w:color w:val="000000"/>
                <w:spacing w:val="0"/>
                <w:sz w:val="24"/>
                <w:szCs w:val="24"/>
              </w:rPr>
              <w:t>＜5hm</w:t>
            </w:r>
            <w:r>
              <w:rPr>
                <w:rFonts w:hint="eastAsia" w:ascii="Times" w:hAnsi="Times"/>
                <w:color w:val="000000"/>
                <w:spacing w:val="0"/>
                <w:sz w:val="24"/>
                <w:szCs w:val="24"/>
                <w:vertAlign w:val="superscript"/>
              </w:rPr>
              <w:t>2</w:t>
            </w:r>
            <w:r>
              <w:rPr>
                <w:rFonts w:hint="eastAsia" w:ascii="Times" w:hAnsi="Times"/>
                <w:color w:val="000000"/>
                <w:spacing w:val="0"/>
                <w:sz w:val="24"/>
                <w:szCs w:val="24"/>
              </w:rPr>
              <w:t>（</w:t>
            </w:r>
            <w:r>
              <w:rPr>
                <w:rFonts w:ascii="Times" w:hAnsi="Times"/>
                <w:color w:val="000000"/>
                <w:spacing w:val="0"/>
                <w:sz w:val="24"/>
                <w:szCs w:val="24"/>
              </w:rPr>
              <w:t>50000</w:t>
            </w:r>
            <w:r>
              <w:rPr>
                <w:rFonts w:hint="eastAsia" w:ascii="Times" w:hAnsi="Times"/>
                <w:color w:val="000000"/>
                <w:spacing w:val="0"/>
                <w:sz w:val="24"/>
                <w:szCs w:val="24"/>
              </w:rPr>
              <w:t xml:space="preserve"> m</w:t>
            </w:r>
            <w:r>
              <w:rPr>
                <w:rFonts w:hint="eastAsia" w:ascii="Times" w:hAnsi="Times"/>
                <w:color w:val="000000"/>
                <w:spacing w:val="0"/>
                <w:sz w:val="24"/>
                <w:szCs w:val="24"/>
                <w:vertAlign w:val="superscript"/>
              </w:rPr>
              <w:t>2</w:t>
            </w:r>
            <w:r>
              <w:rPr>
                <w:rFonts w:hint="eastAsia" w:ascii="Times" w:hAnsi="Times"/>
                <w:color w:val="000000"/>
                <w:spacing w:val="0"/>
                <w:sz w:val="24"/>
                <w:szCs w:val="24"/>
              </w:rPr>
              <w:t>）</w:t>
            </w:r>
            <w:r>
              <w:rPr>
                <w:rFonts w:hint="eastAsia" w:ascii="Times" w:hAnsi="Times"/>
                <w:bCs/>
                <w:color w:val="000000"/>
                <w:spacing w:val="0"/>
                <w:sz w:val="24"/>
                <w:szCs w:val="24"/>
              </w:rPr>
              <w:t>，占地规模属于小型。</w:t>
            </w:r>
          </w:p>
          <w:p>
            <w:pPr>
              <w:autoSpaceDE w:val="0"/>
              <w:autoSpaceDN w:val="0"/>
              <w:adjustRightInd w:val="0"/>
              <w:snapToGrid w:val="0"/>
              <w:spacing w:line="360" w:lineRule="auto"/>
              <w:ind w:firstLine="480" w:firstLineChars="200"/>
              <w:jc w:val="left"/>
              <w:rPr>
                <w:rFonts w:ascii="Times" w:hAnsi="Times"/>
                <w:bCs/>
                <w:color w:val="000000"/>
                <w:spacing w:val="0"/>
                <w:sz w:val="24"/>
                <w:szCs w:val="24"/>
              </w:rPr>
            </w:pPr>
            <w:r>
              <w:rPr>
                <w:rFonts w:hint="eastAsia" w:ascii="Times" w:hAnsi="Times"/>
                <w:bCs/>
                <w:color w:val="000000"/>
                <w:spacing w:val="0"/>
                <w:sz w:val="24"/>
                <w:szCs w:val="24"/>
              </w:rPr>
              <w:t>2）敏感程度判定</w:t>
            </w:r>
          </w:p>
          <w:p>
            <w:pPr>
              <w:autoSpaceDE w:val="0"/>
              <w:autoSpaceDN w:val="0"/>
              <w:adjustRightInd w:val="0"/>
              <w:snapToGrid w:val="0"/>
              <w:spacing w:line="360" w:lineRule="auto"/>
              <w:ind w:firstLine="480" w:firstLineChars="200"/>
              <w:jc w:val="left"/>
              <w:rPr>
                <w:rFonts w:ascii="Times" w:hAnsi="Times"/>
                <w:bCs/>
                <w:color w:val="000000"/>
                <w:spacing w:val="0"/>
                <w:sz w:val="24"/>
                <w:szCs w:val="24"/>
              </w:rPr>
            </w:pPr>
            <w:r>
              <w:rPr>
                <w:rFonts w:hint="eastAsia" w:ascii="Times" w:hAnsi="Times"/>
                <w:bCs/>
                <w:color w:val="000000"/>
                <w:spacing w:val="0"/>
                <w:sz w:val="24"/>
                <w:szCs w:val="24"/>
              </w:rPr>
              <w:t>建设项目所在地周边土壤环境敏感程度分为敏感、较敏感、不敏感，判别依据见下表。</w:t>
            </w:r>
          </w:p>
          <w:p>
            <w:pPr>
              <w:autoSpaceDE w:val="0"/>
              <w:autoSpaceDN w:val="0"/>
              <w:adjustRightInd w:val="0"/>
              <w:snapToGrid w:val="0"/>
              <w:spacing w:line="360" w:lineRule="auto"/>
              <w:ind w:firstLine="482" w:firstLineChars="200"/>
              <w:jc w:val="center"/>
              <w:rPr>
                <w:rFonts w:ascii="Times" w:hAnsi="Times"/>
                <w:b/>
                <w:bCs/>
                <w:color w:val="000000"/>
                <w:spacing w:val="0"/>
                <w:sz w:val="24"/>
                <w:szCs w:val="24"/>
              </w:rPr>
            </w:pPr>
            <w:r>
              <w:rPr>
                <w:rFonts w:hint="eastAsia" w:ascii="Times" w:hAnsi="Times"/>
                <w:b/>
                <w:bCs/>
                <w:color w:val="000000"/>
                <w:spacing w:val="0"/>
                <w:sz w:val="24"/>
                <w:szCs w:val="24"/>
              </w:rPr>
              <w:t>表</w:t>
            </w:r>
            <w:r>
              <w:rPr>
                <w:rFonts w:hint="eastAsia" w:ascii="Times" w:hAnsi="Times"/>
                <w:b/>
                <w:bCs/>
                <w:color w:val="000000"/>
                <w:spacing w:val="0"/>
                <w:sz w:val="24"/>
                <w:szCs w:val="24"/>
                <w:lang w:val="en-US" w:eastAsia="zh-CN"/>
              </w:rPr>
              <w:t>4-17</w:t>
            </w:r>
            <w:r>
              <w:rPr>
                <w:rFonts w:hint="eastAsia" w:ascii="Times" w:hAnsi="Times"/>
                <w:b/>
                <w:bCs/>
                <w:color w:val="000000"/>
                <w:spacing w:val="0"/>
                <w:sz w:val="24"/>
                <w:szCs w:val="24"/>
              </w:rPr>
              <w:t xml:space="preserve">   污染影响型敏感程度分级表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autoSpaceDE w:val="0"/>
                    <w:autoSpaceDN w:val="0"/>
                    <w:adjustRightInd w:val="0"/>
                    <w:jc w:val="center"/>
                    <w:rPr>
                      <w:rFonts w:ascii="Times" w:hAnsi="Times"/>
                      <w:bCs/>
                      <w:color w:val="000000"/>
                      <w:spacing w:val="0"/>
                    </w:rPr>
                  </w:pPr>
                  <w:r>
                    <w:rPr>
                      <w:rFonts w:hint="eastAsia" w:ascii="Times" w:hAnsi="Times"/>
                      <w:bCs/>
                      <w:color w:val="000000"/>
                      <w:spacing w:val="0"/>
                    </w:rPr>
                    <w:t>敏感程度</w:t>
                  </w:r>
                </w:p>
              </w:tc>
              <w:tc>
                <w:tcPr>
                  <w:tcW w:w="4245" w:type="pct"/>
                </w:tcPr>
                <w:p>
                  <w:pPr>
                    <w:autoSpaceDE w:val="0"/>
                    <w:autoSpaceDN w:val="0"/>
                    <w:adjustRightInd w:val="0"/>
                    <w:jc w:val="center"/>
                    <w:rPr>
                      <w:rFonts w:ascii="Times" w:hAnsi="Times"/>
                      <w:bCs/>
                      <w:color w:val="000000"/>
                      <w:spacing w:val="0"/>
                    </w:rPr>
                  </w:pPr>
                  <w:r>
                    <w:rPr>
                      <w:rFonts w:hint="eastAsia" w:ascii="Times" w:hAnsi="Times"/>
                      <w:bCs/>
                      <w:color w:val="000000"/>
                      <w:spacing w:val="0"/>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Align w:val="center"/>
                </w:tcPr>
                <w:p>
                  <w:pPr>
                    <w:autoSpaceDE w:val="0"/>
                    <w:autoSpaceDN w:val="0"/>
                    <w:adjustRightInd w:val="0"/>
                    <w:jc w:val="center"/>
                    <w:rPr>
                      <w:rFonts w:ascii="Times" w:hAnsi="Times"/>
                      <w:bCs/>
                      <w:color w:val="000000"/>
                      <w:spacing w:val="0"/>
                    </w:rPr>
                  </w:pPr>
                  <w:r>
                    <w:rPr>
                      <w:rFonts w:hint="eastAsia" w:ascii="Times" w:hAnsi="Times"/>
                      <w:bCs/>
                      <w:color w:val="000000"/>
                      <w:spacing w:val="0"/>
                    </w:rPr>
                    <w:t>敏感</w:t>
                  </w:r>
                </w:p>
              </w:tc>
              <w:tc>
                <w:tcPr>
                  <w:tcW w:w="4245" w:type="pct"/>
                </w:tcPr>
                <w:p>
                  <w:pPr>
                    <w:autoSpaceDE w:val="0"/>
                    <w:autoSpaceDN w:val="0"/>
                    <w:adjustRightInd w:val="0"/>
                    <w:jc w:val="left"/>
                    <w:rPr>
                      <w:rFonts w:ascii="Times" w:hAnsi="Times"/>
                      <w:bCs/>
                      <w:color w:val="000000"/>
                      <w:spacing w:val="0"/>
                    </w:rPr>
                  </w:pPr>
                  <w:r>
                    <w:rPr>
                      <w:rFonts w:hint="eastAsia" w:ascii="Times" w:hAnsi="Times"/>
                      <w:bCs/>
                      <w:color w:val="000000"/>
                      <w:spacing w:val="0"/>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autoSpaceDE w:val="0"/>
                    <w:autoSpaceDN w:val="0"/>
                    <w:adjustRightInd w:val="0"/>
                    <w:jc w:val="center"/>
                    <w:rPr>
                      <w:rFonts w:ascii="Times" w:hAnsi="Times"/>
                      <w:bCs/>
                      <w:color w:val="000000"/>
                      <w:spacing w:val="0"/>
                    </w:rPr>
                  </w:pPr>
                  <w:r>
                    <w:rPr>
                      <w:rFonts w:hint="eastAsia" w:ascii="Times" w:hAnsi="Times"/>
                      <w:bCs/>
                      <w:color w:val="000000"/>
                      <w:spacing w:val="0"/>
                    </w:rPr>
                    <w:t>较敏感</w:t>
                  </w:r>
                </w:p>
              </w:tc>
              <w:tc>
                <w:tcPr>
                  <w:tcW w:w="4245" w:type="pct"/>
                </w:tcPr>
                <w:p>
                  <w:pPr>
                    <w:autoSpaceDE w:val="0"/>
                    <w:autoSpaceDN w:val="0"/>
                    <w:adjustRightInd w:val="0"/>
                    <w:jc w:val="center"/>
                    <w:rPr>
                      <w:rFonts w:ascii="Times" w:hAnsi="Times"/>
                      <w:bCs/>
                      <w:color w:val="000000"/>
                      <w:spacing w:val="0"/>
                    </w:rPr>
                  </w:pPr>
                  <w:r>
                    <w:rPr>
                      <w:rFonts w:hint="eastAsia" w:ascii="Times" w:hAnsi="Times"/>
                      <w:bCs/>
                      <w:color w:val="000000"/>
                      <w:spacing w:val="0"/>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autoSpaceDE w:val="0"/>
                    <w:autoSpaceDN w:val="0"/>
                    <w:adjustRightInd w:val="0"/>
                    <w:jc w:val="center"/>
                    <w:rPr>
                      <w:rFonts w:ascii="Times" w:hAnsi="Times"/>
                      <w:bCs/>
                      <w:color w:val="000000"/>
                      <w:spacing w:val="0"/>
                    </w:rPr>
                  </w:pPr>
                  <w:r>
                    <w:rPr>
                      <w:rFonts w:hint="eastAsia" w:ascii="Times" w:hAnsi="Times"/>
                      <w:bCs/>
                      <w:color w:val="000000"/>
                      <w:spacing w:val="0"/>
                    </w:rPr>
                    <w:t>不敏感</w:t>
                  </w:r>
                </w:p>
              </w:tc>
              <w:tc>
                <w:tcPr>
                  <w:tcW w:w="4245" w:type="pct"/>
                </w:tcPr>
                <w:p>
                  <w:pPr>
                    <w:autoSpaceDE w:val="0"/>
                    <w:autoSpaceDN w:val="0"/>
                    <w:adjustRightInd w:val="0"/>
                    <w:jc w:val="center"/>
                    <w:rPr>
                      <w:rFonts w:ascii="Times" w:hAnsi="Times"/>
                      <w:bCs/>
                      <w:color w:val="000000"/>
                      <w:spacing w:val="0"/>
                    </w:rPr>
                  </w:pPr>
                  <w:r>
                    <w:rPr>
                      <w:rFonts w:hint="eastAsia" w:ascii="Times" w:hAnsi="Times"/>
                      <w:bCs/>
                      <w:color w:val="000000"/>
                      <w:spacing w:val="0"/>
                    </w:rPr>
                    <w:t>其他情况</w:t>
                  </w:r>
                </w:p>
              </w:tc>
            </w:tr>
          </w:tbl>
          <w:p>
            <w:pPr>
              <w:spacing w:line="360" w:lineRule="auto"/>
              <w:ind w:firstLine="480"/>
              <w:jc w:val="left"/>
              <w:rPr>
                <w:rFonts w:hint="eastAsia" w:ascii="Times" w:hAnsi="Times"/>
                <w:color w:val="000000"/>
                <w:spacing w:val="0"/>
                <w:sz w:val="24"/>
                <w:szCs w:val="24"/>
              </w:rPr>
            </w:pPr>
            <w:r>
              <w:rPr>
                <w:rFonts w:hint="eastAsia" w:ascii="Times" w:hAnsi="Times"/>
                <w:bCs/>
                <w:color w:val="000000"/>
                <w:spacing w:val="0"/>
                <w:sz w:val="24"/>
                <w:szCs w:val="24"/>
              </w:rPr>
              <w:t>根据现场踏勘，本项目周边50m范围内无耕地、园地、牧草地、饮用水水源地或居民区、学校、医院、疗养院、养老院等土壤环境敏感目标，也不存在其他土壤环境敏感目标，故本项目敏感程度为不敏感。</w:t>
            </w:r>
          </w:p>
          <w:p>
            <w:pPr>
              <w:spacing w:line="360" w:lineRule="auto"/>
              <w:ind w:firstLine="480"/>
              <w:jc w:val="left"/>
              <w:rPr>
                <w:rFonts w:ascii="Times" w:hAnsi="Times"/>
                <w:color w:val="000000"/>
                <w:spacing w:val="0"/>
                <w:sz w:val="24"/>
                <w:szCs w:val="24"/>
              </w:rPr>
            </w:pPr>
            <w:r>
              <w:rPr>
                <w:rFonts w:hint="eastAsia" w:ascii="Times" w:hAnsi="Times"/>
                <w:color w:val="000000"/>
                <w:spacing w:val="0"/>
                <w:sz w:val="24"/>
                <w:szCs w:val="24"/>
              </w:rPr>
              <w:t>3）评级类别</w:t>
            </w:r>
          </w:p>
          <w:p>
            <w:pPr>
              <w:spacing w:line="360" w:lineRule="auto"/>
              <w:ind w:firstLine="480"/>
              <w:jc w:val="left"/>
              <w:rPr>
                <w:rFonts w:ascii="Times New Roman" w:hAnsi="Times New Roman"/>
                <w:color w:val="000000"/>
                <w:spacing w:val="0"/>
                <w:sz w:val="24"/>
                <w:szCs w:val="24"/>
              </w:rPr>
            </w:pPr>
            <w:r>
              <w:rPr>
                <w:rFonts w:hint="eastAsia" w:ascii="Times New Roman" w:hAnsi="Times New Roman"/>
                <w:color w:val="000000"/>
                <w:spacing w:val="0"/>
                <w:sz w:val="24"/>
                <w:szCs w:val="24"/>
              </w:rPr>
              <w:t>根据《环境影响评价技术导则  土壤环境》（HJ964-2018）附录A土壤环境影响评价项目类别可知，本</w:t>
            </w:r>
            <w:r>
              <w:rPr>
                <w:rFonts w:hint="default" w:ascii="Times New Roman" w:hAnsi="Times New Roman" w:cs="Times New Roman"/>
                <w:color w:val="000000"/>
                <w:spacing w:val="0"/>
                <w:sz w:val="24"/>
                <w:szCs w:val="24"/>
              </w:rPr>
              <w:t>项目属于</w:t>
            </w:r>
            <w:r>
              <w:rPr>
                <w:rFonts w:hint="default" w:ascii="Times New Roman" w:hAnsi="Times New Roman" w:cs="Times New Roman"/>
                <w:color w:val="000000"/>
                <w:spacing w:val="0"/>
              </w:rPr>
              <w:t>Ⅲ</w:t>
            </w:r>
            <w:r>
              <w:rPr>
                <w:rFonts w:hint="default" w:ascii="Times New Roman" w:hAnsi="Times New Roman" w:cs="Times New Roman"/>
                <w:color w:val="000000"/>
                <w:spacing w:val="0"/>
                <w:sz w:val="24"/>
                <w:szCs w:val="24"/>
              </w:rPr>
              <w:t>类项目</w:t>
            </w:r>
            <w:r>
              <w:rPr>
                <w:rFonts w:hint="eastAsia" w:ascii="Times New Roman" w:hAnsi="Times New Roman"/>
                <w:color w:val="000000"/>
                <w:spacing w:val="0"/>
                <w:sz w:val="24"/>
                <w:szCs w:val="24"/>
              </w:rPr>
              <w:t>。</w:t>
            </w:r>
          </w:p>
          <w:p>
            <w:pPr>
              <w:spacing w:line="360" w:lineRule="auto"/>
              <w:ind w:firstLine="480"/>
              <w:jc w:val="center"/>
              <w:rPr>
                <w:rFonts w:ascii="Times New Roman" w:hAnsi="Times New Roman"/>
                <w:b/>
                <w:color w:val="000000"/>
                <w:spacing w:val="0"/>
                <w:sz w:val="24"/>
                <w:szCs w:val="24"/>
              </w:rPr>
            </w:pPr>
            <w:r>
              <w:rPr>
                <w:rFonts w:hint="eastAsia" w:ascii="Times New Roman" w:hAnsi="Times New Roman"/>
                <w:b/>
                <w:color w:val="000000"/>
                <w:spacing w:val="0"/>
                <w:sz w:val="24"/>
                <w:szCs w:val="24"/>
              </w:rPr>
              <w:t>表</w:t>
            </w:r>
            <w:r>
              <w:rPr>
                <w:rFonts w:hint="eastAsia" w:ascii="Times New Roman" w:hAnsi="Times New Roman"/>
                <w:b/>
                <w:color w:val="000000"/>
                <w:spacing w:val="0"/>
                <w:sz w:val="24"/>
                <w:szCs w:val="24"/>
                <w:lang w:val="en-US" w:eastAsia="zh-CN"/>
              </w:rPr>
              <w:t>4-18</w:t>
            </w:r>
            <w:r>
              <w:rPr>
                <w:rFonts w:hint="eastAsia" w:ascii="Times New Roman" w:hAnsi="Times New Roman"/>
                <w:b/>
                <w:color w:val="000000"/>
                <w:spacing w:val="0"/>
                <w:sz w:val="24"/>
                <w:szCs w:val="24"/>
              </w:rPr>
              <w:t xml:space="preserve">  污染影响型评价工作等级划分表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643"/>
              <w:gridCol w:w="641"/>
              <w:gridCol w:w="771"/>
              <w:gridCol w:w="714"/>
              <w:gridCol w:w="794"/>
              <w:gridCol w:w="794"/>
              <w:gridCol w:w="794"/>
              <w:gridCol w:w="794"/>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vMerge w:val="restart"/>
                  <w:tcBorders>
                    <w:tl2br w:val="single" w:color="auto" w:sz="4" w:space="0"/>
                  </w:tcBorders>
                </w:tcPr>
                <w:p>
                  <w:pPr>
                    <w:jc w:val="center"/>
                    <w:rPr>
                      <w:rFonts w:ascii="Times New Roman" w:hAnsi="Times New Roman"/>
                      <w:b/>
                      <w:bCs/>
                      <w:color w:val="000000"/>
                      <w:spacing w:val="0"/>
                    </w:rPr>
                  </w:pPr>
                  <w:r>
                    <w:rPr>
                      <w:rFonts w:hint="eastAsia" w:ascii="Times New Roman" w:hAnsi="Times New Roman"/>
                      <w:b/>
                      <w:bCs/>
                      <w:color w:val="000000"/>
                      <w:spacing w:val="0"/>
                    </w:rPr>
                    <w:t xml:space="preserve"> 占地规模</w:t>
                  </w:r>
                </w:p>
                <w:p>
                  <w:pPr>
                    <w:rPr>
                      <w:rFonts w:ascii="Times New Roman" w:hAnsi="Times New Roman"/>
                      <w:b/>
                      <w:bCs/>
                      <w:color w:val="000000"/>
                      <w:spacing w:val="0"/>
                    </w:rPr>
                  </w:pPr>
                  <w:r>
                    <w:rPr>
                      <w:rFonts w:hint="eastAsia" w:ascii="Times New Roman" w:hAnsi="Times New Roman"/>
                      <w:b/>
                      <w:bCs/>
                      <w:color w:val="000000"/>
                      <w:spacing w:val="0"/>
                    </w:rPr>
                    <w:t>评价等级</w:t>
                  </w:r>
                </w:p>
              </w:tc>
              <w:tc>
                <w:tcPr>
                  <w:tcW w:w="1294" w:type="pct"/>
                  <w:gridSpan w:val="3"/>
                </w:tcPr>
                <w:p>
                  <w:pPr>
                    <w:jc w:val="center"/>
                    <w:rPr>
                      <w:rFonts w:ascii="Times New Roman" w:hAnsi="Times New Roman"/>
                      <w:b/>
                      <w:bCs/>
                      <w:color w:val="000000"/>
                      <w:spacing w:val="0"/>
                    </w:rPr>
                  </w:pPr>
                  <w:r>
                    <w:rPr>
                      <w:rFonts w:hint="eastAsia"/>
                      <w:b/>
                      <w:bCs/>
                      <w:color w:val="000000"/>
                      <w:spacing w:val="0"/>
                    </w:rPr>
                    <w:t>Ⅰ类</w:t>
                  </w:r>
                </w:p>
              </w:tc>
              <w:tc>
                <w:tcPr>
                  <w:tcW w:w="1450" w:type="pct"/>
                  <w:gridSpan w:val="3"/>
                </w:tcPr>
                <w:p>
                  <w:pPr>
                    <w:jc w:val="center"/>
                    <w:rPr>
                      <w:rFonts w:ascii="Times New Roman" w:hAnsi="Times New Roman"/>
                      <w:b/>
                      <w:bCs/>
                      <w:color w:val="000000"/>
                      <w:spacing w:val="0"/>
                    </w:rPr>
                  </w:pPr>
                  <w:r>
                    <w:rPr>
                      <w:rFonts w:hint="eastAsia"/>
                      <w:b/>
                      <w:bCs/>
                      <w:color w:val="000000"/>
                      <w:spacing w:val="0"/>
                    </w:rPr>
                    <w:t>Ⅱ类</w:t>
                  </w:r>
                </w:p>
              </w:tc>
              <w:tc>
                <w:tcPr>
                  <w:tcW w:w="1500" w:type="pct"/>
                  <w:gridSpan w:val="3"/>
                </w:tcPr>
                <w:p>
                  <w:pPr>
                    <w:jc w:val="center"/>
                    <w:rPr>
                      <w:rFonts w:ascii="Times New Roman" w:hAnsi="Times New Roman"/>
                      <w:b/>
                      <w:bCs/>
                      <w:color w:val="000000"/>
                      <w:spacing w:val="0"/>
                    </w:rPr>
                  </w:pPr>
                  <w:r>
                    <w:rPr>
                      <w:rFonts w:hint="eastAsia"/>
                      <w:b/>
                      <w:bCs/>
                      <w:color w:val="000000"/>
                      <w:spacing w:val="0"/>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vMerge w:val="continue"/>
                  <w:tcBorders>
                    <w:tl2br w:val="single" w:color="auto" w:sz="4" w:space="0"/>
                  </w:tcBorders>
                </w:tcPr>
                <w:p>
                  <w:pPr>
                    <w:jc w:val="center"/>
                    <w:rPr>
                      <w:rFonts w:ascii="Times New Roman" w:hAnsi="Times New Roman"/>
                      <w:b/>
                      <w:bCs/>
                      <w:color w:val="000000"/>
                      <w:spacing w:val="0"/>
                    </w:rPr>
                  </w:pPr>
                </w:p>
              </w:tc>
              <w:tc>
                <w:tcPr>
                  <w:tcW w:w="405" w:type="pct"/>
                </w:tcPr>
                <w:p>
                  <w:pPr>
                    <w:jc w:val="center"/>
                    <w:rPr>
                      <w:rFonts w:ascii="Times New Roman" w:hAnsi="Times New Roman"/>
                      <w:b/>
                      <w:bCs/>
                      <w:color w:val="000000"/>
                      <w:spacing w:val="0"/>
                    </w:rPr>
                  </w:pPr>
                  <w:r>
                    <w:rPr>
                      <w:rFonts w:hint="eastAsia" w:ascii="Times New Roman" w:hAnsi="Times New Roman"/>
                      <w:b/>
                      <w:bCs/>
                      <w:color w:val="000000"/>
                      <w:spacing w:val="0"/>
                    </w:rPr>
                    <w:t>大</w:t>
                  </w:r>
                </w:p>
              </w:tc>
              <w:tc>
                <w:tcPr>
                  <w:tcW w:w="403" w:type="pct"/>
                </w:tcPr>
                <w:p>
                  <w:pPr>
                    <w:jc w:val="center"/>
                    <w:rPr>
                      <w:rFonts w:ascii="Times New Roman" w:hAnsi="Times New Roman"/>
                      <w:b/>
                      <w:bCs/>
                      <w:color w:val="000000"/>
                      <w:spacing w:val="0"/>
                    </w:rPr>
                  </w:pPr>
                  <w:r>
                    <w:rPr>
                      <w:rFonts w:hint="eastAsia" w:ascii="Times New Roman" w:hAnsi="Times New Roman"/>
                      <w:b/>
                      <w:bCs/>
                      <w:color w:val="000000"/>
                      <w:spacing w:val="0"/>
                    </w:rPr>
                    <w:t>中</w:t>
                  </w:r>
                </w:p>
              </w:tc>
              <w:tc>
                <w:tcPr>
                  <w:tcW w:w="485" w:type="pct"/>
                </w:tcPr>
                <w:p>
                  <w:pPr>
                    <w:jc w:val="center"/>
                    <w:rPr>
                      <w:rFonts w:ascii="Times New Roman" w:hAnsi="Times New Roman"/>
                      <w:b/>
                      <w:bCs/>
                      <w:color w:val="000000"/>
                      <w:spacing w:val="0"/>
                    </w:rPr>
                  </w:pPr>
                  <w:r>
                    <w:rPr>
                      <w:rFonts w:hint="eastAsia" w:ascii="Times New Roman" w:hAnsi="Times New Roman"/>
                      <w:b/>
                      <w:bCs/>
                      <w:color w:val="000000"/>
                      <w:spacing w:val="0"/>
                    </w:rPr>
                    <w:t>小</w:t>
                  </w:r>
                </w:p>
              </w:tc>
              <w:tc>
                <w:tcPr>
                  <w:tcW w:w="449" w:type="pct"/>
                </w:tcPr>
                <w:p>
                  <w:pPr>
                    <w:jc w:val="center"/>
                    <w:rPr>
                      <w:rFonts w:ascii="Times New Roman" w:hAnsi="Times New Roman"/>
                      <w:b/>
                      <w:bCs/>
                      <w:color w:val="000000"/>
                      <w:spacing w:val="0"/>
                    </w:rPr>
                  </w:pPr>
                  <w:r>
                    <w:rPr>
                      <w:rFonts w:hint="eastAsia" w:ascii="Times New Roman" w:hAnsi="Times New Roman"/>
                      <w:b/>
                      <w:bCs/>
                      <w:color w:val="000000"/>
                      <w:spacing w:val="0"/>
                    </w:rPr>
                    <w:t>大</w:t>
                  </w:r>
                </w:p>
              </w:tc>
              <w:tc>
                <w:tcPr>
                  <w:tcW w:w="500" w:type="pct"/>
                </w:tcPr>
                <w:p>
                  <w:pPr>
                    <w:jc w:val="center"/>
                    <w:rPr>
                      <w:rFonts w:ascii="Times New Roman" w:hAnsi="Times New Roman"/>
                      <w:b/>
                      <w:bCs/>
                      <w:color w:val="000000"/>
                      <w:spacing w:val="0"/>
                    </w:rPr>
                  </w:pPr>
                  <w:r>
                    <w:rPr>
                      <w:rFonts w:hint="eastAsia" w:ascii="Times New Roman" w:hAnsi="Times New Roman"/>
                      <w:b/>
                      <w:bCs/>
                      <w:color w:val="000000"/>
                      <w:spacing w:val="0"/>
                    </w:rPr>
                    <w:t>中</w:t>
                  </w:r>
                </w:p>
              </w:tc>
              <w:tc>
                <w:tcPr>
                  <w:tcW w:w="500" w:type="pct"/>
                </w:tcPr>
                <w:p>
                  <w:pPr>
                    <w:jc w:val="center"/>
                    <w:rPr>
                      <w:rFonts w:ascii="Times New Roman" w:hAnsi="Times New Roman"/>
                      <w:b/>
                      <w:bCs/>
                      <w:color w:val="000000"/>
                      <w:spacing w:val="0"/>
                    </w:rPr>
                  </w:pPr>
                  <w:r>
                    <w:rPr>
                      <w:rFonts w:hint="eastAsia" w:ascii="Times New Roman" w:hAnsi="Times New Roman"/>
                      <w:b/>
                      <w:bCs/>
                      <w:color w:val="000000"/>
                      <w:spacing w:val="0"/>
                    </w:rPr>
                    <w:t>小</w:t>
                  </w:r>
                </w:p>
              </w:tc>
              <w:tc>
                <w:tcPr>
                  <w:tcW w:w="500" w:type="pct"/>
                </w:tcPr>
                <w:p>
                  <w:pPr>
                    <w:jc w:val="center"/>
                    <w:rPr>
                      <w:rFonts w:ascii="Times New Roman" w:hAnsi="Times New Roman"/>
                      <w:b/>
                      <w:bCs/>
                      <w:color w:val="000000"/>
                      <w:spacing w:val="0"/>
                    </w:rPr>
                  </w:pPr>
                  <w:r>
                    <w:rPr>
                      <w:rFonts w:hint="eastAsia" w:ascii="Times New Roman" w:hAnsi="Times New Roman"/>
                      <w:b/>
                      <w:bCs/>
                      <w:color w:val="000000"/>
                      <w:spacing w:val="0"/>
                    </w:rPr>
                    <w:t>大</w:t>
                  </w:r>
                </w:p>
              </w:tc>
              <w:tc>
                <w:tcPr>
                  <w:tcW w:w="500" w:type="pct"/>
                </w:tcPr>
                <w:p>
                  <w:pPr>
                    <w:jc w:val="center"/>
                    <w:rPr>
                      <w:rFonts w:ascii="Times New Roman" w:hAnsi="Times New Roman"/>
                      <w:b/>
                      <w:bCs/>
                      <w:color w:val="000000"/>
                      <w:spacing w:val="0"/>
                    </w:rPr>
                  </w:pPr>
                  <w:r>
                    <w:rPr>
                      <w:rFonts w:hint="eastAsia" w:ascii="Times New Roman" w:hAnsi="Times New Roman"/>
                      <w:b/>
                      <w:bCs/>
                      <w:color w:val="000000"/>
                      <w:spacing w:val="0"/>
                    </w:rPr>
                    <w:t>中</w:t>
                  </w:r>
                </w:p>
              </w:tc>
              <w:tc>
                <w:tcPr>
                  <w:tcW w:w="500" w:type="pct"/>
                </w:tcPr>
                <w:p>
                  <w:pPr>
                    <w:jc w:val="center"/>
                    <w:rPr>
                      <w:rFonts w:ascii="Times New Roman" w:hAnsi="Times New Roman"/>
                      <w:b/>
                      <w:bCs/>
                      <w:color w:val="000000"/>
                      <w:spacing w:val="0"/>
                    </w:rPr>
                  </w:pPr>
                  <w:r>
                    <w:rPr>
                      <w:rFonts w:hint="eastAsia" w:ascii="Times New Roman" w:hAnsi="Times New Roman"/>
                      <w:b/>
                      <w:bCs/>
                      <w:color w:val="000000"/>
                      <w:spacing w:val="0"/>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tcPr>
                <w:p>
                  <w:pPr>
                    <w:jc w:val="center"/>
                    <w:rPr>
                      <w:rFonts w:ascii="Times New Roman" w:hAnsi="Times New Roman"/>
                      <w:color w:val="000000"/>
                      <w:spacing w:val="0"/>
                    </w:rPr>
                  </w:pPr>
                  <w:r>
                    <w:rPr>
                      <w:rFonts w:hint="eastAsia" w:ascii="Times New Roman" w:hAnsi="Times New Roman"/>
                      <w:color w:val="000000"/>
                      <w:spacing w:val="0"/>
                    </w:rPr>
                    <w:t>敏感</w:t>
                  </w:r>
                </w:p>
              </w:tc>
              <w:tc>
                <w:tcPr>
                  <w:tcW w:w="405" w:type="pct"/>
                </w:tcPr>
                <w:p>
                  <w:pPr>
                    <w:jc w:val="center"/>
                    <w:rPr>
                      <w:rFonts w:ascii="Times New Roman" w:hAnsi="Times New Roman"/>
                      <w:color w:val="000000"/>
                      <w:spacing w:val="0"/>
                    </w:rPr>
                  </w:pPr>
                  <w:r>
                    <w:rPr>
                      <w:rFonts w:hint="eastAsia" w:ascii="Times New Roman" w:hAnsi="Times New Roman"/>
                      <w:color w:val="000000"/>
                      <w:spacing w:val="0"/>
                    </w:rPr>
                    <w:t>一级</w:t>
                  </w:r>
                </w:p>
              </w:tc>
              <w:tc>
                <w:tcPr>
                  <w:tcW w:w="403" w:type="pct"/>
                </w:tcPr>
                <w:p>
                  <w:pPr>
                    <w:jc w:val="center"/>
                    <w:rPr>
                      <w:rFonts w:ascii="Times New Roman" w:hAnsi="Times New Roman"/>
                      <w:color w:val="000000"/>
                      <w:spacing w:val="0"/>
                    </w:rPr>
                  </w:pPr>
                  <w:r>
                    <w:rPr>
                      <w:rFonts w:hint="eastAsia" w:ascii="Times New Roman" w:hAnsi="Times New Roman"/>
                      <w:color w:val="000000"/>
                      <w:spacing w:val="0"/>
                    </w:rPr>
                    <w:t>一级</w:t>
                  </w:r>
                </w:p>
              </w:tc>
              <w:tc>
                <w:tcPr>
                  <w:tcW w:w="485" w:type="pct"/>
                </w:tcPr>
                <w:p>
                  <w:pPr>
                    <w:jc w:val="center"/>
                    <w:rPr>
                      <w:rFonts w:ascii="Times New Roman" w:hAnsi="Times New Roman"/>
                      <w:color w:val="000000"/>
                      <w:spacing w:val="0"/>
                    </w:rPr>
                  </w:pPr>
                  <w:r>
                    <w:rPr>
                      <w:rFonts w:hint="eastAsia" w:ascii="Times New Roman" w:hAnsi="Times New Roman"/>
                      <w:color w:val="000000"/>
                      <w:spacing w:val="0"/>
                    </w:rPr>
                    <w:t>一级</w:t>
                  </w:r>
                </w:p>
              </w:tc>
              <w:tc>
                <w:tcPr>
                  <w:tcW w:w="449" w:type="pct"/>
                </w:tcPr>
                <w:p>
                  <w:pPr>
                    <w:jc w:val="center"/>
                    <w:rPr>
                      <w:rFonts w:ascii="Times New Roman" w:hAnsi="Times New Roman"/>
                      <w:color w:val="000000"/>
                      <w:spacing w:val="0"/>
                    </w:rPr>
                  </w:pPr>
                  <w:r>
                    <w:rPr>
                      <w:rFonts w:hint="eastAsia" w:ascii="Times New Roman" w:hAnsi="Times New Roman"/>
                      <w:color w:val="000000"/>
                      <w:spacing w:val="0"/>
                    </w:rPr>
                    <w:t>二级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二级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二级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三级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三级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tcPr>
                <w:p>
                  <w:pPr>
                    <w:jc w:val="center"/>
                    <w:rPr>
                      <w:rFonts w:ascii="Times New Roman" w:hAnsi="Times New Roman"/>
                      <w:color w:val="000000"/>
                      <w:spacing w:val="0"/>
                    </w:rPr>
                  </w:pPr>
                  <w:r>
                    <w:rPr>
                      <w:rFonts w:hint="eastAsia" w:ascii="Times New Roman" w:hAnsi="Times New Roman"/>
                      <w:color w:val="000000"/>
                      <w:spacing w:val="0"/>
                    </w:rPr>
                    <w:t>较敏感</w:t>
                  </w:r>
                </w:p>
              </w:tc>
              <w:tc>
                <w:tcPr>
                  <w:tcW w:w="405" w:type="pct"/>
                </w:tcPr>
                <w:p>
                  <w:pPr>
                    <w:jc w:val="center"/>
                    <w:rPr>
                      <w:rFonts w:ascii="Times New Roman" w:hAnsi="Times New Roman"/>
                      <w:color w:val="000000"/>
                      <w:spacing w:val="0"/>
                    </w:rPr>
                  </w:pPr>
                  <w:r>
                    <w:rPr>
                      <w:rFonts w:hint="eastAsia" w:ascii="Times New Roman" w:hAnsi="Times New Roman"/>
                      <w:color w:val="000000"/>
                      <w:spacing w:val="0"/>
                    </w:rPr>
                    <w:t>一级</w:t>
                  </w:r>
                </w:p>
              </w:tc>
              <w:tc>
                <w:tcPr>
                  <w:tcW w:w="403" w:type="pct"/>
                </w:tcPr>
                <w:p>
                  <w:pPr>
                    <w:jc w:val="center"/>
                    <w:rPr>
                      <w:rFonts w:ascii="Times New Roman" w:hAnsi="Times New Roman"/>
                      <w:color w:val="000000"/>
                      <w:spacing w:val="0"/>
                    </w:rPr>
                  </w:pPr>
                  <w:r>
                    <w:rPr>
                      <w:rFonts w:hint="eastAsia" w:ascii="Times New Roman" w:hAnsi="Times New Roman"/>
                      <w:color w:val="000000"/>
                      <w:spacing w:val="0"/>
                    </w:rPr>
                    <w:t>一级</w:t>
                  </w:r>
                </w:p>
              </w:tc>
              <w:tc>
                <w:tcPr>
                  <w:tcW w:w="485" w:type="pct"/>
                </w:tcPr>
                <w:p>
                  <w:pPr>
                    <w:jc w:val="center"/>
                    <w:rPr>
                      <w:rFonts w:ascii="Times New Roman" w:hAnsi="Times New Roman"/>
                      <w:color w:val="000000"/>
                      <w:spacing w:val="0"/>
                    </w:rPr>
                  </w:pPr>
                  <w:r>
                    <w:rPr>
                      <w:rFonts w:hint="eastAsia" w:ascii="Times New Roman" w:hAnsi="Times New Roman"/>
                      <w:color w:val="000000"/>
                      <w:spacing w:val="0"/>
                    </w:rPr>
                    <w:t>二级</w:t>
                  </w:r>
                </w:p>
              </w:tc>
              <w:tc>
                <w:tcPr>
                  <w:tcW w:w="449" w:type="pct"/>
                </w:tcPr>
                <w:p>
                  <w:pPr>
                    <w:jc w:val="center"/>
                    <w:rPr>
                      <w:rFonts w:ascii="Times New Roman" w:hAnsi="Times New Roman"/>
                      <w:color w:val="000000"/>
                      <w:spacing w:val="0"/>
                    </w:rPr>
                  </w:pPr>
                  <w:r>
                    <w:rPr>
                      <w:rFonts w:hint="eastAsia" w:ascii="Times New Roman" w:hAnsi="Times New Roman"/>
                      <w:color w:val="000000"/>
                      <w:spacing w:val="0"/>
                    </w:rPr>
                    <w:t>二级</w:t>
                  </w:r>
                </w:p>
              </w:tc>
              <w:tc>
                <w:tcPr>
                  <w:tcW w:w="500" w:type="pct"/>
                  <w:tcBorders>
                    <w:bottom w:val="single" w:color="auto" w:sz="4" w:space="0"/>
                  </w:tcBorders>
                </w:tcPr>
                <w:p>
                  <w:pPr>
                    <w:jc w:val="center"/>
                    <w:rPr>
                      <w:rFonts w:ascii="Times New Roman" w:hAnsi="Times New Roman"/>
                      <w:color w:val="000000"/>
                      <w:spacing w:val="0"/>
                    </w:rPr>
                  </w:pPr>
                  <w:r>
                    <w:rPr>
                      <w:rFonts w:hint="eastAsia" w:ascii="Times New Roman" w:hAnsi="Times New Roman"/>
                      <w:color w:val="000000"/>
                      <w:spacing w:val="0"/>
                    </w:rPr>
                    <w:t>二级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三级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三级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三级</w:t>
                  </w:r>
                </w:p>
              </w:tc>
              <w:tc>
                <w:tcPr>
                  <w:tcW w:w="500" w:type="pct"/>
                </w:tcPr>
                <w:p>
                  <w:pPr>
                    <w:jc w:val="center"/>
                    <w:rPr>
                      <w:rFonts w:ascii="Times New Roman" w:hAnsi="Times New Roman"/>
                      <w:color w:val="000000"/>
                      <w:spacing w:val="0"/>
                    </w:rPr>
                  </w:pPr>
                  <w:r>
                    <w:rPr>
                      <w:rFonts w:hint="eastAsia" w:ascii="Times New Roman" w:hAnsi="Times New Roman"/>
                      <w:color w:val="000000"/>
                      <w:spacing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tcPr>
                <w:p>
                  <w:pPr>
                    <w:jc w:val="center"/>
                    <w:rPr>
                      <w:rFonts w:hint="eastAsia" w:ascii="Times New Roman" w:hAnsi="Times New Roman"/>
                      <w:color w:val="000000"/>
                      <w:spacing w:val="0"/>
                    </w:rPr>
                  </w:pPr>
                  <w:r>
                    <w:rPr>
                      <w:rFonts w:hint="eastAsia" w:ascii="Times New Roman" w:hAnsi="Times New Roman"/>
                      <w:color w:val="000000"/>
                      <w:spacing w:val="0"/>
                    </w:rPr>
                    <w:t>不敏感</w:t>
                  </w:r>
                </w:p>
              </w:tc>
              <w:tc>
                <w:tcPr>
                  <w:tcW w:w="405"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一级</w:t>
                  </w:r>
                </w:p>
              </w:tc>
              <w:tc>
                <w:tcPr>
                  <w:tcW w:w="403"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一级</w:t>
                  </w:r>
                </w:p>
              </w:tc>
              <w:tc>
                <w:tcPr>
                  <w:tcW w:w="485"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二级</w:t>
                  </w:r>
                </w:p>
              </w:tc>
              <w:tc>
                <w:tcPr>
                  <w:tcW w:w="449"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二级</w:t>
                  </w:r>
                </w:p>
              </w:tc>
              <w:tc>
                <w:tcPr>
                  <w:tcW w:w="500" w:type="pct"/>
                  <w:tcBorders>
                    <w:bottom w:val="single" w:color="auto" w:sz="4" w:space="0"/>
                  </w:tcBorders>
                  <w:vAlign w:val="top"/>
                </w:tcPr>
                <w:p>
                  <w:pPr>
                    <w:jc w:val="center"/>
                    <w:rPr>
                      <w:rFonts w:hint="eastAsia" w:ascii="Times New Roman" w:hAnsi="Times New Roman"/>
                      <w:color w:val="000000"/>
                      <w:spacing w:val="0"/>
                    </w:rPr>
                  </w:pPr>
                  <w:r>
                    <w:rPr>
                      <w:rFonts w:hint="eastAsia" w:ascii="Times New Roman" w:hAnsi="Times New Roman"/>
                      <w:color w:val="000000"/>
                      <w:spacing w:val="0"/>
                    </w:rPr>
                    <w:t>二级</w:t>
                  </w:r>
                </w:p>
              </w:tc>
              <w:tc>
                <w:tcPr>
                  <w:tcW w:w="500"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三级</w:t>
                  </w:r>
                </w:p>
              </w:tc>
              <w:tc>
                <w:tcPr>
                  <w:tcW w:w="500"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三级</w:t>
                  </w:r>
                </w:p>
              </w:tc>
              <w:tc>
                <w:tcPr>
                  <w:tcW w:w="500" w:type="pct"/>
                  <w:vAlign w:val="top"/>
                </w:tcPr>
                <w:p>
                  <w:pPr>
                    <w:jc w:val="center"/>
                    <w:rPr>
                      <w:rFonts w:hint="eastAsia" w:ascii="Times New Roman" w:hAnsi="Times New Roman"/>
                      <w:color w:val="000000"/>
                      <w:spacing w:val="0"/>
                    </w:rPr>
                  </w:pPr>
                  <w:r>
                    <w:rPr>
                      <w:rFonts w:hint="eastAsia" w:ascii="Times New Roman" w:hAnsi="Times New Roman"/>
                      <w:color w:val="000000"/>
                      <w:spacing w:val="0"/>
                    </w:rPr>
                    <w:t>--</w:t>
                  </w:r>
                </w:p>
              </w:tc>
              <w:tc>
                <w:tcPr>
                  <w:tcW w:w="500" w:type="pct"/>
                  <w:shd w:val="clear" w:color="auto" w:fill="D7D7D7" w:themeFill="background1" w:themeFillShade="D8"/>
                  <w:vAlign w:val="top"/>
                </w:tcPr>
                <w:p>
                  <w:pPr>
                    <w:jc w:val="center"/>
                    <w:rPr>
                      <w:rFonts w:hint="eastAsia" w:ascii="Times New Roman" w:hAnsi="Times New Roman"/>
                      <w:color w:val="000000"/>
                      <w:spacing w:val="0"/>
                    </w:rPr>
                  </w:pPr>
                  <w:r>
                    <w:rPr>
                      <w:rFonts w:hint="eastAsia" w:ascii="Times New Roman" w:hAnsi="Times New Roman"/>
                      <w:color w:val="000000"/>
                      <w:spacing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000" w:type="pct"/>
                  <w:gridSpan w:val="10"/>
                </w:tcPr>
                <w:p>
                  <w:pPr>
                    <w:rPr>
                      <w:rFonts w:ascii="Times New Roman" w:hAnsi="Times New Roman"/>
                      <w:color w:val="000000"/>
                      <w:spacing w:val="0"/>
                    </w:rPr>
                  </w:pPr>
                  <w:r>
                    <w:rPr>
                      <w:rFonts w:hint="eastAsia" w:ascii="Times New Roman" w:hAnsi="Times New Roman"/>
                      <w:color w:val="000000"/>
                      <w:spacing w:val="0"/>
                    </w:rPr>
                    <w:t>注：“--”表示可不开展土壤环境影响评价工作。</w:t>
                  </w:r>
                </w:p>
              </w:tc>
            </w:tr>
          </w:tbl>
          <w:p>
            <w:pPr>
              <w:adjustRightInd w:val="0"/>
              <w:snapToGrid w:val="0"/>
              <w:spacing w:line="360" w:lineRule="auto"/>
              <w:ind w:firstLine="482" w:firstLineChars="200"/>
              <w:rPr>
                <w:rFonts w:hint="default" w:ascii="Times" w:hAnsi="Times" w:eastAsia="宋体" w:cs="Times New Roman"/>
                <w:b/>
                <w:bCs w:val="0"/>
                <w:color w:val="auto"/>
                <w:spacing w:val="0"/>
                <w:sz w:val="24"/>
                <w:szCs w:val="24"/>
                <w:lang w:val="en-US" w:eastAsia="zh-CN"/>
              </w:rPr>
            </w:pPr>
            <w:r>
              <w:rPr>
                <w:rFonts w:hint="eastAsia" w:ascii="Times" w:hAnsi="Times" w:cs="Times New Roman"/>
                <w:b/>
                <w:bCs w:val="0"/>
                <w:color w:val="auto"/>
                <w:spacing w:val="0"/>
                <w:sz w:val="24"/>
                <w:szCs w:val="24"/>
                <w:lang w:val="en-US" w:eastAsia="zh-CN"/>
              </w:rPr>
              <w:t>（2）污染源及防控措施</w:t>
            </w:r>
          </w:p>
          <w:p>
            <w:pPr>
              <w:adjustRightInd w:val="0"/>
              <w:snapToGrid w:val="0"/>
              <w:spacing w:line="360" w:lineRule="auto"/>
              <w:ind w:firstLine="480" w:firstLineChars="200"/>
              <w:rPr>
                <w:rFonts w:hint="eastAsia"/>
                <w:color w:val="auto"/>
                <w:lang w:val="en-US" w:eastAsia="zh-CN"/>
              </w:rPr>
            </w:pPr>
            <w:r>
              <w:rPr>
                <w:rFonts w:hint="eastAsia" w:ascii="Times" w:hAnsi="Times" w:eastAsia="宋体" w:cs="Times New Roman"/>
                <w:bCs/>
                <w:color w:val="auto"/>
                <w:spacing w:val="0"/>
                <w:sz w:val="24"/>
                <w:szCs w:val="24"/>
                <w:lang w:val="en-US" w:eastAsia="zh-CN"/>
              </w:rPr>
              <w:t>主要为项目生产过程中产生的有机废气</w:t>
            </w:r>
            <w:r>
              <w:rPr>
                <w:rFonts w:hint="eastAsia" w:ascii="Times" w:hAnsi="Times" w:cs="Times New Roman"/>
                <w:bCs/>
                <w:color w:val="auto"/>
                <w:spacing w:val="0"/>
                <w:sz w:val="24"/>
                <w:szCs w:val="24"/>
                <w:lang w:val="en-US" w:eastAsia="zh-CN"/>
              </w:rPr>
              <w:t>，</w:t>
            </w:r>
            <w:r>
              <w:rPr>
                <w:rFonts w:hint="eastAsia" w:ascii="Times" w:hAnsi="Times" w:eastAsia="宋体"/>
                <w:bCs/>
                <w:color w:val="auto"/>
                <w:spacing w:val="0"/>
                <w:sz w:val="24"/>
                <w:szCs w:val="24"/>
                <w:lang w:val="en-US" w:eastAsia="zh-CN"/>
              </w:rPr>
              <w:t>污染途径主要为大气沉降。</w:t>
            </w:r>
          </w:p>
          <w:p>
            <w:pPr>
              <w:adjustRightInd w:val="0"/>
              <w:snapToGrid w:val="0"/>
              <w:spacing w:line="360" w:lineRule="auto"/>
              <w:ind w:firstLine="480" w:firstLineChars="200"/>
              <w:rPr>
                <w:rFonts w:hint="eastAsia"/>
                <w:color w:val="auto"/>
                <w:sz w:val="24"/>
              </w:rPr>
            </w:pPr>
            <w:r>
              <w:rPr>
                <w:color w:val="auto"/>
                <w:sz w:val="24"/>
              </w:rPr>
              <w:t>项目</w:t>
            </w:r>
            <w:r>
              <w:rPr>
                <w:rFonts w:hint="eastAsia"/>
                <w:color w:val="auto"/>
                <w:sz w:val="24"/>
                <w:lang w:eastAsia="zh-CN"/>
              </w:rPr>
              <w:t>加热段全封闭，</w:t>
            </w:r>
            <w:r>
              <w:rPr>
                <w:rFonts w:hint="eastAsia"/>
                <w:color w:val="auto"/>
                <w:sz w:val="24"/>
                <w:lang w:val="en-US" w:eastAsia="zh-CN"/>
              </w:rPr>
              <w:t>注塑、吹塑产生的有机废气采用集气罩收集后，引入二级活性炭吸附装置处理，尾气通过15m排气筒排放</w:t>
            </w:r>
            <w:r>
              <w:rPr>
                <w:color w:val="auto"/>
                <w:sz w:val="24"/>
              </w:rPr>
              <w:t>。经过处理后，有效控制污染物的产生，从而降低污染物对土壤环境的污染</w:t>
            </w:r>
            <w:r>
              <w:rPr>
                <w:rFonts w:hint="eastAsia"/>
                <w:color w:val="auto"/>
                <w:sz w:val="24"/>
              </w:rPr>
              <w:t>。</w:t>
            </w:r>
          </w:p>
          <w:p>
            <w:pPr>
              <w:adjustRightInd w:val="0"/>
              <w:snapToGrid w:val="0"/>
              <w:spacing w:line="360" w:lineRule="auto"/>
              <w:ind w:firstLine="482" w:firstLineChars="200"/>
              <w:rPr>
                <w:rFonts w:hint="eastAsia" w:ascii="Times" w:hAnsi="Times" w:cs="Times New Roman"/>
                <w:b/>
                <w:bCs w:val="0"/>
                <w:color w:val="auto"/>
                <w:spacing w:val="0"/>
                <w:sz w:val="24"/>
                <w:szCs w:val="24"/>
                <w:lang w:val="en-US" w:eastAsia="zh-CN"/>
              </w:rPr>
            </w:pPr>
            <w:r>
              <w:rPr>
                <w:rFonts w:hint="eastAsia" w:ascii="Times" w:hAnsi="Times" w:cs="Times New Roman"/>
                <w:b/>
                <w:bCs w:val="0"/>
                <w:color w:val="auto"/>
                <w:spacing w:val="0"/>
                <w:sz w:val="24"/>
                <w:szCs w:val="24"/>
                <w:lang w:val="en-US" w:eastAsia="zh-CN"/>
              </w:rPr>
              <w:t>（八）环境风险分析</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）危险废物管理风险防范措施</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危险废物暂存过程中如储存不当、管理不善</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容易发生风险事故，其风险防范措施如下：</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①危险废物暂存场所必须严格按照《 危险废物贮存污染控制标准》（GB18597-2001） 及其修改单的要求设置和管理，必须设置防渗、防漏、防腐、防雨等防范措施。</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②危险废物必须设置相应的标签，标明危废的来源、具体的成分、主要成分的性质和处置方式。</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③必须定期对所贮存的危险废物包装容器及贮存设施进行检查，发现破损，应及时采取措施清理更换。</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安全生产管理系统</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①建立安全生产责任制，制定安全生产规章制度、安全操作规程。</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②凡容易发生事故或危及生命安全的场所、设备以及需要提醒操作人员注意的地方，应设置安全标志；在各区域设置毒物周知卡；厂区设风向标等。</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③尽量降低危险物料储量。</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fldChar w:fldCharType="begin"/>
            </w:r>
            <w:r>
              <w:rPr>
                <w:rFonts w:hint="default" w:ascii="Times New Roman" w:hAnsi="Times New Roman" w:cs="Times New Roman"/>
                <w:color w:val="auto"/>
                <w:sz w:val="24"/>
                <w:lang w:val="en-US" w:eastAsia="zh-CN"/>
              </w:rPr>
              <w:instrText xml:space="preserve"> = 4 \* GB3 \* MERGEFORMAT </w:instrText>
            </w:r>
            <w:r>
              <w:rPr>
                <w:rFonts w:hint="default" w:ascii="Times New Roman" w:hAnsi="Times New Roman" w:cs="Times New Roman"/>
                <w:color w:val="auto"/>
                <w:sz w:val="24"/>
                <w:lang w:val="en-US" w:eastAsia="zh-CN"/>
              </w:rPr>
              <w:fldChar w:fldCharType="separate"/>
            </w:r>
            <w:r>
              <w:rPr>
                <w:rFonts w:hint="default" w:ascii="Times New Roman" w:hAnsi="Times New Roman" w:cs="Times New Roman"/>
                <w:color w:val="auto"/>
                <w:sz w:val="24"/>
                <w:lang w:eastAsia="zh-CN"/>
              </w:rPr>
              <w:t>④</w:t>
            </w:r>
            <w:r>
              <w:rPr>
                <w:rFonts w:hint="default" w:ascii="Times New Roman" w:hAnsi="Times New Roman" w:cs="Times New Roman"/>
                <w:color w:val="auto"/>
                <w:sz w:val="24"/>
                <w:lang w:val="en-US" w:eastAsia="zh-CN"/>
              </w:rPr>
              <w:fldChar w:fldCharType="end"/>
            </w:r>
            <w:r>
              <w:rPr>
                <w:rFonts w:hint="default" w:ascii="Times New Roman" w:hAnsi="Times New Roman" w:cs="Times New Roman"/>
                <w:color w:val="auto"/>
                <w:sz w:val="24"/>
                <w:lang w:val="en-US" w:eastAsia="zh-CN"/>
              </w:rPr>
              <w:t>定期对设备等进行检查、维修；在检修过程中需动火焊接时，一定要按有关规定办理动火手续、严格操作规程，同时，为防止中毒事件发生，要保证有毒气体含量要在规定的范围内，方可进行检修作业。</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p>
          <w:p>
            <w:pPr>
              <w:adjustRightInd w:val="0"/>
              <w:snapToGrid w:val="0"/>
              <w:spacing w:line="360" w:lineRule="auto"/>
              <w:ind w:firstLine="480" w:firstLineChars="200"/>
              <w:rPr>
                <w:rFonts w:hint="default" w:ascii="Times New Roman" w:hAnsi="Times New Roman" w:cs="Times New Roman"/>
                <w:color w:val="auto"/>
                <w:sz w:val="24"/>
                <w:lang w:val="en-US" w:eastAsia="zh-CN"/>
              </w:rPr>
            </w:pPr>
          </w:p>
          <w:p>
            <w:pPr>
              <w:adjustRightInd w:val="0"/>
              <w:snapToGrid w:val="0"/>
              <w:spacing w:line="360" w:lineRule="auto"/>
              <w:ind w:firstLine="480" w:firstLineChars="200"/>
              <w:rPr>
                <w:rFonts w:hint="default" w:ascii="Times New Roman" w:hAnsi="Times New Roman" w:cs="Times New Roman"/>
                <w:color w:val="auto"/>
                <w:sz w:val="24"/>
                <w:lang w:val="en-US" w:eastAsia="zh-CN"/>
              </w:rPr>
            </w:pPr>
          </w:p>
          <w:p>
            <w:pPr>
              <w:adjustRightInd w:val="0"/>
              <w:snapToGrid w:val="0"/>
              <w:spacing w:line="360" w:lineRule="auto"/>
              <w:rPr>
                <w:rFonts w:hint="default" w:eastAsia="宋体"/>
                <w:color w:val="auto"/>
                <w:sz w:val="24"/>
                <w:lang w:val="en-US" w:eastAsia="zh-CN"/>
              </w:rPr>
            </w:pPr>
          </w:p>
        </w:tc>
      </w:tr>
    </w:tbl>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1" w:name="_Hlk54167917"/>
      <w:r>
        <w:rPr>
          <w:rFonts w:hint="eastAsia" w:ascii="黑体" w:hAnsi="黑体" w:eastAsia="黑体"/>
          <w:snapToGrid w:val="0"/>
          <w:color w:val="auto"/>
          <w:sz w:val="30"/>
          <w:szCs w:val="30"/>
        </w:rPr>
        <w:t>环境保护措施监督检查清单</w:t>
      </w:r>
      <w:bookmarkEnd w:id="1"/>
    </w:p>
    <w:tbl>
      <w:tblPr>
        <w:tblStyle w:val="19"/>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252"/>
        <w:gridCol w:w="1250"/>
        <w:gridCol w:w="2400"/>
        <w:gridCol w:w="24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4" w:type="dxa"/>
            <w:tcBorders>
              <w:tl2br w:val="single" w:color="auto" w:sz="4" w:space="0"/>
            </w:tcBorders>
            <w:noWrap w:val="0"/>
            <w:vAlign w:val="top"/>
          </w:tcPr>
          <w:p>
            <w:pPr>
              <w:adjustRightInd w:val="0"/>
              <w:snapToGrid w:val="0"/>
              <w:ind w:firstLine="632" w:firstLineChars="300"/>
              <w:rPr>
                <w:rFonts w:hint="eastAsia" w:ascii="宋体" w:hAnsi="宋体" w:cs="宋体"/>
                <w:b/>
                <w:bCs/>
                <w:color w:val="auto"/>
                <w:szCs w:val="21"/>
              </w:rPr>
            </w:pPr>
            <w:r>
              <w:rPr>
                <w:rFonts w:hint="eastAsia" w:ascii="宋体" w:hAnsi="宋体" w:cs="宋体"/>
                <w:b/>
                <w:bCs/>
                <w:color w:val="auto"/>
                <w:szCs w:val="21"/>
              </w:rPr>
              <w:t>内容</w:t>
            </w:r>
          </w:p>
          <w:p>
            <w:pPr>
              <w:adjustRightInd w:val="0"/>
              <w:snapToGrid w:val="0"/>
              <w:rPr>
                <w:rFonts w:hint="eastAsia" w:ascii="宋体" w:hAnsi="宋体" w:cs="宋体"/>
                <w:b/>
                <w:bCs/>
                <w:color w:val="auto"/>
                <w:szCs w:val="21"/>
              </w:rPr>
            </w:pPr>
            <w:r>
              <w:rPr>
                <w:rFonts w:hint="eastAsia" w:ascii="宋体" w:hAnsi="宋体" w:cs="宋体"/>
                <w:b/>
                <w:bCs/>
                <w:color w:val="auto"/>
                <w:szCs w:val="21"/>
              </w:rPr>
              <w:t>要素</w:t>
            </w:r>
          </w:p>
        </w:tc>
        <w:tc>
          <w:tcPr>
            <w:tcW w:w="1252"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排放口(编号、名称)/污染源</w:t>
            </w:r>
          </w:p>
        </w:tc>
        <w:tc>
          <w:tcPr>
            <w:tcW w:w="1250"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污染物项目</w:t>
            </w:r>
          </w:p>
        </w:tc>
        <w:tc>
          <w:tcPr>
            <w:tcW w:w="2400"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环境保护措施</w:t>
            </w:r>
          </w:p>
        </w:tc>
        <w:tc>
          <w:tcPr>
            <w:tcW w:w="2424"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474" w:type="dxa"/>
            <w:vMerge w:val="restart"/>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大气环境</w:t>
            </w:r>
          </w:p>
        </w:tc>
        <w:tc>
          <w:tcPr>
            <w:tcW w:w="1252" w:type="dxa"/>
            <w:noWrap w:val="0"/>
            <w:vAlign w:val="center"/>
          </w:tcPr>
          <w:p>
            <w:pPr>
              <w:adjustRightInd w:val="0"/>
              <w:snapToGrid w:val="0"/>
              <w:jc w:val="center"/>
              <w:rPr>
                <w:rFonts w:hint="eastAsia"/>
                <w:color w:val="auto"/>
                <w:lang w:val="en-US" w:eastAsia="zh-CN"/>
              </w:rPr>
            </w:pPr>
            <w:r>
              <w:rPr>
                <w:rFonts w:hint="eastAsia"/>
                <w:color w:val="auto"/>
                <w:lang w:eastAsia="zh-CN"/>
              </w:rPr>
              <w:t>注塑吹塑废气</w:t>
            </w:r>
            <w:r>
              <w:rPr>
                <w:rFonts w:hint="eastAsia"/>
                <w:color w:val="auto"/>
              </w:rPr>
              <w:t>排放口</w:t>
            </w:r>
            <w:r>
              <w:rPr>
                <w:rFonts w:hint="eastAsia" w:ascii="Times New Roman" w:hAnsi="Times New Roman" w:eastAsia="宋体" w:cs="Times New Roman"/>
                <w:color w:val="auto"/>
                <w:lang w:val="en-US" w:eastAsia="zh-CN"/>
              </w:rPr>
              <w:t>（DA001）</w:t>
            </w:r>
          </w:p>
          <w:p>
            <w:pPr>
              <w:adjustRightInd w:val="0"/>
              <w:snapToGrid w:val="0"/>
              <w:jc w:val="center"/>
              <w:rPr>
                <w:rFonts w:hint="default" w:cs="Times New Roman"/>
                <w:color w:val="auto"/>
                <w:lang w:val="en-US" w:eastAsia="zh-CN"/>
              </w:rPr>
            </w:pPr>
          </w:p>
        </w:tc>
        <w:tc>
          <w:tcPr>
            <w:tcW w:w="1250" w:type="dxa"/>
            <w:noWrap w:val="0"/>
            <w:vAlign w:val="center"/>
          </w:tcPr>
          <w:p>
            <w:pPr>
              <w:adjustRightInd w:val="0"/>
              <w:snapToGrid w:val="0"/>
              <w:jc w:val="center"/>
              <w:rPr>
                <w:rFonts w:hint="eastAsia" w:cs="Times New Roman"/>
                <w:color w:val="auto"/>
                <w:lang w:val="en-US" w:eastAsia="zh-CN"/>
              </w:rPr>
            </w:pPr>
            <w:r>
              <w:rPr>
                <w:rFonts w:hint="eastAsia" w:cs="Times New Roman"/>
                <w:color w:val="auto"/>
                <w:lang w:val="en-US" w:eastAsia="zh-CN"/>
              </w:rPr>
              <w:t>非甲烷总烃</w:t>
            </w:r>
          </w:p>
        </w:tc>
        <w:tc>
          <w:tcPr>
            <w:tcW w:w="2400" w:type="dxa"/>
            <w:noWrap w:val="0"/>
            <w:vAlign w:val="center"/>
          </w:tcPr>
          <w:p>
            <w:pPr>
              <w:jc w:val="center"/>
              <w:rPr>
                <w:rFonts w:hint="eastAsia" w:cs="Times New Roman"/>
                <w:color w:val="auto"/>
                <w:lang w:val="en-US" w:eastAsia="zh-CN"/>
              </w:rPr>
            </w:pPr>
            <w:r>
              <w:rPr>
                <w:rFonts w:hint="eastAsia" w:ascii="Times New Roman" w:hAnsi="Times New Roman" w:eastAsia="宋体" w:cs="Times New Roman"/>
                <w:color w:val="auto"/>
                <w:kern w:val="0"/>
                <w:sz w:val="21"/>
                <w:szCs w:val="21"/>
                <w:lang w:val="en-US" w:eastAsia="zh-CN" w:bidi="ar-SA"/>
              </w:rPr>
              <w:t>注塑</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吹塑的加热段为全封闭，出料段采取集气罩局部收集</w:t>
            </w:r>
            <w:r>
              <w:rPr>
                <w:rFonts w:hint="eastAsia" w:ascii="Times New Roman" w:hAnsi="宋体" w:eastAsia="宋体" w:cs="Times New Roman"/>
                <w:color w:val="000000"/>
                <w:szCs w:val="21"/>
                <w:lang w:val="en-US" w:eastAsia="zh-CN"/>
              </w:rPr>
              <w:t>后，引入二级活性炭吸附装置处理，尾气通过15m排气筒排放</w:t>
            </w:r>
          </w:p>
        </w:tc>
        <w:tc>
          <w:tcPr>
            <w:tcW w:w="2424" w:type="dxa"/>
            <w:vMerge w:val="restart"/>
            <w:noWrap w:val="0"/>
            <w:vAlign w:val="center"/>
          </w:tcPr>
          <w:p>
            <w:pPr>
              <w:pStyle w:val="25"/>
              <w:jc w:val="center"/>
              <w:rPr>
                <w:rFonts w:hint="eastAsia" w:ascii="宋体" w:hAnsi="宋体" w:cs="宋体"/>
                <w:color w:val="auto"/>
                <w:szCs w:val="21"/>
              </w:rPr>
            </w:pPr>
            <w:r>
              <w:rPr>
                <w:rFonts w:hint="eastAsia" w:ascii="Times New Roman" w:hAnsi="Times New Roman" w:eastAsia="宋体" w:cs="Times New Roman"/>
                <w:color w:val="auto"/>
                <w:kern w:val="0"/>
                <w:sz w:val="21"/>
                <w:szCs w:val="21"/>
                <w:lang w:val="en-US" w:eastAsia="zh-CN" w:bidi="ar-SA"/>
              </w:rPr>
              <w:t>非甲烷总烃排放执行《合成树脂工业污染物排放标准》（GB31572-2015）表5中大气污染物特别排放限值及表9中企业边界大气污染物浓度限值，厂区内非甲烷总烃无组织排放监控点浓度限值执行《挥发性有机物无组织排放控制标准》（GB37822-2019）附录A中表A.1的特别排放限值</w:t>
            </w:r>
            <w:r>
              <w:rPr>
                <w:rFonts w:hint="eastAsia" w:cs="Times New Roman"/>
                <w:color w:val="auto"/>
                <w:kern w:val="0"/>
                <w:sz w:val="21"/>
                <w:szCs w:val="21"/>
                <w:lang w:val="en-US" w:eastAsia="zh-CN" w:bidi="ar-SA"/>
              </w:rPr>
              <w:t>；臭气浓度排放执行《恶臭污染物排放标准》（GB14554-1993）表1中二级新扩改建标准限值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5"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adjustRightInd w:val="0"/>
              <w:snapToGrid w:val="0"/>
              <w:jc w:val="center"/>
              <w:rPr>
                <w:rFonts w:hint="default" w:cs="Times New Roman"/>
                <w:color w:val="auto"/>
                <w:lang w:val="en-US" w:eastAsia="zh-CN"/>
              </w:rPr>
            </w:pPr>
            <w:r>
              <w:rPr>
                <w:rFonts w:hint="eastAsia" w:cs="Times New Roman"/>
                <w:color w:val="auto"/>
                <w:lang w:val="en-US" w:eastAsia="zh-CN"/>
              </w:rPr>
              <w:t>无组织</w:t>
            </w:r>
          </w:p>
        </w:tc>
        <w:tc>
          <w:tcPr>
            <w:tcW w:w="1250" w:type="dxa"/>
            <w:noWrap w:val="0"/>
            <w:vAlign w:val="center"/>
          </w:tcPr>
          <w:p>
            <w:pPr>
              <w:adjustRightInd w:val="0"/>
              <w:snapToGrid w:val="0"/>
              <w:jc w:val="center"/>
              <w:rPr>
                <w:rFonts w:hint="default" w:cs="Times New Roman"/>
                <w:color w:val="auto"/>
                <w:lang w:val="en-US" w:eastAsia="zh-CN"/>
              </w:rPr>
            </w:pPr>
            <w:r>
              <w:rPr>
                <w:rFonts w:hint="eastAsia" w:cs="Times New Roman"/>
                <w:color w:val="auto"/>
                <w:lang w:val="en-US" w:eastAsia="zh-CN"/>
              </w:rPr>
              <w:t>非甲烷总烃、臭气浓度</w:t>
            </w:r>
          </w:p>
        </w:tc>
        <w:tc>
          <w:tcPr>
            <w:tcW w:w="2400" w:type="dxa"/>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生产过程中使用的原料均为粒状，且加热段设备为全封闭。废气产生环节为出料模头处，采用集气罩收集。废气收集处理系统与生产工艺设备同步运行。废气收集处理系统发生故障或检修时，对应的生产工艺设备停止运行，待检修完毕后同步投入使用</w:t>
            </w:r>
          </w:p>
        </w:tc>
        <w:tc>
          <w:tcPr>
            <w:tcW w:w="2424" w:type="dxa"/>
            <w:vMerge w:val="continue"/>
            <w:noWrap w:val="0"/>
            <w:vAlign w:val="center"/>
          </w:tcPr>
          <w:p>
            <w:pPr>
              <w:pStyle w:val="25"/>
              <w:jc w:val="center"/>
              <w:rPr>
                <w:rFonts w:hint="eastAsia" w:ascii="Times New Roman" w:hAnsi="Times New Roman" w:eastAsia="宋体" w:cs="Times New Roman"/>
                <w:color w:val="auto"/>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4" w:type="dxa"/>
            <w:vMerge w:val="restart"/>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地表水环境</w:t>
            </w:r>
          </w:p>
        </w:tc>
        <w:tc>
          <w:tcPr>
            <w:tcW w:w="1252" w:type="dxa"/>
            <w:noWrap w:val="0"/>
            <w:vAlign w:val="center"/>
          </w:tcPr>
          <w:p>
            <w:pPr>
              <w:adjustRightInd w:val="0"/>
              <w:snapToGrid w:val="0"/>
              <w:jc w:val="center"/>
              <w:rPr>
                <w:rFonts w:hint="default"/>
                <w:color w:val="auto"/>
                <w:lang w:val="en-US" w:eastAsia="zh-CN"/>
              </w:rPr>
            </w:pPr>
            <w:r>
              <w:rPr>
                <w:rFonts w:hint="eastAsia"/>
                <w:color w:val="auto"/>
                <w:lang w:val="en-US" w:eastAsia="zh-CN"/>
              </w:rPr>
              <w:t>生活污水排放口（DW001）</w:t>
            </w:r>
          </w:p>
        </w:tc>
        <w:tc>
          <w:tcPr>
            <w:tcW w:w="1250" w:type="dxa"/>
            <w:noWrap w:val="0"/>
            <w:vAlign w:val="center"/>
          </w:tcPr>
          <w:p>
            <w:pPr>
              <w:adjustRightInd w:val="0"/>
              <w:snapToGrid w:val="0"/>
              <w:jc w:val="center"/>
              <w:rPr>
                <w:rFonts w:hint="eastAsia"/>
                <w:color w:val="auto"/>
                <w:lang w:val="en-US" w:eastAsia="zh-CN"/>
              </w:rPr>
            </w:pPr>
            <w:r>
              <w:rPr>
                <w:rFonts w:hint="eastAsia"/>
                <w:color w:val="auto"/>
                <w:lang w:val="en-US" w:eastAsia="zh-CN"/>
              </w:rPr>
              <w:t>COD、SS、BOD</w:t>
            </w:r>
            <w:r>
              <w:rPr>
                <w:rFonts w:hint="eastAsia"/>
                <w:color w:val="auto"/>
                <w:vertAlign w:val="subscript"/>
                <w:lang w:val="en-US" w:eastAsia="zh-CN"/>
              </w:rPr>
              <w:t>5</w:t>
            </w:r>
            <w:r>
              <w:rPr>
                <w:rFonts w:hint="eastAsia"/>
                <w:color w:val="auto"/>
                <w:lang w:val="en-US" w:eastAsia="zh-CN"/>
              </w:rPr>
              <w:t>、氨氮、TP</w:t>
            </w:r>
          </w:p>
        </w:tc>
        <w:tc>
          <w:tcPr>
            <w:tcW w:w="2400" w:type="dxa"/>
            <w:noWrap w:val="0"/>
            <w:vAlign w:val="center"/>
          </w:tcPr>
          <w:p>
            <w:pPr>
              <w:adjustRightInd w:val="0"/>
              <w:snapToGrid w:val="0"/>
              <w:jc w:val="center"/>
              <w:rPr>
                <w:rFonts w:hint="eastAsia" w:ascii="宋体" w:hAnsi="宋体" w:cs="宋体"/>
                <w:color w:val="auto"/>
                <w:szCs w:val="21"/>
              </w:rPr>
            </w:pPr>
            <w:r>
              <w:rPr>
                <w:rFonts w:hint="eastAsia"/>
                <w:bCs/>
                <w:color w:val="auto"/>
              </w:rPr>
              <w:t>生活污水经化粪池预处理</w:t>
            </w:r>
            <w:r>
              <w:rPr>
                <w:rFonts w:hint="eastAsia"/>
                <w:bCs/>
                <w:color w:val="auto"/>
                <w:lang w:eastAsia="zh-CN"/>
              </w:rPr>
              <w:t>后</w:t>
            </w:r>
            <w:r>
              <w:rPr>
                <w:rFonts w:hint="eastAsia"/>
                <w:bCs/>
                <w:color w:val="auto"/>
              </w:rPr>
              <w:t>接管</w:t>
            </w:r>
            <w:r>
              <w:rPr>
                <w:rFonts w:hint="eastAsia"/>
                <w:bCs/>
                <w:lang w:eastAsia="zh-CN"/>
              </w:rPr>
              <w:t>舒城经济开发区</w:t>
            </w:r>
            <w:r>
              <w:rPr>
                <w:rFonts w:hint="eastAsia"/>
                <w:bCs/>
              </w:rPr>
              <w:t>污水处理厂</w:t>
            </w:r>
          </w:p>
        </w:tc>
        <w:tc>
          <w:tcPr>
            <w:tcW w:w="2424" w:type="dxa"/>
            <w:noWrap w:val="0"/>
            <w:vAlign w:val="center"/>
          </w:tcPr>
          <w:p>
            <w:pPr>
              <w:adjustRightInd w:val="0"/>
              <w:snapToGrid w:val="0"/>
              <w:jc w:val="center"/>
              <w:rPr>
                <w:rFonts w:hint="eastAsia" w:ascii="宋体" w:hAnsi="宋体" w:cs="宋体"/>
                <w:color w:val="auto"/>
                <w:szCs w:val="21"/>
              </w:rPr>
            </w:pPr>
            <w:r>
              <w:rPr>
                <w:rFonts w:hint="eastAsia"/>
                <w:color w:val="auto"/>
                <w:shd w:val="clear" w:color="auto" w:fill="FCFCFC"/>
              </w:rPr>
              <w:t>排放满足《污水综合排放标准》（GB8978-1996）三级标准</w:t>
            </w:r>
            <w:r>
              <w:rPr>
                <w:rFonts w:hint="eastAsia"/>
                <w:color w:val="auto"/>
                <w:shd w:val="clear" w:color="auto" w:fill="FCFCFC"/>
                <w:lang w:eastAsia="zh-CN"/>
              </w:rPr>
              <w:t>，</w:t>
            </w:r>
            <w:r>
              <w:rPr>
                <w:rFonts w:hint="eastAsia"/>
                <w:color w:val="auto"/>
                <w:shd w:val="clear" w:color="auto" w:fill="FCFCFC"/>
              </w:rPr>
              <w:t>同时满足</w:t>
            </w:r>
            <w:r>
              <w:rPr>
                <w:rFonts w:hint="eastAsia"/>
                <w:bCs/>
                <w:lang w:eastAsia="zh-CN"/>
              </w:rPr>
              <w:t>舒城经济开发区</w:t>
            </w:r>
            <w:r>
              <w:rPr>
                <w:rFonts w:hint="eastAsia"/>
                <w:bCs/>
              </w:rPr>
              <w:t>污水处理厂</w:t>
            </w:r>
            <w:r>
              <w:rPr>
                <w:rFonts w:hint="eastAsia"/>
                <w:color w:val="auto"/>
                <w:shd w:val="clear" w:color="auto" w:fill="FCFCFC"/>
              </w:rPr>
              <w:t>接管要求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adjustRightInd w:val="0"/>
              <w:snapToGrid w:val="0"/>
              <w:jc w:val="center"/>
              <w:rPr>
                <w:rFonts w:hint="eastAsia"/>
                <w:color w:val="auto"/>
                <w:lang w:val="en-US" w:eastAsia="zh-CN"/>
              </w:rPr>
            </w:pPr>
            <w:r>
              <w:rPr>
                <w:rFonts w:hint="eastAsia"/>
                <w:color w:val="auto"/>
                <w:lang w:val="en-US" w:eastAsia="zh-CN"/>
              </w:rPr>
              <w:t>冷却用水</w:t>
            </w:r>
          </w:p>
        </w:tc>
        <w:tc>
          <w:tcPr>
            <w:tcW w:w="1250" w:type="dxa"/>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2400" w:type="dxa"/>
            <w:noWrap w:val="0"/>
            <w:vAlign w:val="center"/>
          </w:tcPr>
          <w:p>
            <w:pPr>
              <w:adjustRightInd w:val="0"/>
              <w:snapToGrid w:val="0"/>
              <w:jc w:val="center"/>
              <w:rPr>
                <w:rFonts w:hint="eastAsia" w:eastAsia="宋体"/>
                <w:bCs/>
                <w:color w:val="auto"/>
                <w:lang w:eastAsia="zh-CN"/>
              </w:rPr>
            </w:pPr>
            <w:r>
              <w:rPr>
                <w:rFonts w:hint="eastAsia"/>
                <w:bCs/>
                <w:color w:val="auto"/>
                <w:lang w:eastAsia="zh-CN"/>
              </w:rPr>
              <w:t>冷却塔和冷却水池</w:t>
            </w:r>
          </w:p>
        </w:tc>
        <w:tc>
          <w:tcPr>
            <w:tcW w:w="2424" w:type="dxa"/>
            <w:noWrap w:val="0"/>
            <w:vAlign w:val="center"/>
          </w:tcPr>
          <w:p>
            <w:pPr>
              <w:adjustRightInd w:val="0"/>
              <w:snapToGrid w:val="0"/>
              <w:jc w:val="center"/>
              <w:rPr>
                <w:rFonts w:hint="eastAsia" w:eastAsia="宋体"/>
                <w:color w:val="auto"/>
                <w:shd w:val="clear" w:color="auto" w:fill="FCFCFC"/>
                <w:lang w:eastAsia="zh-CN"/>
              </w:rPr>
            </w:pPr>
            <w:r>
              <w:rPr>
                <w:rFonts w:hint="eastAsia"/>
                <w:color w:val="auto"/>
                <w:shd w:val="clear" w:color="auto" w:fill="FCFCFC"/>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474"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252"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lang w:eastAsia="zh-CN"/>
              </w:rPr>
              <w:t>注塑机、吹塑机</w:t>
            </w:r>
            <w:r>
              <w:rPr>
                <w:rFonts w:hint="eastAsia" w:ascii="宋体" w:hAnsi="宋体" w:cs="宋体"/>
                <w:color w:val="auto"/>
                <w:szCs w:val="21"/>
              </w:rPr>
              <w:t>等高噪声设备</w:t>
            </w:r>
          </w:p>
        </w:tc>
        <w:tc>
          <w:tcPr>
            <w:tcW w:w="1250"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噪声</w:t>
            </w:r>
          </w:p>
        </w:tc>
        <w:tc>
          <w:tcPr>
            <w:tcW w:w="2400" w:type="dxa"/>
            <w:noWrap w:val="0"/>
            <w:vAlign w:val="center"/>
          </w:tcPr>
          <w:p>
            <w:pPr>
              <w:adjustRightInd w:val="0"/>
              <w:snapToGrid w:val="0"/>
              <w:jc w:val="center"/>
              <w:rPr>
                <w:rFonts w:hint="eastAsia" w:ascii="宋体" w:hAnsi="宋体" w:cs="宋体"/>
                <w:color w:val="auto"/>
                <w:szCs w:val="21"/>
              </w:rPr>
            </w:pPr>
            <w:r>
              <w:rPr>
                <w:color w:val="auto"/>
              </w:rPr>
              <w:t>减振措施、车间隔声、定期维护</w:t>
            </w:r>
          </w:p>
        </w:tc>
        <w:tc>
          <w:tcPr>
            <w:tcW w:w="2424" w:type="dxa"/>
            <w:noWrap w:val="0"/>
            <w:vAlign w:val="center"/>
          </w:tcPr>
          <w:p>
            <w:pPr>
              <w:adjustRightInd w:val="0"/>
              <w:snapToGrid w:val="0"/>
              <w:jc w:val="center"/>
              <w:rPr>
                <w:rFonts w:hint="eastAsia" w:ascii="宋体" w:hAnsi="宋体" w:eastAsia="宋体" w:cs="宋体"/>
                <w:color w:val="auto"/>
                <w:szCs w:val="21"/>
                <w:lang w:eastAsia="zh-CN"/>
              </w:rPr>
            </w:pPr>
            <w:r>
              <w:rPr>
                <w:rFonts w:hint="eastAsia"/>
                <w:color w:val="auto"/>
                <w:shd w:val="clear" w:color="auto" w:fill="FCFCFC"/>
                <w:lang w:eastAsia="zh-CN"/>
              </w:rPr>
              <w:t>厂界噪声</w:t>
            </w:r>
            <w:r>
              <w:rPr>
                <w:rFonts w:hint="eastAsia"/>
                <w:color w:val="auto"/>
                <w:shd w:val="clear" w:color="auto" w:fill="FCFCFC"/>
              </w:rPr>
              <w:t>满足</w:t>
            </w:r>
            <w:r>
              <w:rPr>
                <w:rFonts w:hint="eastAsia"/>
                <w:bCs/>
                <w:color w:val="auto"/>
              </w:rPr>
              <w:t>《工业企业厂界环境噪声排放标准》（GB12348-2008）3类标准要求</w:t>
            </w:r>
            <w:r>
              <w:rPr>
                <w:rFonts w:hint="eastAsia"/>
                <w:bCs/>
                <w:color w:val="auto"/>
                <w:lang w:eastAsia="zh-CN"/>
              </w:rPr>
              <w:t>；敏感点</w:t>
            </w:r>
            <w:r>
              <w:rPr>
                <w:rFonts w:hint="eastAsia"/>
                <w:color w:val="auto"/>
                <w:shd w:val="clear" w:color="auto" w:fill="FCFCFC"/>
                <w:lang w:eastAsia="zh-CN"/>
              </w:rPr>
              <w:t>噪声</w:t>
            </w:r>
            <w:r>
              <w:rPr>
                <w:rFonts w:hint="eastAsia"/>
                <w:color w:val="auto"/>
                <w:shd w:val="clear" w:color="auto" w:fill="FCFCFC"/>
              </w:rPr>
              <w:t>满足</w:t>
            </w:r>
            <w:r>
              <w:rPr>
                <w:rFonts w:hint="eastAsia"/>
                <w:bCs/>
                <w:color w:val="auto"/>
              </w:rPr>
              <w:t>《工业企业厂界环境噪声排放标准》（GB12348-2008）</w:t>
            </w:r>
            <w:r>
              <w:rPr>
                <w:rFonts w:hint="eastAsia"/>
                <w:bCs/>
                <w:color w:val="auto"/>
                <w:lang w:val="en-US" w:eastAsia="zh-CN"/>
              </w:rPr>
              <w:t>2</w:t>
            </w:r>
            <w:r>
              <w:rPr>
                <w:rFonts w:hint="eastAsia"/>
                <w:bCs/>
                <w:color w:val="auto"/>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4" w:type="dxa"/>
            <w:vMerge w:val="restart"/>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固体废物</w:t>
            </w:r>
          </w:p>
        </w:tc>
        <w:tc>
          <w:tcPr>
            <w:tcW w:w="1252" w:type="dxa"/>
            <w:noWrap w:val="0"/>
            <w:vAlign w:val="center"/>
          </w:tcPr>
          <w:p>
            <w:pPr>
              <w:pStyle w:val="25"/>
              <w:snapToGrid w:val="0"/>
              <w:jc w:val="center"/>
              <w:rPr>
                <w:rFonts w:hint="eastAsia" w:ascii="宋体" w:hAnsi="宋体" w:cs="宋体"/>
                <w:color w:val="auto"/>
                <w:szCs w:val="21"/>
              </w:rPr>
            </w:pPr>
            <w:r>
              <w:rPr>
                <w:color w:val="auto"/>
                <w:sz w:val="21"/>
                <w:szCs w:val="21"/>
              </w:rPr>
              <w:t>生产</w:t>
            </w:r>
          </w:p>
        </w:tc>
        <w:tc>
          <w:tcPr>
            <w:tcW w:w="1250" w:type="dxa"/>
            <w:noWrap w:val="0"/>
            <w:vAlign w:val="center"/>
          </w:tcPr>
          <w:p>
            <w:pPr>
              <w:pStyle w:val="25"/>
              <w:snapToGrid w:val="0"/>
              <w:jc w:val="center"/>
              <w:rPr>
                <w:rFonts w:hint="eastAsia" w:ascii="宋体" w:hAnsi="宋体" w:cs="宋体"/>
                <w:color w:val="auto"/>
                <w:szCs w:val="21"/>
              </w:rPr>
            </w:pPr>
            <w:r>
              <w:rPr>
                <w:color w:val="auto"/>
                <w:sz w:val="21"/>
                <w:szCs w:val="21"/>
              </w:rPr>
              <w:t>不合格产品</w:t>
            </w:r>
          </w:p>
        </w:tc>
        <w:tc>
          <w:tcPr>
            <w:tcW w:w="2400" w:type="dxa"/>
            <w:vMerge w:val="restart"/>
            <w:noWrap w:val="0"/>
            <w:vAlign w:val="center"/>
          </w:tcPr>
          <w:p>
            <w:pPr>
              <w:widowControl/>
              <w:jc w:val="center"/>
              <w:rPr>
                <w:color w:val="auto"/>
              </w:rPr>
            </w:pPr>
            <w:r>
              <w:rPr>
                <w:rFonts w:hint="eastAsia"/>
                <w:color w:val="auto"/>
                <w:szCs w:val="21"/>
                <w:lang w:eastAsia="zh-CN"/>
              </w:rPr>
              <w:t>集中收集后外售</w:t>
            </w:r>
          </w:p>
        </w:tc>
        <w:tc>
          <w:tcPr>
            <w:tcW w:w="2424" w:type="dxa"/>
            <w:vMerge w:val="restart"/>
            <w:noWrap w:val="0"/>
            <w:vAlign w:val="center"/>
          </w:tcPr>
          <w:p>
            <w:pPr>
              <w:adjustRightInd w:val="0"/>
              <w:snapToGrid w:val="0"/>
              <w:jc w:val="center"/>
              <w:rPr>
                <w:rFonts w:hint="eastAsia"/>
                <w:color w:val="auto"/>
                <w:shd w:val="clear" w:color="auto" w:fill="FCFCFC"/>
              </w:rPr>
            </w:pPr>
            <w:r>
              <w:rPr>
                <w:rFonts w:hint="eastAsia"/>
                <w:bCs/>
                <w:color w:val="auto"/>
              </w:rPr>
              <w:t>得到有效处置和利用，对周围环境影响较小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pStyle w:val="25"/>
              <w:snapToGrid w:val="0"/>
              <w:jc w:val="center"/>
              <w:rPr>
                <w:color w:val="auto"/>
                <w:sz w:val="21"/>
                <w:szCs w:val="21"/>
              </w:rPr>
            </w:pPr>
            <w:r>
              <w:rPr>
                <w:color w:val="auto"/>
                <w:sz w:val="21"/>
                <w:szCs w:val="21"/>
              </w:rPr>
              <w:t>生产</w:t>
            </w:r>
          </w:p>
        </w:tc>
        <w:tc>
          <w:tcPr>
            <w:tcW w:w="1250" w:type="dxa"/>
            <w:noWrap w:val="0"/>
            <w:vAlign w:val="center"/>
          </w:tcPr>
          <w:p>
            <w:pPr>
              <w:pStyle w:val="25"/>
              <w:snapToGrid w:val="0"/>
              <w:jc w:val="center"/>
              <w:rPr>
                <w:color w:val="auto"/>
                <w:sz w:val="21"/>
                <w:szCs w:val="21"/>
              </w:rPr>
            </w:pPr>
            <w:r>
              <w:rPr>
                <w:rFonts w:hint="eastAsia"/>
                <w:color w:val="auto"/>
                <w:sz w:val="21"/>
                <w:szCs w:val="21"/>
                <w:lang w:eastAsia="zh-CN"/>
              </w:rPr>
              <w:t>边角料</w:t>
            </w:r>
          </w:p>
        </w:tc>
        <w:tc>
          <w:tcPr>
            <w:tcW w:w="2400" w:type="dxa"/>
            <w:vMerge w:val="continue"/>
            <w:noWrap w:val="0"/>
            <w:vAlign w:val="center"/>
          </w:tcPr>
          <w:p>
            <w:pPr>
              <w:pStyle w:val="43"/>
              <w:rPr>
                <w:color w:val="auto"/>
              </w:rPr>
            </w:pPr>
          </w:p>
        </w:tc>
        <w:tc>
          <w:tcPr>
            <w:tcW w:w="2424" w:type="dxa"/>
            <w:vMerge w:val="continue"/>
            <w:noWrap w:val="0"/>
            <w:vAlign w:val="center"/>
          </w:tcPr>
          <w:p>
            <w:pPr>
              <w:adjustRightInd w:val="0"/>
              <w:snapToGrid w:val="0"/>
              <w:jc w:val="center"/>
              <w:rPr>
                <w:rFonts w:hint="eastAsia"/>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pStyle w:val="25"/>
              <w:snapToGrid w:val="0"/>
              <w:jc w:val="center"/>
              <w:rPr>
                <w:rFonts w:hint="eastAsia" w:ascii="宋体" w:hAnsi="宋体" w:cs="宋体"/>
                <w:color w:val="auto"/>
                <w:szCs w:val="21"/>
              </w:rPr>
            </w:pPr>
            <w:r>
              <w:rPr>
                <w:rFonts w:hint="eastAsia"/>
                <w:color w:val="auto"/>
                <w:sz w:val="21"/>
                <w:szCs w:val="21"/>
                <w:lang w:eastAsia="zh-CN"/>
              </w:rPr>
              <w:t>原辅料</w:t>
            </w:r>
          </w:p>
        </w:tc>
        <w:tc>
          <w:tcPr>
            <w:tcW w:w="1250" w:type="dxa"/>
            <w:noWrap w:val="0"/>
            <w:vAlign w:val="center"/>
          </w:tcPr>
          <w:p>
            <w:pPr>
              <w:pStyle w:val="25"/>
              <w:snapToGrid w:val="0"/>
              <w:jc w:val="center"/>
              <w:rPr>
                <w:rFonts w:hint="eastAsia" w:ascii="宋体" w:hAnsi="宋体" w:cs="宋体"/>
                <w:color w:val="auto"/>
                <w:szCs w:val="21"/>
              </w:rPr>
            </w:pPr>
            <w:r>
              <w:rPr>
                <w:color w:val="auto"/>
                <w:sz w:val="21"/>
                <w:szCs w:val="21"/>
              </w:rPr>
              <w:t>废</w:t>
            </w:r>
            <w:r>
              <w:rPr>
                <w:rFonts w:hint="eastAsia"/>
                <w:color w:val="auto"/>
                <w:sz w:val="21"/>
                <w:szCs w:val="21"/>
                <w:lang w:eastAsia="zh-CN"/>
              </w:rPr>
              <w:t>包装材料</w:t>
            </w:r>
          </w:p>
        </w:tc>
        <w:tc>
          <w:tcPr>
            <w:tcW w:w="2400" w:type="dxa"/>
            <w:vMerge w:val="continue"/>
            <w:noWrap w:val="0"/>
            <w:vAlign w:val="center"/>
          </w:tcPr>
          <w:p>
            <w:pPr>
              <w:widowControl/>
              <w:jc w:val="center"/>
              <w:rPr>
                <w:color w:val="auto"/>
              </w:rPr>
            </w:pPr>
          </w:p>
        </w:tc>
        <w:tc>
          <w:tcPr>
            <w:tcW w:w="2424" w:type="dxa"/>
            <w:vMerge w:val="continue"/>
            <w:noWrap w:val="0"/>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pStyle w:val="25"/>
              <w:snapToGrid w:val="0"/>
              <w:jc w:val="center"/>
              <w:rPr>
                <w:rFonts w:hint="eastAsia" w:ascii="宋体" w:hAnsi="宋体" w:cs="宋体"/>
                <w:color w:val="auto"/>
                <w:szCs w:val="21"/>
              </w:rPr>
            </w:pPr>
            <w:r>
              <w:rPr>
                <w:color w:val="auto"/>
                <w:sz w:val="21"/>
                <w:szCs w:val="21"/>
              </w:rPr>
              <w:t>员工生活</w:t>
            </w:r>
          </w:p>
        </w:tc>
        <w:tc>
          <w:tcPr>
            <w:tcW w:w="1250" w:type="dxa"/>
            <w:noWrap w:val="0"/>
            <w:vAlign w:val="center"/>
          </w:tcPr>
          <w:p>
            <w:pPr>
              <w:pStyle w:val="25"/>
              <w:snapToGrid w:val="0"/>
              <w:jc w:val="center"/>
              <w:rPr>
                <w:rFonts w:hint="eastAsia" w:ascii="宋体" w:hAnsi="宋体" w:cs="宋体"/>
                <w:color w:val="auto"/>
                <w:szCs w:val="21"/>
              </w:rPr>
            </w:pPr>
            <w:r>
              <w:rPr>
                <w:color w:val="auto"/>
                <w:sz w:val="21"/>
                <w:szCs w:val="21"/>
              </w:rPr>
              <w:t>生活垃圾</w:t>
            </w:r>
          </w:p>
        </w:tc>
        <w:tc>
          <w:tcPr>
            <w:tcW w:w="2400" w:type="dxa"/>
            <w:noWrap w:val="0"/>
            <w:vAlign w:val="center"/>
          </w:tcPr>
          <w:p>
            <w:pPr>
              <w:snapToGrid w:val="0"/>
              <w:jc w:val="center"/>
              <w:rPr>
                <w:color w:val="auto"/>
              </w:rPr>
            </w:pPr>
            <w:r>
              <w:rPr>
                <w:color w:val="auto"/>
                <w:kern w:val="0"/>
                <w:szCs w:val="21"/>
              </w:rPr>
              <w:t>环卫部门清运</w:t>
            </w:r>
          </w:p>
        </w:tc>
        <w:tc>
          <w:tcPr>
            <w:tcW w:w="2424" w:type="dxa"/>
            <w:vMerge w:val="continue"/>
            <w:noWrap w:val="0"/>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adjustRightInd w:val="0"/>
              <w:snapToGrid w:val="0"/>
              <w:contextualSpacing/>
              <w:jc w:val="center"/>
              <w:rPr>
                <w:rFonts w:hint="eastAsia" w:ascii="宋体" w:hAnsi="宋体" w:cs="宋体"/>
                <w:color w:val="auto"/>
                <w:szCs w:val="21"/>
              </w:rPr>
            </w:pPr>
            <w:r>
              <w:rPr>
                <w:rFonts w:hint="eastAsia"/>
                <w:color w:val="auto"/>
                <w:spacing w:val="0"/>
                <w:kern w:val="0"/>
                <w:lang w:eastAsia="zh-CN"/>
              </w:rPr>
              <w:t>废气处理</w:t>
            </w:r>
          </w:p>
        </w:tc>
        <w:tc>
          <w:tcPr>
            <w:tcW w:w="1250" w:type="dxa"/>
            <w:noWrap w:val="0"/>
            <w:vAlign w:val="center"/>
          </w:tcPr>
          <w:p>
            <w:pPr>
              <w:jc w:val="center"/>
              <w:rPr>
                <w:rFonts w:hint="eastAsia" w:ascii="宋体" w:hAnsi="宋体" w:cs="宋体"/>
                <w:color w:val="auto"/>
                <w:szCs w:val="21"/>
              </w:rPr>
            </w:pPr>
            <w:r>
              <w:rPr>
                <w:color w:val="auto"/>
                <w:sz w:val="21"/>
                <w:szCs w:val="21"/>
              </w:rPr>
              <w:t>废活性炭</w:t>
            </w:r>
          </w:p>
        </w:tc>
        <w:tc>
          <w:tcPr>
            <w:tcW w:w="2400" w:type="dxa"/>
            <w:vMerge w:val="restart"/>
            <w:noWrap w:val="0"/>
            <w:vAlign w:val="center"/>
          </w:tcPr>
          <w:p>
            <w:pPr>
              <w:snapToGrid w:val="0"/>
              <w:jc w:val="center"/>
              <w:rPr>
                <w:color w:val="auto"/>
              </w:rPr>
            </w:pPr>
            <w:r>
              <w:rPr>
                <w:color w:val="auto"/>
                <w:szCs w:val="21"/>
              </w:rPr>
              <w:t>交由有危险废物处理资质单位处理</w:t>
            </w:r>
          </w:p>
        </w:tc>
        <w:tc>
          <w:tcPr>
            <w:tcW w:w="2424" w:type="dxa"/>
            <w:vMerge w:val="continue"/>
            <w:noWrap w:val="0"/>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474" w:type="dxa"/>
            <w:vMerge w:val="continue"/>
            <w:noWrap w:val="0"/>
            <w:vAlign w:val="center"/>
          </w:tcPr>
          <w:p>
            <w:pPr>
              <w:adjustRightInd w:val="0"/>
              <w:snapToGrid w:val="0"/>
              <w:jc w:val="center"/>
              <w:rPr>
                <w:rFonts w:hint="eastAsia" w:ascii="宋体" w:hAnsi="宋体" w:cs="宋体"/>
                <w:color w:val="auto"/>
                <w:szCs w:val="21"/>
              </w:rPr>
            </w:pPr>
          </w:p>
        </w:tc>
        <w:tc>
          <w:tcPr>
            <w:tcW w:w="1252" w:type="dxa"/>
            <w:noWrap w:val="0"/>
            <w:vAlign w:val="center"/>
          </w:tcPr>
          <w:p>
            <w:pPr>
              <w:adjustRightInd w:val="0"/>
              <w:snapToGrid w:val="0"/>
              <w:contextualSpacing/>
              <w:jc w:val="center"/>
              <w:rPr>
                <w:rFonts w:hint="eastAsia"/>
                <w:color w:val="auto"/>
                <w:spacing w:val="0"/>
                <w:kern w:val="0"/>
                <w:lang w:eastAsia="zh-CN"/>
              </w:rPr>
            </w:pPr>
            <w:r>
              <w:rPr>
                <w:rFonts w:hint="eastAsia"/>
                <w:color w:val="auto"/>
                <w:spacing w:val="0"/>
                <w:kern w:val="0"/>
                <w:lang w:eastAsia="zh-CN"/>
              </w:rPr>
              <w:t>设备保养</w:t>
            </w:r>
          </w:p>
        </w:tc>
        <w:tc>
          <w:tcPr>
            <w:tcW w:w="1250" w:type="dxa"/>
            <w:noWrap w:val="0"/>
            <w:vAlign w:val="center"/>
          </w:tcPr>
          <w:p>
            <w:pPr>
              <w:jc w:val="center"/>
              <w:rPr>
                <w:rFonts w:hint="eastAsia" w:eastAsia="宋体"/>
                <w:color w:val="auto"/>
                <w:sz w:val="21"/>
                <w:szCs w:val="21"/>
                <w:lang w:eastAsia="zh-CN"/>
              </w:rPr>
            </w:pPr>
            <w:r>
              <w:rPr>
                <w:rFonts w:hint="eastAsia"/>
                <w:color w:val="auto"/>
                <w:sz w:val="21"/>
                <w:szCs w:val="21"/>
                <w:lang w:eastAsia="zh-CN"/>
              </w:rPr>
              <w:t>废机油</w:t>
            </w:r>
          </w:p>
        </w:tc>
        <w:tc>
          <w:tcPr>
            <w:tcW w:w="2400" w:type="dxa"/>
            <w:vMerge w:val="continue"/>
            <w:noWrap w:val="0"/>
            <w:vAlign w:val="center"/>
          </w:tcPr>
          <w:p>
            <w:pPr>
              <w:snapToGrid w:val="0"/>
              <w:jc w:val="center"/>
              <w:rPr>
                <w:color w:val="auto"/>
                <w:szCs w:val="21"/>
              </w:rPr>
            </w:pPr>
          </w:p>
        </w:tc>
        <w:tc>
          <w:tcPr>
            <w:tcW w:w="2424" w:type="dxa"/>
            <w:vMerge w:val="continue"/>
            <w:noWrap w:val="0"/>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474"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7326" w:type="dxa"/>
            <w:gridSpan w:val="4"/>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74"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土壤及地下水污染防治措施</w:t>
            </w:r>
          </w:p>
        </w:tc>
        <w:tc>
          <w:tcPr>
            <w:tcW w:w="7326"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lang w:val="en-US" w:eastAsia="zh-CN"/>
              </w:rPr>
            </w:pPr>
            <w:r>
              <w:rPr>
                <w:rFonts w:hint="eastAsia"/>
                <w:lang w:val="en-US" w:eastAsia="zh-CN"/>
              </w:rPr>
              <w:t>1、地下水污染防控措施</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关键污染源为危废暂存间。地面采取相应防渗措施，将危废暂存间作为重点防渗区，一般固废间</w:t>
            </w:r>
            <w:r>
              <w:rPr>
                <w:rFonts w:hint="eastAsia" w:cs="Times New Roman"/>
                <w:lang w:val="en-US" w:eastAsia="zh-CN"/>
              </w:rPr>
              <w:t>、</w:t>
            </w:r>
            <w:r>
              <w:rPr>
                <w:rFonts w:hint="eastAsia" w:ascii="Times New Roman" w:hAnsi="Times New Roman" w:cs="Times New Roman"/>
                <w:lang w:val="en-US" w:eastAsia="zh-CN"/>
              </w:rPr>
              <w:t>办公区作为一般防渗区。</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2、土壤污染防控措施</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主要为项目生产过程中产生的有机废气，污染途径主要为大气沉降。</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lang w:eastAsia="zh-CN"/>
              </w:rPr>
            </w:pPr>
            <w:r>
              <w:rPr>
                <w:rFonts w:hint="eastAsia" w:ascii="Times New Roman" w:hAnsi="Times New Roman" w:cs="Times New Roman"/>
                <w:lang w:val="en-US" w:eastAsia="zh-CN"/>
              </w:rPr>
              <w:t>项目加热段全封闭，注塑、吹塑产生的有机废气采用集气罩收集后，引入二级活性炭吸附装置处理，尾气通过15m排气筒排放。经过处理后，有效控制污染物的产生，从而降低污染物对土壤环境的污染。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74"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326" w:type="dxa"/>
            <w:gridSpan w:val="4"/>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74" w:type="dxa"/>
            <w:noWrap w:val="0"/>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326"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w:t>
            </w:r>
            <w:r>
              <w:rPr>
                <w:rFonts w:hint="default" w:ascii="宋体" w:hAnsi="宋体" w:eastAsia="宋体" w:cs="宋体"/>
                <w:color w:val="auto"/>
                <w:szCs w:val="21"/>
                <w:lang w:val="en-US" w:eastAsia="zh-CN"/>
              </w:rPr>
              <w:t>危险废物管理风险防范措施</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危险废物暂存过程中如储存不当、管理不善，容易发生风险事故，其风险防范措施如下：</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①危险废物暂存场所必须严格按照《 危险废物贮存污染控制标准》（GB18597-2001） 及其修改单的要求设置和管理，必须设置防渗、防漏、防腐、防雨等防范措施。</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②危险废物必须设置相应的标签，标明危废的来源、具体的成分、主要成分的性质和处置方式。</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③必须定期对所贮存的危险废物包装容器及贮存设施进行检查，发现破损，应及时采取措施清理更换。</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default" w:ascii="宋体" w:hAnsi="宋体" w:eastAsia="宋体" w:cs="宋体"/>
                <w:color w:val="auto"/>
                <w:szCs w:val="21"/>
                <w:lang w:val="en-US" w:eastAsia="zh-CN"/>
              </w:rPr>
              <w:t>安全生产管理系统</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①建立安全生产责任制，制定安全生产规章制度、安全操作规程。</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②凡容易发生事故或危及生命安全的场所、设备以及需要提醒操作人员注意的地方，应设置安全标志；在各区域设置毒物周知卡；厂区设风向标等。</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③尽量降低危险物料储量。</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④定期对设备等进行检查、维修；在检修过程中需动火焊接时，一定要按有关规定办理动火手续、严格操作规程，同时，为防止中毒事件发生，要保证有毒气体含量要在规定的范围内，方可进行检修作业。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74" w:type="dxa"/>
            <w:noWrap w:val="0"/>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326" w:type="dxa"/>
            <w:gridSpan w:val="4"/>
            <w:noWrap w:val="0"/>
            <w:vAlign w:val="center"/>
          </w:tcPr>
          <w:p>
            <w:pPr>
              <w:adjustRightInd w:val="0"/>
              <w:snapToGrid w:val="0"/>
              <w:spacing w:line="360" w:lineRule="auto"/>
              <w:ind w:firstLine="422" w:firstLineChars="200"/>
              <w:jc w:val="both"/>
              <w:rPr>
                <w:rFonts w:hint="eastAsia" w:eastAsia="宋体"/>
                <w:b/>
                <w:bCs/>
                <w:color w:val="auto"/>
                <w:sz w:val="21"/>
                <w:szCs w:val="21"/>
                <w:lang w:val="en-US" w:eastAsia="zh-CN"/>
              </w:rPr>
            </w:pPr>
            <w:r>
              <w:rPr>
                <w:rFonts w:hint="eastAsia"/>
                <w:b/>
                <w:bCs/>
                <w:color w:val="auto"/>
                <w:sz w:val="21"/>
                <w:szCs w:val="21"/>
                <w:lang w:val="en-US" w:eastAsia="zh-CN"/>
              </w:rPr>
              <w:t>1、监测计划</w:t>
            </w:r>
          </w:p>
          <w:p>
            <w:pPr>
              <w:adjustRightInd w:val="0"/>
              <w:snapToGrid w:val="0"/>
              <w:spacing w:line="360" w:lineRule="auto"/>
              <w:ind w:firstLine="422" w:firstLineChars="200"/>
              <w:jc w:val="center"/>
              <w:rPr>
                <w:b/>
                <w:bCs/>
                <w:color w:val="auto"/>
                <w:sz w:val="21"/>
                <w:szCs w:val="21"/>
              </w:rPr>
            </w:pPr>
            <w:r>
              <w:rPr>
                <w:rFonts w:hint="eastAsia"/>
                <w:b/>
                <w:bCs/>
                <w:color w:val="auto"/>
                <w:sz w:val="21"/>
                <w:szCs w:val="21"/>
              </w:rPr>
              <w:t>表</w:t>
            </w:r>
            <w:r>
              <w:rPr>
                <w:rFonts w:hint="eastAsia"/>
                <w:b/>
                <w:bCs/>
                <w:color w:val="auto"/>
                <w:sz w:val="21"/>
                <w:szCs w:val="21"/>
                <w:lang w:val="en-US" w:eastAsia="zh-CN"/>
              </w:rPr>
              <w:t xml:space="preserve">5-1 </w:t>
            </w:r>
            <w:r>
              <w:rPr>
                <w:rFonts w:hint="eastAsia"/>
                <w:b/>
                <w:bCs/>
                <w:color w:val="auto"/>
                <w:sz w:val="21"/>
                <w:szCs w:val="21"/>
              </w:rPr>
              <w:t xml:space="preserve"> 废气监测计划一览表</w:t>
            </w:r>
          </w:p>
          <w:tbl>
            <w:tblPr>
              <w:tblStyle w:val="19"/>
              <w:tblW w:w="7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975"/>
              <w:gridCol w:w="1112"/>
              <w:gridCol w:w="1063"/>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1" w:type="dxa"/>
                  <w:gridSpan w:val="2"/>
                  <w:noWrap w:val="0"/>
                  <w:vAlign w:val="center"/>
                </w:tcPr>
                <w:p>
                  <w:pPr>
                    <w:jc w:val="center"/>
                    <w:rPr>
                      <w:b/>
                      <w:bCs/>
                      <w:color w:val="auto"/>
                      <w:sz w:val="21"/>
                      <w:szCs w:val="21"/>
                    </w:rPr>
                  </w:pPr>
                  <w:r>
                    <w:rPr>
                      <w:rFonts w:hint="eastAsia"/>
                      <w:b/>
                      <w:bCs/>
                      <w:color w:val="auto"/>
                      <w:sz w:val="21"/>
                      <w:szCs w:val="21"/>
                    </w:rPr>
                    <w:t>监测点位</w:t>
                  </w:r>
                </w:p>
              </w:tc>
              <w:tc>
                <w:tcPr>
                  <w:tcW w:w="1112" w:type="dxa"/>
                  <w:noWrap w:val="0"/>
                  <w:vAlign w:val="center"/>
                </w:tcPr>
                <w:p>
                  <w:pPr>
                    <w:jc w:val="center"/>
                    <w:rPr>
                      <w:rFonts w:hint="eastAsia"/>
                      <w:b/>
                      <w:bCs/>
                      <w:color w:val="auto"/>
                      <w:sz w:val="21"/>
                      <w:szCs w:val="21"/>
                    </w:rPr>
                  </w:pPr>
                  <w:r>
                    <w:rPr>
                      <w:rFonts w:hint="eastAsia"/>
                      <w:b/>
                      <w:bCs/>
                      <w:color w:val="auto"/>
                      <w:sz w:val="21"/>
                      <w:szCs w:val="21"/>
                    </w:rPr>
                    <w:t>监测因子</w:t>
                  </w:r>
                </w:p>
              </w:tc>
              <w:tc>
                <w:tcPr>
                  <w:tcW w:w="1063" w:type="dxa"/>
                  <w:noWrap w:val="0"/>
                  <w:vAlign w:val="center"/>
                </w:tcPr>
                <w:p>
                  <w:pPr>
                    <w:jc w:val="center"/>
                    <w:rPr>
                      <w:rFonts w:hint="eastAsia"/>
                      <w:b/>
                      <w:bCs/>
                      <w:color w:val="auto"/>
                      <w:sz w:val="21"/>
                      <w:szCs w:val="21"/>
                    </w:rPr>
                  </w:pPr>
                  <w:r>
                    <w:rPr>
                      <w:rFonts w:hint="eastAsia"/>
                      <w:b/>
                      <w:bCs/>
                      <w:color w:val="auto"/>
                      <w:sz w:val="21"/>
                      <w:szCs w:val="21"/>
                    </w:rPr>
                    <w:t>监测频次</w:t>
                  </w:r>
                </w:p>
              </w:tc>
              <w:tc>
                <w:tcPr>
                  <w:tcW w:w="2751" w:type="dxa"/>
                  <w:noWrap w:val="0"/>
                  <w:vAlign w:val="center"/>
                </w:tcPr>
                <w:p>
                  <w:pPr>
                    <w:jc w:val="center"/>
                    <w:rPr>
                      <w:rFonts w:hint="eastAsia"/>
                      <w:b/>
                      <w:bCs/>
                      <w:color w:val="auto"/>
                      <w:sz w:val="21"/>
                      <w:szCs w:val="21"/>
                    </w:rPr>
                  </w:pPr>
                  <w:r>
                    <w:rPr>
                      <w:rFonts w:hint="eastAsia"/>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186" w:type="dxa"/>
                  <w:noWrap w:val="0"/>
                  <w:vAlign w:val="center"/>
                </w:tcPr>
                <w:p>
                  <w:pPr>
                    <w:adjustRightInd w:val="0"/>
                    <w:snapToGrid w:val="0"/>
                    <w:jc w:val="center"/>
                    <w:rPr>
                      <w:rFonts w:hint="eastAsia"/>
                      <w:color w:val="auto"/>
                      <w:sz w:val="21"/>
                      <w:szCs w:val="21"/>
                    </w:rPr>
                  </w:pPr>
                  <w:r>
                    <w:rPr>
                      <w:rFonts w:hint="eastAsia"/>
                      <w:color w:val="auto"/>
                      <w:sz w:val="21"/>
                      <w:szCs w:val="21"/>
                      <w:lang w:eastAsia="zh-CN"/>
                    </w:rPr>
                    <w:t>注塑吹塑废气</w:t>
                  </w:r>
                  <w:r>
                    <w:rPr>
                      <w:rFonts w:hint="eastAsia"/>
                      <w:color w:val="auto"/>
                      <w:sz w:val="21"/>
                      <w:szCs w:val="21"/>
                    </w:rPr>
                    <w:t>排放口</w:t>
                  </w:r>
                </w:p>
              </w:tc>
              <w:tc>
                <w:tcPr>
                  <w:tcW w:w="975" w:type="dxa"/>
                  <w:noWrap w:val="0"/>
                  <w:vAlign w:val="center"/>
                </w:tcPr>
                <w:p>
                  <w:pPr>
                    <w:adjustRightInd w:val="0"/>
                    <w:snapToGrid w:val="0"/>
                    <w:jc w:val="center"/>
                    <w:rPr>
                      <w:rFonts w:hint="eastAsia"/>
                      <w:color w:val="auto"/>
                      <w:sz w:val="21"/>
                      <w:szCs w:val="21"/>
                      <w:lang w:eastAsia="zh-CN"/>
                    </w:rPr>
                  </w:pPr>
                </w:p>
                <w:p>
                  <w:pPr>
                    <w:adjustRightInd w:val="0"/>
                    <w:snapToGrid w:val="0"/>
                    <w:jc w:val="center"/>
                    <w:rPr>
                      <w:rFonts w:hint="default"/>
                      <w:color w:val="auto"/>
                      <w:sz w:val="21"/>
                      <w:szCs w:val="21"/>
                      <w:lang w:val="en-US" w:eastAsia="zh-CN"/>
                    </w:rPr>
                  </w:pPr>
                  <w:r>
                    <w:rPr>
                      <w:rFonts w:hint="eastAsia"/>
                      <w:color w:val="auto"/>
                      <w:sz w:val="21"/>
                      <w:szCs w:val="21"/>
                      <w:lang w:eastAsia="zh-CN"/>
                    </w:rPr>
                    <w:t>DA00</w:t>
                  </w:r>
                  <w:r>
                    <w:rPr>
                      <w:rFonts w:hint="eastAsia"/>
                      <w:color w:val="auto"/>
                      <w:sz w:val="21"/>
                      <w:szCs w:val="21"/>
                      <w:lang w:val="en-US" w:eastAsia="zh-CN"/>
                    </w:rPr>
                    <w:t>1</w:t>
                  </w:r>
                </w:p>
                <w:p>
                  <w:pPr>
                    <w:adjustRightInd w:val="0"/>
                    <w:snapToGrid w:val="0"/>
                    <w:jc w:val="center"/>
                    <w:rPr>
                      <w:rFonts w:hint="eastAsia"/>
                      <w:color w:val="auto"/>
                      <w:sz w:val="21"/>
                      <w:szCs w:val="21"/>
                      <w:lang w:eastAsia="zh-CN"/>
                    </w:rPr>
                  </w:pPr>
                </w:p>
              </w:tc>
              <w:tc>
                <w:tcPr>
                  <w:tcW w:w="1112" w:type="dxa"/>
                  <w:noWrap w:val="0"/>
                  <w:vAlign w:val="center"/>
                </w:tcPr>
                <w:p>
                  <w:pPr>
                    <w:jc w:val="center"/>
                    <w:rPr>
                      <w:rFonts w:hint="eastAsia"/>
                      <w:color w:val="auto"/>
                      <w:sz w:val="21"/>
                      <w:szCs w:val="21"/>
                    </w:rPr>
                  </w:pPr>
                  <w:r>
                    <w:rPr>
                      <w:rFonts w:hint="eastAsia"/>
                      <w:color w:val="auto"/>
                      <w:sz w:val="21"/>
                      <w:szCs w:val="21"/>
                    </w:rPr>
                    <w:t>非甲烷总烃</w:t>
                  </w:r>
                </w:p>
              </w:tc>
              <w:tc>
                <w:tcPr>
                  <w:tcW w:w="1063" w:type="dxa"/>
                  <w:noWrap w:val="0"/>
                  <w:vAlign w:val="center"/>
                </w:tcPr>
                <w:p>
                  <w:pPr>
                    <w:widowControl/>
                    <w:jc w:val="center"/>
                    <w:rPr>
                      <w:color w:val="auto"/>
                      <w:sz w:val="21"/>
                      <w:szCs w:val="21"/>
                    </w:rPr>
                  </w:pPr>
                  <w:r>
                    <w:rPr>
                      <w:color w:val="auto"/>
                      <w:kern w:val="0"/>
                      <w:sz w:val="21"/>
                      <w:szCs w:val="21"/>
                      <w:lang w:bidi="ar"/>
                    </w:rPr>
                    <w:t xml:space="preserve">1 </w:t>
                  </w:r>
                  <w:r>
                    <w:rPr>
                      <w:rFonts w:hint="eastAsia" w:ascii="宋体" w:hAnsi="宋体" w:cs="宋体"/>
                      <w:color w:val="auto"/>
                      <w:kern w:val="0"/>
                      <w:sz w:val="21"/>
                      <w:szCs w:val="21"/>
                      <w:lang w:bidi="ar"/>
                    </w:rPr>
                    <w:t>次</w:t>
                  </w:r>
                  <w:r>
                    <w:rPr>
                      <w:color w:val="auto"/>
                      <w:kern w:val="0"/>
                      <w:sz w:val="21"/>
                      <w:szCs w:val="21"/>
                      <w:lang w:bidi="ar"/>
                    </w:rPr>
                    <w:t>/</w:t>
                  </w:r>
                  <w:r>
                    <w:rPr>
                      <w:rFonts w:hint="eastAsia" w:ascii="宋体" w:hAnsi="宋体" w:cs="宋体"/>
                      <w:color w:val="auto"/>
                      <w:kern w:val="0"/>
                      <w:sz w:val="21"/>
                      <w:szCs w:val="21"/>
                      <w:lang w:bidi="ar"/>
                    </w:rPr>
                    <w:t>年</w:t>
                  </w:r>
                </w:p>
              </w:tc>
              <w:tc>
                <w:tcPr>
                  <w:tcW w:w="2751" w:type="dxa"/>
                  <w:vMerge w:val="restart"/>
                  <w:noWrap w:val="0"/>
                  <w:vAlign w:val="center"/>
                </w:tcPr>
                <w:p>
                  <w:pPr>
                    <w:jc w:val="center"/>
                    <w:rPr>
                      <w:color w:val="auto"/>
                      <w:sz w:val="21"/>
                      <w:szCs w:val="21"/>
                    </w:rPr>
                  </w:pPr>
                  <w:r>
                    <w:rPr>
                      <w:rFonts w:hint="eastAsia" w:ascii="Times New Roman" w:hAnsi="Times New Roman" w:eastAsia="宋体" w:cs="Times New Roman"/>
                      <w:color w:val="auto"/>
                      <w:kern w:val="0"/>
                      <w:sz w:val="21"/>
                      <w:szCs w:val="21"/>
                      <w:lang w:val="en-US" w:eastAsia="zh-CN" w:bidi="ar-SA"/>
                    </w:rPr>
                    <w:t>非甲烷总烃排放执行《合成树脂工业污染物排放标准》（GB31572-2015）表5中大气污染物特别排放限值及表9中企业边界大气污染物浓度限值，厂区内非甲烷总烃无组织排放监控点浓度限值执行《挥发性有机物无组织排放控制标准》（GB37822-2019）附录A中表A.1的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noWrap w:val="0"/>
                  <w:vAlign w:val="center"/>
                </w:tcPr>
                <w:p>
                  <w:pPr>
                    <w:jc w:val="center"/>
                    <w:rPr>
                      <w:rFonts w:hint="eastAsia"/>
                      <w:color w:val="auto"/>
                      <w:sz w:val="21"/>
                      <w:szCs w:val="21"/>
                    </w:rPr>
                  </w:pPr>
                  <w:r>
                    <w:rPr>
                      <w:rFonts w:hint="eastAsia"/>
                      <w:color w:val="auto"/>
                      <w:sz w:val="21"/>
                      <w:szCs w:val="21"/>
                    </w:rPr>
                    <w:t>无组织</w:t>
                  </w:r>
                </w:p>
              </w:tc>
              <w:tc>
                <w:tcPr>
                  <w:tcW w:w="975" w:type="dxa"/>
                  <w:noWrap w:val="0"/>
                  <w:vAlign w:val="center"/>
                </w:tcPr>
                <w:p>
                  <w:pPr>
                    <w:jc w:val="center"/>
                    <w:rPr>
                      <w:rFonts w:hint="eastAsia"/>
                      <w:color w:val="auto"/>
                      <w:sz w:val="21"/>
                      <w:szCs w:val="21"/>
                    </w:rPr>
                  </w:pPr>
                  <w:r>
                    <w:rPr>
                      <w:rFonts w:hint="eastAsia"/>
                      <w:color w:val="auto"/>
                      <w:sz w:val="21"/>
                      <w:szCs w:val="21"/>
                    </w:rPr>
                    <w:t>厂界</w:t>
                  </w:r>
                </w:p>
              </w:tc>
              <w:tc>
                <w:tcPr>
                  <w:tcW w:w="1112" w:type="dxa"/>
                  <w:noWrap w:val="0"/>
                  <w:vAlign w:val="center"/>
                </w:tcPr>
                <w:p>
                  <w:pPr>
                    <w:jc w:val="center"/>
                    <w:rPr>
                      <w:rFonts w:hint="eastAsia" w:eastAsia="宋体"/>
                      <w:color w:val="auto"/>
                      <w:sz w:val="21"/>
                      <w:szCs w:val="21"/>
                      <w:lang w:eastAsia="zh-CN"/>
                    </w:rPr>
                  </w:pPr>
                  <w:r>
                    <w:rPr>
                      <w:rFonts w:hint="eastAsia"/>
                      <w:color w:val="auto"/>
                      <w:sz w:val="21"/>
                      <w:szCs w:val="21"/>
                    </w:rPr>
                    <w:t>非甲烷总烃</w:t>
                  </w:r>
                </w:p>
              </w:tc>
              <w:tc>
                <w:tcPr>
                  <w:tcW w:w="1063" w:type="dxa"/>
                  <w:noWrap w:val="0"/>
                  <w:vAlign w:val="center"/>
                </w:tcPr>
                <w:p>
                  <w:pPr>
                    <w:widowControl/>
                    <w:jc w:val="center"/>
                    <w:rPr>
                      <w:color w:val="auto"/>
                      <w:sz w:val="21"/>
                      <w:szCs w:val="21"/>
                    </w:rPr>
                  </w:pPr>
                  <w:r>
                    <w:rPr>
                      <w:color w:val="auto"/>
                      <w:kern w:val="0"/>
                      <w:sz w:val="21"/>
                      <w:szCs w:val="21"/>
                      <w:lang w:bidi="ar"/>
                    </w:rPr>
                    <w:t xml:space="preserve">1 </w:t>
                  </w:r>
                  <w:r>
                    <w:rPr>
                      <w:rFonts w:hint="eastAsia" w:ascii="宋体" w:hAnsi="宋体" w:cs="宋体"/>
                      <w:color w:val="auto"/>
                      <w:kern w:val="0"/>
                      <w:sz w:val="21"/>
                      <w:szCs w:val="21"/>
                      <w:lang w:bidi="ar"/>
                    </w:rPr>
                    <w:t>次</w:t>
                  </w:r>
                  <w:r>
                    <w:rPr>
                      <w:color w:val="auto"/>
                      <w:kern w:val="0"/>
                      <w:sz w:val="21"/>
                      <w:szCs w:val="21"/>
                      <w:lang w:bidi="ar"/>
                    </w:rPr>
                    <w:t>/</w:t>
                  </w:r>
                  <w:r>
                    <w:rPr>
                      <w:rFonts w:hint="eastAsia" w:ascii="宋体" w:hAnsi="宋体" w:cs="宋体"/>
                      <w:color w:val="auto"/>
                      <w:kern w:val="0"/>
                      <w:sz w:val="21"/>
                      <w:szCs w:val="21"/>
                      <w:lang w:bidi="ar"/>
                    </w:rPr>
                    <w:t>年</w:t>
                  </w:r>
                </w:p>
              </w:tc>
              <w:tc>
                <w:tcPr>
                  <w:tcW w:w="2751" w:type="dxa"/>
                  <w:vMerge w:val="continue"/>
                  <w:noWrap w:val="0"/>
                  <w:vAlign w:val="center"/>
                </w:tcPr>
                <w:p>
                  <w:pPr>
                    <w:jc w:val="center"/>
                    <w:rPr>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center"/>
              <w:textAlignment w:val="auto"/>
              <w:rPr>
                <w:rFonts w:hint="eastAsia"/>
                <w:b/>
                <w:bCs/>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center"/>
              <w:textAlignment w:val="auto"/>
              <w:rPr>
                <w:rFonts w:hint="eastAsia"/>
                <w:b/>
                <w:bCs/>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center"/>
              <w:textAlignment w:val="auto"/>
              <w:rPr>
                <w:rFonts w:hint="eastAsia"/>
                <w:b/>
                <w:bCs/>
                <w:color w:val="auto"/>
                <w:sz w:val="21"/>
                <w:szCs w:val="21"/>
              </w:rPr>
            </w:pPr>
            <w:r>
              <w:rPr>
                <w:rFonts w:hint="eastAsia"/>
                <w:b/>
                <w:bCs/>
                <w:color w:val="auto"/>
                <w:sz w:val="21"/>
                <w:szCs w:val="21"/>
              </w:rPr>
              <w:t>表</w:t>
            </w:r>
            <w:r>
              <w:rPr>
                <w:rFonts w:hint="eastAsia"/>
                <w:b/>
                <w:bCs/>
                <w:color w:val="auto"/>
                <w:sz w:val="21"/>
                <w:szCs w:val="21"/>
                <w:lang w:val="en-US" w:eastAsia="zh-CN"/>
              </w:rPr>
              <w:t>5-2</w:t>
            </w:r>
            <w:r>
              <w:rPr>
                <w:rFonts w:hint="eastAsia"/>
                <w:b/>
                <w:bCs/>
                <w:color w:val="auto"/>
                <w:sz w:val="21"/>
                <w:szCs w:val="21"/>
              </w:rPr>
              <w:t xml:space="preserve"> </w:t>
            </w:r>
            <w:r>
              <w:rPr>
                <w:rFonts w:hint="eastAsia"/>
                <w:b/>
                <w:bCs/>
                <w:color w:val="auto"/>
                <w:sz w:val="21"/>
                <w:szCs w:val="21"/>
                <w:lang w:val="en-US" w:eastAsia="zh-CN"/>
              </w:rPr>
              <w:t xml:space="preserve"> </w:t>
            </w:r>
            <w:r>
              <w:rPr>
                <w:rFonts w:hint="eastAsia"/>
                <w:b/>
                <w:bCs/>
                <w:color w:val="auto"/>
                <w:sz w:val="21"/>
                <w:szCs w:val="21"/>
              </w:rPr>
              <w:t>废水监测计划一览表</w:t>
            </w:r>
          </w:p>
          <w:tbl>
            <w:tblPr>
              <w:tblStyle w:val="19"/>
              <w:tblW w:w="7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04"/>
              <w:gridCol w:w="1355"/>
              <w:gridCol w:w="109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6" w:type="dxa"/>
                  <w:gridSpan w:val="2"/>
                  <w:noWrap w:val="0"/>
                  <w:vAlign w:val="center"/>
                </w:tcPr>
                <w:p>
                  <w:pPr>
                    <w:jc w:val="center"/>
                    <w:rPr>
                      <w:b/>
                      <w:bCs/>
                      <w:color w:val="auto"/>
                      <w:sz w:val="21"/>
                      <w:szCs w:val="21"/>
                    </w:rPr>
                  </w:pPr>
                  <w:r>
                    <w:rPr>
                      <w:rFonts w:hint="eastAsia"/>
                      <w:b/>
                      <w:bCs/>
                      <w:color w:val="auto"/>
                      <w:sz w:val="21"/>
                      <w:szCs w:val="21"/>
                    </w:rPr>
                    <w:t>监测点位</w:t>
                  </w:r>
                </w:p>
              </w:tc>
              <w:tc>
                <w:tcPr>
                  <w:tcW w:w="1355" w:type="dxa"/>
                  <w:noWrap w:val="0"/>
                  <w:vAlign w:val="center"/>
                </w:tcPr>
                <w:p>
                  <w:pPr>
                    <w:jc w:val="center"/>
                    <w:rPr>
                      <w:rFonts w:hint="eastAsia"/>
                      <w:b/>
                      <w:bCs/>
                      <w:color w:val="auto"/>
                      <w:sz w:val="21"/>
                      <w:szCs w:val="21"/>
                    </w:rPr>
                  </w:pPr>
                  <w:r>
                    <w:rPr>
                      <w:rFonts w:hint="eastAsia"/>
                      <w:b/>
                      <w:bCs/>
                      <w:color w:val="auto"/>
                      <w:sz w:val="21"/>
                      <w:szCs w:val="21"/>
                    </w:rPr>
                    <w:t>监测因子</w:t>
                  </w:r>
                </w:p>
              </w:tc>
              <w:tc>
                <w:tcPr>
                  <w:tcW w:w="1095" w:type="dxa"/>
                  <w:noWrap w:val="0"/>
                  <w:vAlign w:val="center"/>
                </w:tcPr>
                <w:p>
                  <w:pPr>
                    <w:jc w:val="center"/>
                    <w:rPr>
                      <w:rFonts w:hint="eastAsia"/>
                      <w:b/>
                      <w:bCs/>
                      <w:color w:val="auto"/>
                      <w:sz w:val="21"/>
                      <w:szCs w:val="21"/>
                    </w:rPr>
                  </w:pPr>
                  <w:r>
                    <w:rPr>
                      <w:rFonts w:hint="eastAsia"/>
                      <w:b/>
                      <w:bCs/>
                      <w:color w:val="auto"/>
                      <w:sz w:val="21"/>
                      <w:szCs w:val="21"/>
                    </w:rPr>
                    <w:t>监测频次</w:t>
                  </w:r>
                </w:p>
              </w:tc>
              <w:tc>
                <w:tcPr>
                  <w:tcW w:w="2941" w:type="dxa"/>
                  <w:noWrap w:val="0"/>
                  <w:vAlign w:val="center"/>
                </w:tcPr>
                <w:p>
                  <w:pPr>
                    <w:jc w:val="center"/>
                    <w:rPr>
                      <w:rFonts w:hint="eastAsia"/>
                      <w:b/>
                      <w:bCs/>
                      <w:color w:val="auto"/>
                      <w:sz w:val="21"/>
                      <w:szCs w:val="21"/>
                    </w:rPr>
                  </w:pPr>
                  <w:r>
                    <w:rPr>
                      <w:rFonts w:hint="eastAsia"/>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2" w:type="dxa"/>
                  <w:noWrap w:val="0"/>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生活污水排放口</w:t>
                  </w:r>
                </w:p>
              </w:tc>
              <w:tc>
                <w:tcPr>
                  <w:tcW w:w="704" w:type="dxa"/>
                  <w:noWrap w:val="0"/>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DW001</w:t>
                  </w:r>
                </w:p>
                <w:p>
                  <w:pPr>
                    <w:adjustRightInd w:val="0"/>
                    <w:snapToGrid w:val="0"/>
                    <w:jc w:val="center"/>
                    <w:rPr>
                      <w:rFonts w:hint="eastAsia"/>
                      <w:color w:val="auto"/>
                      <w:sz w:val="21"/>
                      <w:szCs w:val="21"/>
                      <w:lang w:val="en-US" w:eastAsia="zh-CN"/>
                    </w:rPr>
                  </w:pPr>
                </w:p>
              </w:tc>
              <w:tc>
                <w:tcPr>
                  <w:tcW w:w="1355" w:type="dxa"/>
                  <w:noWrap w:val="0"/>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化学需氧量、氨氮</w:t>
                  </w:r>
                </w:p>
              </w:tc>
              <w:tc>
                <w:tcPr>
                  <w:tcW w:w="1095" w:type="dxa"/>
                  <w:noWrap w:val="0"/>
                  <w:vAlign w:val="center"/>
                </w:tcPr>
                <w:p>
                  <w:pPr>
                    <w:adjustRightInd w:val="0"/>
                    <w:snapToGrid w:val="0"/>
                    <w:jc w:val="center"/>
                    <w:rPr>
                      <w:rFonts w:hint="default"/>
                      <w:color w:val="auto"/>
                      <w:sz w:val="21"/>
                      <w:szCs w:val="21"/>
                      <w:lang w:val="en-US" w:eastAsia="zh-CN"/>
                    </w:rPr>
                  </w:pPr>
                  <w:r>
                    <w:rPr>
                      <w:rFonts w:hint="eastAsia"/>
                      <w:color w:val="auto"/>
                      <w:sz w:val="21"/>
                      <w:szCs w:val="21"/>
                      <w:lang w:val="en-US" w:eastAsia="zh-CN"/>
                    </w:rPr>
                    <w:t>1次/年</w:t>
                  </w:r>
                </w:p>
              </w:tc>
              <w:tc>
                <w:tcPr>
                  <w:tcW w:w="2941" w:type="dxa"/>
                  <w:noWrap w:val="0"/>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污水综合排放标准》（GB8978-1996）中表4三级标准要求，同时满足开发区污水处理厂接管限值</w:t>
                  </w:r>
                </w:p>
              </w:tc>
            </w:tr>
          </w:tbl>
          <w:p>
            <w:pPr>
              <w:adjustRightInd w:val="0"/>
              <w:snapToGrid w:val="0"/>
              <w:spacing w:line="360" w:lineRule="auto"/>
              <w:ind w:firstLine="422" w:firstLineChars="200"/>
              <w:jc w:val="center"/>
              <w:rPr>
                <w:b/>
                <w:bCs/>
                <w:color w:val="auto"/>
                <w:sz w:val="21"/>
                <w:szCs w:val="21"/>
              </w:rPr>
            </w:pPr>
            <w:r>
              <w:rPr>
                <w:rFonts w:hint="eastAsia"/>
                <w:b/>
                <w:bCs/>
                <w:color w:val="auto"/>
                <w:sz w:val="21"/>
                <w:szCs w:val="21"/>
              </w:rPr>
              <w:t>表</w:t>
            </w:r>
            <w:r>
              <w:rPr>
                <w:rFonts w:hint="eastAsia"/>
                <w:b/>
                <w:bCs/>
                <w:color w:val="auto"/>
                <w:sz w:val="21"/>
                <w:szCs w:val="21"/>
                <w:lang w:val="en-US" w:eastAsia="zh-CN"/>
              </w:rPr>
              <w:t>5-3</w:t>
            </w:r>
            <w:r>
              <w:rPr>
                <w:rFonts w:hint="eastAsia"/>
                <w:b/>
                <w:bCs/>
                <w:color w:val="auto"/>
                <w:sz w:val="21"/>
                <w:szCs w:val="21"/>
              </w:rPr>
              <w:t xml:space="preserve"> </w:t>
            </w:r>
            <w:r>
              <w:rPr>
                <w:rFonts w:hint="eastAsia"/>
                <w:b/>
                <w:bCs/>
                <w:color w:val="auto"/>
                <w:sz w:val="21"/>
                <w:szCs w:val="21"/>
                <w:lang w:val="en-US" w:eastAsia="zh-CN"/>
              </w:rPr>
              <w:t xml:space="preserve"> </w:t>
            </w:r>
            <w:r>
              <w:rPr>
                <w:rFonts w:hint="eastAsia"/>
                <w:b/>
                <w:bCs/>
                <w:color w:val="auto"/>
                <w:sz w:val="21"/>
                <w:szCs w:val="21"/>
              </w:rPr>
              <w:t>噪声监测计划一览表</w:t>
            </w:r>
          </w:p>
          <w:tbl>
            <w:tblPr>
              <w:tblStyle w:val="19"/>
              <w:tblW w:w="7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718"/>
              <w:gridCol w:w="1283"/>
              <w:gridCol w:w="3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75"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监测点位</w:t>
                  </w:r>
                </w:p>
              </w:tc>
              <w:tc>
                <w:tcPr>
                  <w:tcW w:w="1718"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监测因子</w:t>
                  </w:r>
                </w:p>
              </w:tc>
              <w:tc>
                <w:tcPr>
                  <w:tcW w:w="1283"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监测频次</w:t>
                  </w:r>
                </w:p>
              </w:tc>
              <w:tc>
                <w:tcPr>
                  <w:tcW w:w="3011" w:type="dxa"/>
                  <w:noWrap w:val="0"/>
                  <w:vAlign w:val="center"/>
                </w:tcPr>
                <w:p>
                  <w:pPr>
                    <w:pStyle w:val="9"/>
                    <w:spacing w:line="240" w:lineRule="auto"/>
                    <w:jc w:val="center"/>
                    <w:rPr>
                      <w:rFonts w:hint="eastAsia"/>
                      <w:b/>
                      <w:bCs/>
                      <w:color w:val="auto"/>
                      <w:sz w:val="21"/>
                      <w:szCs w:val="21"/>
                      <w:lang w:val="en-US" w:eastAsia="zh-CN"/>
                    </w:rPr>
                  </w:pPr>
                  <w:r>
                    <w:rPr>
                      <w:rFonts w:hint="eastAsia"/>
                      <w:b/>
                      <w:bCs/>
                      <w:color w:val="auto"/>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75" w:type="dxa"/>
                  <w:noWrap w:val="0"/>
                  <w:vAlign w:val="center"/>
                </w:tcPr>
                <w:p>
                  <w:pPr>
                    <w:pStyle w:val="9"/>
                    <w:spacing w:line="240" w:lineRule="auto"/>
                    <w:jc w:val="center"/>
                    <w:rPr>
                      <w:rFonts w:hint="eastAsia"/>
                      <w:color w:val="auto"/>
                      <w:sz w:val="21"/>
                      <w:szCs w:val="21"/>
                      <w:lang w:val="en-US" w:eastAsia="zh-CN"/>
                    </w:rPr>
                  </w:pPr>
                  <w:r>
                    <w:rPr>
                      <w:rFonts w:hint="eastAsia"/>
                      <w:color w:val="auto"/>
                      <w:sz w:val="21"/>
                      <w:szCs w:val="21"/>
                      <w:lang w:val="en-US" w:eastAsia="zh-CN"/>
                    </w:rPr>
                    <w:t>厂界</w:t>
                  </w:r>
                </w:p>
              </w:tc>
              <w:tc>
                <w:tcPr>
                  <w:tcW w:w="1718" w:type="dxa"/>
                  <w:noWrap w:val="0"/>
                  <w:vAlign w:val="center"/>
                </w:tcPr>
                <w:p>
                  <w:pPr>
                    <w:widowControl/>
                    <w:jc w:val="center"/>
                    <w:rPr>
                      <w:color w:val="auto"/>
                      <w:sz w:val="21"/>
                      <w:szCs w:val="21"/>
                    </w:rPr>
                  </w:pPr>
                  <w:r>
                    <w:rPr>
                      <w:rFonts w:hint="eastAsia" w:ascii="宋体" w:hAnsi="宋体" w:cs="宋体"/>
                      <w:color w:val="auto"/>
                      <w:kern w:val="0"/>
                      <w:sz w:val="21"/>
                      <w:szCs w:val="21"/>
                      <w:lang w:bidi="ar"/>
                    </w:rPr>
                    <w:t xml:space="preserve">等效连续 </w:t>
                  </w:r>
                  <w:r>
                    <w:rPr>
                      <w:color w:val="auto"/>
                      <w:kern w:val="0"/>
                      <w:sz w:val="21"/>
                      <w:szCs w:val="21"/>
                      <w:lang w:bidi="ar"/>
                    </w:rPr>
                    <w:t xml:space="preserve">A </w:t>
                  </w:r>
                  <w:r>
                    <w:rPr>
                      <w:rFonts w:hint="eastAsia" w:ascii="宋体" w:hAnsi="宋体" w:cs="宋体"/>
                      <w:color w:val="auto"/>
                      <w:kern w:val="0"/>
                      <w:sz w:val="21"/>
                      <w:szCs w:val="21"/>
                      <w:lang w:bidi="ar"/>
                    </w:rPr>
                    <w:t>声级</w:t>
                  </w:r>
                </w:p>
              </w:tc>
              <w:tc>
                <w:tcPr>
                  <w:tcW w:w="1283" w:type="dxa"/>
                  <w:noWrap w:val="0"/>
                  <w:vAlign w:val="center"/>
                </w:tcPr>
                <w:p>
                  <w:pPr>
                    <w:widowControl/>
                    <w:jc w:val="center"/>
                    <w:rPr>
                      <w:color w:val="auto"/>
                      <w:sz w:val="21"/>
                      <w:szCs w:val="21"/>
                    </w:rPr>
                  </w:pPr>
                  <w:r>
                    <w:rPr>
                      <w:color w:val="auto"/>
                      <w:kern w:val="0"/>
                      <w:sz w:val="21"/>
                      <w:szCs w:val="21"/>
                      <w:lang w:bidi="ar"/>
                    </w:rPr>
                    <w:t xml:space="preserve">1 </w:t>
                  </w:r>
                  <w:r>
                    <w:rPr>
                      <w:rFonts w:hint="eastAsia" w:ascii="宋体" w:hAnsi="宋体" w:cs="宋体"/>
                      <w:color w:val="auto"/>
                      <w:kern w:val="0"/>
                      <w:sz w:val="21"/>
                      <w:szCs w:val="21"/>
                      <w:lang w:bidi="ar"/>
                    </w:rPr>
                    <w:t>次</w:t>
                  </w:r>
                  <w:r>
                    <w:rPr>
                      <w:color w:val="auto"/>
                      <w:kern w:val="0"/>
                      <w:sz w:val="21"/>
                      <w:szCs w:val="21"/>
                      <w:lang w:bidi="ar"/>
                    </w:rPr>
                    <w:t>/</w:t>
                  </w:r>
                  <w:r>
                    <w:rPr>
                      <w:rFonts w:hint="eastAsia" w:ascii="宋体" w:hAnsi="宋体" w:cs="宋体"/>
                      <w:color w:val="auto"/>
                      <w:kern w:val="0"/>
                      <w:sz w:val="21"/>
                      <w:szCs w:val="21"/>
                      <w:lang w:bidi="ar"/>
                    </w:rPr>
                    <w:t>季度</w:t>
                  </w:r>
                </w:p>
              </w:tc>
              <w:tc>
                <w:tcPr>
                  <w:tcW w:w="3011" w:type="dxa"/>
                  <w:noWrap w:val="0"/>
                  <w:vAlign w:val="center"/>
                </w:tcPr>
                <w:p>
                  <w:pPr>
                    <w:pStyle w:val="9"/>
                    <w:spacing w:line="240" w:lineRule="auto"/>
                    <w:jc w:val="center"/>
                    <w:rPr>
                      <w:color w:val="auto"/>
                      <w:sz w:val="21"/>
                      <w:szCs w:val="21"/>
                      <w:lang w:val="en-US" w:eastAsia="zh-CN"/>
                    </w:rPr>
                  </w:pPr>
                  <w:r>
                    <w:rPr>
                      <w:color w:val="auto"/>
                      <w:sz w:val="21"/>
                      <w:szCs w:val="21"/>
                      <w:lang w:val="en-US" w:eastAsia="zh-CN"/>
                    </w:rPr>
                    <w:t>《工业企业厂界环境噪声排放标准》（GB12348-2008）中的</w:t>
                  </w:r>
                  <w:r>
                    <w:rPr>
                      <w:rFonts w:hint="eastAsia"/>
                      <w:color w:val="auto"/>
                      <w:sz w:val="21"/>
                      <w:szCs w:val="21"/>
                      <w:lang w:val="en-US" w:eastAsia="zh-CN"/>
                    </w:rPr>
                    <w:t>3</w:t>
                  </w:r>
                  <w:r>
                    <w:rPr>
                      <w:color w:val="auto"/>
                      <w:sz w:val="21"/>
                      <w:szCs w:val="21"/>
                      <w:lang w:val="en-US" w:eastAsia="zh-CN"/>
                    </w:rPr>
                    <w:t>类标准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both"/>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w:t>
            </w:r>
            <w:r>
              <w:rPr>
                <w:rFonts w:hint="eastAsia" w:ascii="Times New Roman" w:hAnsi="Times New Roman" w:cs="Times New Roman"/>
                <w:b w:val="0"/>
                <w:bCs w:val="0"/>
                <w:color w:val="auto"/>
                <w:sz w:val="21"/>
                <w:szCs w:val="21"/>
                <w:lang w:val="en-US" w:eastAsia="zh-CN"/>
              </w:rPr>
              <w:t>本项目为日用塑料制品制造行业，根据《固定污染源排污许可分类管理名录》（2019版），确定为</w:t>
            </w:r>
            <w:r>
              <w:rPr>
                <w:rFonts w:hint="eastAsia" w:ascii="Times New Roman" w:hAnsi="Times New Roman" w:cs="Times New Roman"/>
                <w:b/>
                <w:bCs/>
                <w:color w:val="auto"/>
                <w:sz w:val="21"/>
                <w:szCs w:val="21"/>
                <w:lang w:val="en-US" w:eastAsia="zh-CN"/>
              </w:rPr>
              <w:t>登记</w:t>
            </w:r>
            <w:r>
              <w:rPr>
                <w:rFonts w:hint="eastAsia" w:ascii="Times New Roman" w:hAnsi="Times New Roman" w:cs="Times New Roman"/>
                <w:b w:val="0"/>
                <w:bCs w:val="0"/>
                <w:color w:val="auto"/>
                <w:sz w:val="21"/>
                <w:szCs w:val="21"/>
                <w:lang w:val="en-US" w:eastAsia="zh-CN"/>
              </w:rPr>
              <w:t>管理</w:t>
            </w:r>
            <w:r>
              <w:rPr>
                <w:rFonts w:hint="eastAsia" w:ascii="Times New Roman" w:hAnsi="Times New Roman" w:cs="Times New Roman"/>
                <w:b/>
                <w:bCs/>
                <w:color w:val="auto"/>
                <w:sz w:val="21"/>
                <w:szCs w:val="21"/>
                <w:lang w:val="en-US" w:eastAsia="zh-CN"/>
              </w:rPr>
              <w:t>。</w:t>
            </w:r>
          </w:p>
          <w:p>
            <w:pPr>
              <w:adjustRightInd w:val="0"/>
              <w:snapToGrid w:val="0"/>
              <w:jc w:val="center"/>
              <w:rPr>
                <w:rFonts w:hint="default" w:ascii="宋体" w:hAnsi="宋体" w:eastAsia="宋体" w:cs="宋体"/>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474" w:type="dxa"/>
            <w:noWrap w:val="0"/>
            <w:vAlign w:val="center"/>
          </w:tcPr>
          <w:p>
            <w:pPr>
              <w:adjustRightInd w:val="0"/>
              <w:snapToGrid w:val="0"/>
              <w:jc w:val="center"/>
              <w:rPr>
                <w:rFonts w:hint="eastAsia" w:ascii="宋体" w:hAnsi="宋体" w:cs="宋体"/>
                <w:color w:val="auto"/>
                <w:spacing w:val="-8"/>
                <w:szCs w:val="21"/>
              </w:rPr>
            </w:pPr>
          </w:p>
        </w:tc>
        <w:tc>
          <w:tcPr>
            <w:tcW w:w="7326" w:type="dxa"/>
            <w:gridSpan w:val="4"/>
            <w:noWrap w:val="0"/>
            <w:vAlign w:val="center"/>
          </w:tcPr>
          <w:p>
            <w:pPr>
              <w:adjustRightInd w:val="0"/>
              <w:snapToGrid w:val="0"/>
              <w:jc w:val="left"/>
              <w:rPr>
                <w:rFonts w:hint="eastAsia" w:ascii="宋体" w:hAnsi="宋体" w:cs="宋体"/>
                <w:color w:val="auto"/>
                <w:szCs w:val="21"/>
              </w:rPr>
            </w:pPr>
          </w:p>
          <w:p>
            <w:pPr>
              <w:adjustRightInd w:val="0"/>
              <w:snapToGrid w:val="0"/>
              <w:jc w:val="left"/>
              <w:rPr>
                <w:rFonts w:hint="eastAsia" w:ascii="宋体" w:hAnsi="宋体" w:cs="宋体"/>
                <w:color w:val="auto"/>
                <w:szCs w:val="21"/>
              </w:rPr>
            </w:pPr>
          </w:p>
          <w:p>
            <w:pPr>
              <w:adjustRightInd w:val="0"/>
              <w:snapToGrid w:val="0"/>
              <w:jc w:val="left"/>
              <w:rPr>
                <w:rFonts w:hint="eastAsia" w:ascii="宋体" w:hAnsi="宋体" w:cs="宋体"/>
                <w:color w:val="auto"/>
                <w:szCs w:val="21"/>
              </w:rPr>
            </w:pPr>
          </w:p>
          <w:p>
            <w:pPr>
              <w:adjustRightInd w:val="0"/>
              <w:snapToGrid w:val="0"/>
              <w:jc w:val="left"/>
              <w:rPr>
                <w:rFonts w:hint="eastAsia" w:ascii="宋体" w:hAnsi="宋体" w:cs="宋体"/>
                <w:color w:val="auto"/>
                <w:szCs w:val="21"/>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pStyle w:val="25"/>
              <w:rPr>
                <w:rFonts w:hint="eastAsia" w:ascii="宋体" w:hAnsi="宋体" w:cs="宋体"/>
                <w:color w:val="auto"/>
                <w:szCs w:val="21"/>
                <w:lang w:eastAsia="zh-CN"/>
              </w:rPr>
            </w:pPr>
          </w:p>
          <w:p>
            <w:pPr>
              <w:adjustRightInd w:val="0"/>
              <w:snapToGrid w:val="0"/>
              <w:jc w:val="left"/>
              <w:rPr>
                <w:rFonts w:ascii="宋体" w:hAnsi="宋体" w:cs="宋体"/>
                <w:color w:val="auto"/>
                <w:szCs w:val="21"/>
              </w:rPr>
            </w:pPr>
          </w:p>
        </w:tc>
      </w:tr>
    </w:tbl>
    <w:p>
      <w:pPr>
        <w:pStyle w:val="17"/>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color w:val="auto"/>
                <w:spacing w:val="0"/>
                <w:sz w:val="24"/>
                <w:szCs w:val="24"/>
                <w:lang w:val="en-US" w:eastAsia="zh-CN"/>
              </w:rPr>
            </w:pPr>
            <w:r>
              <w:rPr>
                <w:rFonts w:hint="eastAsia" w:ascii="Times New Roman" w:hAnsi="Times New Roman" w:cs="Times New Roman"/>
                <w:b/>
                <w:color w:val="auto"/>
                <w:spacing w:val="0"/>
                <w:sz w:val="24"/>
                <w:szCs w:val="24"/>
                <w:lang w:val="en-US" w:eastAsia="zh-CN"/>
              </w:rPr>
              <w:t>本项目建成后主要从事PET塑料瓶、H</w:t>
            </w:r>
            <w:r>
              <w:rPr>
                <w:rFonts w:hint="eastAsia"/>
                <w:b/>
                <w:color w:val="auto"/>
                <w:spacing w:val="0"/>
                <w:sz w:val="24"/>
                <w:szCs w:val="24"/>
                <w:lang w:val="en-US" w:eastAsia="zh-CN"/>
              </w:rPr>
              <w:t>DPE塑料瓶</w:t>
            </w:r>
            <w:r>
              <w:rPr>
                <w:rFonts w:hint="eastAsia" w:ascii="Times New Roman" w:hAnsi="Times New Roman"/>
                <w:b/>
                <w:color w:val="auto"/>
                <w:spacing w:val="0"/>
                <w:sz w:val="24"/>
                <w:szCs w:val="24"/>
                <w:lang w:val="en-US" w:eastAsia="zh-CN"/>
              </w:rPr>
              <w:t>生产。项目在生产过程中</w:t>
            </w:r>
            <w:r>
              <w:rPr>
                <w:rFonts w:hint="eastAsia"/>
                <w:b/>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val="0"/>
                <w:bCs/>
                <w:color w:val="auto"/>
                <w:spacing w:val="0"/>
                <w:sz w:val="24"/>
                <w:szCs w:val="24"/>
                <w:lang w:val="en-US" w:eastAsia="zh-CN"/>
              </w:rPr>
              <w:t>对</w:t>
            </w:r>
            <w:r>
              <w:rPr>
                <w:rFonts w:hint="eastAsia" w:ascii="Times New Roman" w:hAnsi="Times New Roman" w:eastAsia="宋体" w:cs="Times New Roman"/>
                <w:b/>
                <w:bCs w:val="0"/>
                <w:color w:val="auto"/>
                <w:spacing w:val="0"/>
                <w:sz w:val="24"/>
                <w:szCs w:val="24"/>
                <w:lang w:val="en-US" w:eastAsia="zh-CN"/>
              </w:rPr>
              <w:t>注塑、吹塑的加热段</w:t>
            </w:r>
            <w:r>
              <w:rPr>
                <w:rFonts w:hint="eastAsia" w:ascii="Times New Roman" w:hAnsi="Times New Roman" w:eastAsia="宋体" w:cs="Times New Roman"/>
                <w:b w:val="0"/>
                <w:bCs/>
                <w:color w:val="auto"/>
                <w:spacing w:val="0"/>
                <w:sz w:val="24"/>
                <w:szCs w:val="24"/>
                <w:lang w:val="en-US" w:eastAsia="zh-CN"/>
              </w:rPr>
              <w:t>为全封闭，</w:t>
            </w:r>
            <w:r>
              <w:rPr>
                <w:rFonts w:hint="eastAsia" w:ascii="Times New Roman" w:hAnsi="Times New Roman" w:eastAsia="宋体" w:cs="Times New Roman"/>
                <w:b/>
                <w:bCs w:val="0"/>
                <w:color w:val="auto"/>
                <w:spacing w:val="0"/>
                <w:sz w:val="24"/>
                <w:szCs w:val="24"/>
                <w:lang w:val="en-US" w:eastAsia="zh-CN"/>
              </w:rPr>
              <w:t>出料段</w:t>
            </w:r>
            <w:r>
              <w:rPr>
                <w:rFonts w:hint="eastAsia" w:ascii="Times New Roman" w:hAnsi="Times New Roman" w:eastAsia="宋体" w:cs="Times New Roman"/>
                <w:b w:val="0"/>
                <w:bCs/>
                <w:color w:val="auto"/>
                <w:spacing w:val="0"/>
                <w:sz w:val="24"/>
                <w:szCs w:val="24"/>
                <w:lang w:val="en-US" w:eastAsia="zh-CN"/>
              </w:rPr>
              <w:t>采取集气罩局部收集后，引入二级活性炭吸附装置处理，尾气通过15m排气筒（DA001）实现达标排放。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color w:val="auto"/>
                <w:spacing w:val="0"/>
                <w:sz w:val="24"/>
                <w:szCs w:val="24"/>
                <w:lang w:val="en-US" w:eastAsia="zh-CN"/>
              </w:rPr>
            </w:pPr>
            <w:r>
              <w:rPr>
                <w:rFonts w:hint="eastAsia" w:ascii="Times New Roman" w:hAnsi="Times New Roman" w:eastAsia="宋体" w:cs="Times New Roman"/>
                <w:b/>
                <w:color w:val="auto"/>
                <w:spacing w:val="0"/>
                <w:sz w:val="24"/>
                <w:szCs w:val="24"/>
                <w:lang w:val="en-US" w:eastAsia="zh-CN"/>
              </w:rPr>
              <w:t>生活污水</w:t>
            </w:r>
            <w:r>
              <w:rPr>
                <w:rFonts w:hint="eastAsia" w:ascii="Times New Roman" w:hAnsi="Times New Roman" w:eastAsia="宋体" w:cs="Times New Roman"/>
                <w:b w:val="0"/>
                <w:bCs/>
                <w:color w:val="auto"/>
                <w:spacing w:val="0"/>
                <w:sz w:val="24"/>
                <w:szCs w:val="24"/>
                <w:lang w:val="en-US" w:eastAsia="zh-CN"/>
              </w:rPr>
              <w:t>经化粪池预处理后</w:t>
            </w:r>
            <w:r>
              <w:rPr>
                <w:rFonts w:hint="eastAsia" w:cs="Times New Roman"/>
                <w:b w:val="0"/>
                <w:bCs/>
                <w:color w:val="auto"/>
                <w:spacing w:val="0"/>
                <w:sz w:val="24"/>
                <w:szCs w:val="24"/>
                <w:lang w:val="en-US" w:eastAsia="zh-CN"/>
              </w:rPr>
              <w:t>接管舒城经济开发区</w:t>
            </w:r>
            <w:r>
              <w:rPr>
                <w:rFonts w:hint="eastAsia" w:ascii="Times New Roman" w:hAnsi="Times New Roman" w:eastAsia="宋体" w:cs="Times New Roman"/>
                <w:b w:val="0"/>
                <w:bCs/>
                <w:color w:val="auto"/>
                <w:spacing w:val="0"/>
                <w:sz w:val="24"/>
                <w:szCs w:val="24"/>
                <w:lang w:val="en-US" w:eastAsia="zh-CN"/>
              </w:rPr>
              <w:t>污水处理厂处理</w:t>
            </w:r>
            <w:r>
              <w:rPr>
                <w:rFonts w:hint="eastAsia" w:ascii="Times New Roman" w:hAnsi="Times New Roman"/>
                <w:b/>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color w:val="auto"/>
                <w:spacing w:val="0"/>
                <w:sz w:val="24"/>
                <w:szCs w:val="24"/>
                <w:lang w:val="en-US" w:eastAsia="zh-CN"/>
              </w:rPr>
            </w:pPr>
            <w:r>
              <w:rPr>
                <w:rFonts w:hint="eastAsia" w:ascii="Times New Roman" w:hAnsi="Times New Roman" w:eastAsia="宋体" w:cs="Times New Roman"/>
                <w:b w:val="0"/>
                <w:bCs/>
                <w:color w:val="auto"/>
                <w:spacing w:val="0"/>
                <w:sz w:val="24"/>
                <w:szCs w:val="24"/>
                <w:lang w:val="en-US" w:eastAsia="zh-CN"/>
              </w:rPr>
              <w:t>生产中</w:t>
            </w:r>
            <w:r>
              <w:rPr>
                <w:rFonts w:hint="eastAsia" w:ascii="Times New Roman" w:hAnsi="Times New Roman" w:eastAsia="宋体" w:cs="Times New Roman"/>
                <w:b/>
                <w:bCs w:val="0"/>
                <w:color w:val="auto"/>
                <w:spacing w:val="0"/>
                <w:sz w:val="24"/>
                <w:szCs w:val="24"/>
                <w:lang w:val="en-US" w:eastAsia="zh-CN"/>
              </w:rPr>
              <w:t>注塑机、吹塑机等高噪声设备</w:t>
            </w:r>
            <w:r>
              <w:rPr>
                <w:rFonts w:hint="eastAsia" w:ascii="Times New Roman" w:hAnsi="Times New Roman" w:eastAsia="宋体" w:cs="Times New Roman"/>
                <w:b w:val="0"/>
                <w:bCs/>
                <w:color w:val="auto"/>
                <w:spacing w:val="0"/>
                <w:sz w:val="24"/>
                <w:szCs w:val="24"/>
                <w:lang w:val="en-US" w:eastAsia="zh-CN"/>
              </w:rPr>
              <w:t>噪声采取减振措施、车间隔声、定期维护，实</w:t>
            </w:r>
            <w:r>
              <w:rPr>
                <w:rFonts w:hint="eastAsia" w:ascii="Times New Roman" w:hAnsi="Times New Roman"/>
                <w:b w:val="0"/>
                <w:bCs/>
                <w:color w:val="auto"/>
                <w:spacing w:val="0"/>
                <w:sz w:val="24"/>
                <w:szCs w:val="24"/>
                <w:lang w:val="en-US" w:eastAsia="zh-CN"/>
              </w:rPr>
              <w:t>现达标排放</w:t>
            </w:r>
            <w:r>
              <w:rPr>
                <w:rFonts w:hint="eastAsia" w:ascii="Times New Roman" w:hAnsi="Times New Roman"/>
                <w:b/>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color w:val="auto"/>
                <w:spacing w:val="0"/>
                <w:sz w:val="24"/>
                <w:szCs w:val="24"/>
                <w:lang w:val="en-US" w:eastAsia="zh-CN"/>
              </w:rPr>
            </w:pPr>
            <w:r>
              <w:rPr>
                <w:rFonts w:hint="eastAsia" w:ascii="Times New Roman" w:hAnsi="Times New Roman"/>
                <w:b/>
                <w:color w:val="auto"/>
                <w:spacing w:val="0"/>
                <w:sz w:val="24"/>
                <w:szCs w:val="24"/>
                <w:lang w:val="en-US" w:eastAsia="zh-CN"/>
              </w:rPr>
              <w:t>不合格产品</w:t>
            </w:r>
            <w:r>
              <w:rPr>
                <w:rFonts w:hint="eastAsia"/>
                <w:b/>
                <w:color w:val="auto"/>
                <w:spacing w:val="0"/>
                <w:sz w:val="24"/>
                <w:szCs w:val="24"/>
                <w:lang w:val="en-US" w:eastAsia="zh-CN"/>
              </w:rPr>
              <w:t>、边角料</w:t>
            </w:r>
            <w:r>
              <w:rPr>
                <w:rFonts w:hint="eastAsia"/>
                <w:b w:val="0"/>
                <w:bCs/>
                <w:color w:val="auto"/>
                <w:spacing w:val="0"/>
                <w:sz w:val="24"/>
                <w:szCs w:val="24"/>
                <w:lang w:val="en-US" w:eastAsia="zh-CN"/>
              </w:rPr>
              <w:t>、</w:t>
            </w:r>
            <w:r>
              <w:rPr>
                <w:rFonts w:hint="eastAsia" w:ascii="Times New Roman" w:hAnsi="Times New Roman"/>
                <w:b/>
                <w:color w:val="auto"/>
                <w:spacing w:val="0"/>
                <w:sz w:val="24"/>
                <w:szCs w:val="24"/>
                <w:lang w:val="en-US" w:eastAsia="zh-CN"/>
              </w:rPr>
              <w:t>废</w:t>
            </w:r>
            <w:r>
              <w:rPr>
                <w:rFonts w:hint="eastAsia"/>
                <w:b/>
                <w:color w:val="auto"/>
                <w:spacing w:val="0"/>
                <w:sz w:val="24"/>
                <w:szCs w:val="24"/>
                <w:lang w:val="en-US" w:eastAsia="zh-CN"/>
              </w:rPr>
              <w:t>包装材料</w:t>
            </w:r>
            <w:r>
              <w:rPr>
                <w:rFonts w:hint="eastAsia"/>
                <w:spacing w:val="0"/>
                <w:sz w:val="24"/>
                <w:szCs w:val="24"/>
              </w:rPr>
              <w:t>产生后暂存在一般固废暂存间，</w:t>
            </w:r>
            <w:r>
              <w:rPr>
                <w:rFonts w:hint="eastAsia"/>
                <w:b w:val="0"/>
                <w:bCs/>
                <w:color w:val="auto"/>
                <w:spacing w:val="0"/>
                <w:sz w:val="24"/>
                <w:szCs w:val="24"/>
                <w:lang w:val="en-US" w:eastAsia="zh-CN"/>
              </w:rPr>
              <w:t>集中收集后外售；</w:t>
            </w:r>
            <w:r>
              <w:rPr>
                <w:rFonts w:hint="eastAsia" w:ascii="Times New Roman" w:hAnsi="Times New Roman"/>
                <w:b/>
                <w:color w:val="auto"/>
                <w:spacing w:val="0"/>
                <w:sz w:val="24"/>
                <w:szCs w:val="24"/>
                <w:lang w:val="en-US" w:eastAsia="zh-CN"/>
              </w:rPr>
              <w:t>废活性炭</w:t>
            </w:r>
            <w:r>
              <w:rPr>
                <w:rFonts w:hint="eastAsia"/>
                <w:b/>
                <w:color w:val="auto"/>
                <w:spacing w:val="0"/>
                <w:sz w:val="24"/>
                <w:szCs w:val="24"/>
                <w:lang w:val="en-US" w:eastAsia="zh-CN"/>
              </w:rPr>
              <w:t>、废机油</w:t>
            </w:r>
            <w:r>
              <w:rPr>
                <w:rFonts w:hint="eastAsia"/>
                <w:b w:val="0"/>
                <w:bCs/>
                <w:color w:val="auto"/>
                <w:spacing w:val="0"/>
                <w:sz w:val="24"/>
                <w:szCs w:val="24"/>
                <w:lang w:val="en-US" w:eastAsia="zh-CN"/>
              </w:rPr>
              <w:t>产生后暂存于危险废物间，定期</w:t>
            </w:r>
            <w:r>
              <w:rPr>
                <w:rFonts w:hint="eastAsia" w:ascii="Times New Roman" w:hAnsi="Times New Roman"/>
                <w:b w:val="0"/>
                <w:bCs/>
                <w:color w:val="auto"/>
                <w:spacing w:val="0"/>
                <w:sz w:val="24"/>
                <w:szCs w:val="24"/>
                <w:lang w:val="en-US" w:eastAsia="zh-CN"/>
              </w:rPr>
              <w:t>委托</w:t>
            </w:r>
            <w:r>
              <w:rPr>
                <w:rFonts w:hint="eastAsia"/>
                <w:b w:val="0"/>
                <w:bCs/>
                <w:color w:val="auto"/>
                <w:spacing w:val="0"/>
                <w:sz w:val="24"/>
                <w:szCs w:val="24"/>
                <w:lang w:val="en-US" w:eastAsia="zh-CN"/>
              </w:rPr>
              <w:t>有</w:t>
            </w:r>
            <w:r>
              <w:rPr>
                <w:rFonts w:hint="eastAsia" w:ascii="Times New Roman" w:hAnsi="Times New Roman"/>
                <w:b w:val="0"/>
                <w:bCs/>
                <w:color w:val="auto"/>
                <w:spacing w:val="0"/>
                <w:sz w:val="24"/>
                <w:szCs w:val="24"/>
                <w:lang w:val="en-US" w:eastAsia="zh-CN"/>
              </w:rPr>
              <w:t>资质单位处理处置</w:t>
            </w:r>
            <w:r>
              <w:rPr>
                <w:rFonts w:hint="eastAsia"/>
                <w:b w:val="0"/>
                <w:bCs/>
                <w:color w:val="auto"/>
                <w:spacing w:val="0"/>
                <w:sz w:val="24"/>
                <w:szCs w:val="24"/>
                <w:lang w:val="en-US" w:eastAsia="zh-CN"/>
              </w:rPr>
              <w:t>；</w:t>
            </w:r>
            <w:r>
              <w:rPr>
                <w:rFonts w:hint="eastAsia" w:ascii="Times New Roman" w:hAnsi="Times New Roman" w:eastAsia="宋体" w:cs="Times New Roman"/>
                <w:b/>
                <w:color w:val="auto"/>
                <w:spacing w:val="0"/>
                <w:sz w:val="24"/>
                <w:szCs w:val="24"/>
                <w:lang w:val="en-US" w:eastAsia="zh-CN"/>
              </w:rPr>
              <w:t>生活垃圾</w:t>
            </w:r>
            <w:r>
              <w:rPr>
                <w:rFonts w:hint="eastAsia" w:ascii="Times New Roman" w:hAnsi="Times New Roman" w:eastAsia="宋体" w:cs="Times New Roman"/>
                <w:b w:val="0"/>
                <w:bCs/>
                <w:color w:val="auto"/>
                <w:spacing w:val="0"/>
                <w:sz w:val="24"/>
                <w:szCs w:val="24"/>
                <w:lang w:val="en-US" w:eastAsia="zh-CN"/>
              </w:rPr>
              <w:t>委托环卫部门清运</w:t>
            </w:r>
            <w:r>
              <w:rPr>
                <w:rFonts w:hint="eastAsia" w:cs="Times New Roman"/>
                <w:b w:val="0"/>
                <w:bCs/>
                <w:color w:val="auto"/>
                <w:spacing w:val="0"/>
                <w:sz w:val="24"/>
                <w:szCs w:val="24"/>
                <w:lang w:val="en-US" w:eastAsia="zh-CN"/>
              </w:rPr>
              <w:t>。项目固废</w:t>
            </w:r>
            <w:r>
              <w:rPr>
                <w:rFonts w:hint="eastAsia" w:ascii="Times New Roman" w:hAnsi="Times New Roman" w:eastAsia="宋体" w:cs="Times New Roman"/>
                <w:b w:val="0"/>
                <w:bCs/>
                <w:color w:val="auto"/>
                <w:spacing w:val="0"/>
                <w:sz w:val="24"/>
                <w:szCs w:val="24"/>
                <w:lang w:val="en-US" w:eastAsia="zh-CN"/>
              </w:rPr>
              <w:t>均能</w:t>
            </w:r>
            <w:r>
              <w:rPr>
                <w:rFonts w:hint="eastAsia" w:ascii="Times New Roman" w:hAnsi="Times New Roman"/>
                <w:b w:val="0"/>
                <w:bCs/>
                <w:color w:val="auto"/>
                <w:spacing w:val="0"/>
                <w:sz w:val="24"/>
                <w:szCs w:val="24"/>
                <w:lang w:val="en-US" w:eastAsia="zh-CN"/>
              </w:rPr>
              <w:t>达到妥善处理处置，不会产生二次污染</w:t>
            </w:r>
            <w:r>
              <w:rPr>
                <w:rFonts w:hint="eastAsia" w:ascii="Times New Roman" w:hAnsi="Times New Roman"/>
                <w:b/>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color w:val="auto"/>
                <w:sz w:val="24"/>
              </w:rPr>
            </w:pPr>
            <w:r>
              <w:rPr>
                <w:rFonts w:hint="eastAsia" w:ascii="Times New Roman" w:hAnsi="Times New Roman"/>
                <w:b/>
                <w:color w:val="auto"/>
                <w:spacing w:val="0"/>
                <w:sz w:val="24"/>
                <w:szCs w:val="24"/>
                <w:lang w:val="en-US" w:eastAsia="zh-CN"/>
              </w:rPr>
              <w:t>因此，本项目在坚持</w:t>
            </w:r>
            <w:r>
              <w:rPr>
                <w:rFonts w:hint="eastAsia" w:ascii="Times New Roman" w:hAnsi="Times New Roman"/>
                <w:b/>
                <w:color w:val="auto"/>
                <w:spacing w:val="0"/>
                <w:sz w:val="24"/>
                <w:szCs w:val="24"/>
              </w:rPr>
              <w:t>“三同时”原则</w:t>
            </w:r>
            <w:r>
              <w:rPr>
                <w:rFonts w:hint="eastAsia" w:ascii="Times New Roman" w:hAnsi="Times New Roman"/>
                <w:b/>
                <w:color w:val="auto"/>
                <w:spacing w:val="0"/>
                <w:sz w:val="24"/>
                <w:szCs w:val="24"/>
                <w:lang w:eastAsia="zh-CN"/>
              </w:rPr>
              <w:t>，</w:t>
            </w:r>
            <w:r>
              <w:rPr>
                <w:rFonts w:hint="eastAsia" w:ascii="Times New Roman" w:hAnsi="Times New Roman"/>
                <w:b/>
                <w:color w:val="auto"/>
                <w:spacing w:val="0"/>
                <w:sz w:val="24"/>
                <w:szCs w:val="24"/>
                <w:lang w:val="en-US" w:eastAsia="zh-CN"/>
              </w:rPr>
              <w:t>落实本评价提出的污染防治措施后，从环境保护角度来说，项目</w:t>
            </w:r>
            <w:r>
              <w:rPr>
                <w:rFonts w:hint="eastAsia" w:ascii="Times New Roman" w:hAnsi="Times New Roman"/>
                <w:b/>
                <w:color w:val="auto"/>
                <w:spacing w:val="0"/>
                <w:sz w:val="24"/>
                <w:szCs w:val="24"/>
              </w:rPr>
              <w:t>建设是可行的</w:t>
            </w:r>
            <w:r>
              <w:rPr>
                <w:rFonts w:hint="eastAsia"/>
                <w:b/>
                <w:color w:val="auto"/>
                <w:sz w:val="24"/>
              </w:rPr>
              <w:t>。</w:t>
            </w: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rPr>
                <w:rFonts w:hint="eastAsia" w:ascii="宋体" w:cs="宋体"/>
                <w:color w:val="auto"/>
                <w:sz w:val="24"/>
              </w:rPr>
            </w:pP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7"/>
        <w:adjustRightInd w:val="0"/>
        <w:snapToGrid w:val="0"/>
        <w:spacing w:before="0" w:beforeAutospacing="0" w:after="0" w:afterAutospacing="0" w:line="360"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87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28" w:type="dxa"/>
            <w:tcBorders>
              <w:tl2br w:val="single" w:color="auto" w:sz="4" w:space="0"/>
            </w:tcBorders>
            <w:noWrap w:val="0"/>
            <w:tcMar>
              <w:left w:w="28" w:type="dxa"/>
              <w:right w:w="28" w:type="dxa"/>
            </w:tcMar>
            <w:vAlign w:val="center"/>
          </w:tcPr>
          <w:p>
            <w:pPr>
              <w:pStyle w:val="40"/>
              <w:spacing w:beforeLines="0" w:afterLines="0" w:line="240" w:lineRule="auto"/>
              <w:jc w:val="right"/>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项目</w:t>
            </w:r>
          </w:p>
          <w:p>
            <w:pPr>
              <w:pStyle w:val="40"/>
              <w:spacing w:beforeLines="0" w:afterLines="0" w:line="240" w:lineRule="auto"/>
              <w:jc w:val="left"/>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分类</w:t>
            </w:r>
          </w:p>
        </w:tc>
        <w:tc>
          <w:tcPr>
            <w:tcW w:w="1877"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污染物名称</w:t>
            </w:r>
          </w:p>
        </w:tc>
        <w:tc>
          <w:tcPr>
            <w:tcW w:w="1701"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现有工程</w:t>
            </w:r>
          </w:p>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排放量（固体废物产生量）</w:t>
            </w: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1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①</w:t>
            </w:r>
            <w:r>
              <w:rPr>
                <w:rFonts w:ascii="Times New Roman" w:eastAsia="黑体"/>
                <w:snapToGrid w:val="0"/>
                <w:color w:val="auto"/>
                <w:spacing w:val="-6"/>
                <w:kern w:val="21"/>
                <w:szCs w:val="21"/>
                <w:lang w:val="en-US" w:eastAsia="zh-CN"/>
              </w:rPr>
              <w:fldChar w:fldCharType="end"/>
            </w:r>
          </w:p>
        </w:tc>
        <w:tc>
          <w:tcPr>
            <w:tcW w:w="1276"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现有工程</w:t>
            </w:r>
          </w:p>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许可排放量</w:t>
            </w:r>
          </w:p>
          <w:p>
            <w:pPr>
              <w:pStyle w:val="40"/>
              <w:spacing w:beforeLines="0" w:afterLines="0"/>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2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snapToGrid w:val="0"/>
                <w:color w:val="auto"/>
                <w:spacing w:val="-6"/>
                <w:kern w:val="21"/>
                <w:szCs w:val="21"/>
                <w:lang w:val="en-US" w:eastAsia="zh-CN"/>
              </w:rPr>
              <w:t>②</w:t>
            </w:r>
            <w:r>
              <w:rPr>
                <w:rFonts w:ascii="Times New Roman" w:eastAsia="黑体"/>
                <w:snapToGrid w:val="0"/>
                <w:color w:val="auto"/>
                <w:spacing w:val="-6"/>
                <w:kern w:val="21"/>
                <w:szCs w:val="21"/>
                <w:lang w:val="en-US" w:eastAsia="zh-CN"/>
              </w:rPr>
              <w:fldChar w:fldCharType="end"/>
            </w:r>
          </w:p>
        </w:tc>
        <w:tc>
          <w:tcPr>
            <w:tcW w:w="1701"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在建工程</w:t>
            </w:r>
          </w:p>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排放量（固体废物产生量）</w:t>
            </w: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3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③</w:t>
            </w:r>
            <w:r>
              <w:rPr>
                <w:rFonts w:ascii="Times New Roman" w:eastAsia="黑体"/>
                <w:snapToGrid w:val="0"/>
                <w:color w:val="auto"/>
                <w:spacing w:val="-6"/>
                <w:kern w:val="21"/>
                <w:szCs w:val="21"/>
                <w:lang w:val="en-US" w:eastAsia="zh-CN"/>
              </w:rPr>
              <w:fldChar w:fldCharType="end"/>
            </w:r>
          </w:p>
        </w:tc>
        <w:tc>
          <w:tcPr>
            <w:tcW w:w="1559"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本项目</w:t>
            </w:r>
          </w:p>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排放量（固体废物产生量）</w:t>
            </w: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4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④</w:t>
            </w:r>
            <w:r>
              <w:rPr>
                <w:rFonts w:ascii="Times New Roman" w:eastAsia="黑体"/>
                <w:snapToGrid w:val="0"/>
                <w:color w:val="auto"/>
                <w:spacing w:val="-6"/>
                <w:kern w:val="21"/>
                <w:szCs w:val="21"/>
                <w:lang w:val="en-US" w:eastAsia="zh-CN"/>
              </w:rPr>
              <w:fldChar w:fldCharType="end"/>
            </w:r>
          </w:p>
        </w:tc>
        <w:tc>
          <w:tcPr>
            <w:tcW w:w="1761"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以新带老削减量</w:t>
            </w:r>
          </w:p>
          <w:p>
            <w:pPr>
              <w:pStyle w:val="40"/>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（新建项目不填）</w:t>
            </w:r>
            <w:r>
              <w:rPr>
                <w:rFonts w:ascii="Times New Roman" w:eastAsia="黑体"/>
                <w:snapToGrid w:val="0"/>
                <w:color w:val="auto"/>
                <w:spacing w:val="-16"/>
                <w:kern w:val="21"/>
                <w:szCs w:val="21"/>
                <w:lang w:val="en-US" w:eastAsia="zh-CN"/>
              </w:rPr>
              <w:fldChar w:fldCharType="begin"/>
            </w:r>
            <w:r>
              <w:rPr>
                <w:rFonts w:ascii="Times New Roman" w:eastAsia="黑体"/>
                <w:snapToGrid w:val="0"/>
                <w:color w:val="auto"/>
                <w:spacing w:val="-16"/>
                <w:kern w:val="21"/>
                <w:szCs w:val="21"/>
                <w:lang w:val="en-US" w:eastAsia="zh-CN"/>
              </w:rPr>
              <w:instrText xml:space="preserve"> = 5 \* GB3 \* MERGEFORMAT </w:instrText>
            </w:r>
            <w:r>
              <w:rPr>
                <w:rFonts w:ascii="Times New Roman" w:eastAsia="黑体"/>
                <w:snapToGrid w:val="0"/>
                <w:color w:val="auto"/>
                <w:spacing w:val="-16"/>
                <w:kern w:val="21"/>
                <w:szCs w:val="21"/>
                <w:lang w:val="en-US" w:eastAsia="zh-CN"/>
              </w:rPr>
              <w:fldChar w:fldCharType="separate"/>
            </w:r>
            <w:r>
              <w:rPr>
                <w:rFonts w:ascii="Times New Roman" w:eastAsia="黑体"/>
                <w:color w:val="auto"/>
                <w:kern w:val="2"/>
                <w:szCs w:val="21"/>
                <w:lang w:val="en-US" w:eastAsia="zh-CN"/>
              </w:rPr>
              <w:t>⑤</w:t>
            </w:r>
            <w:r>
              <w:rPr>
                <w:rFonts w:ascii="Times New Roman" w:eastAsia="黑体"/>
                <w:snapToGrid w:val="0"/>
                <w:color w:val="auto"/>
                <w:spacing w:val="-16"/>
                <w:kern w:val="21"/>
                <w:szCs w:val="21"/>
                <w:lang w:val="en-US" w:eastAsia="zh-CN"/>
              </w:rPr>
              <w:fldChar w:fldCharType="end"/>
            </w:r>
          </w:p>
        </w:tc>
        <w:tc>
          <w:tcPr>
            <w:tcW w:w="1959"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本项目建成后</w:t>
            </w:r>
          </w:p>
          <w:p>
            <w:pPr>
              <w:pStyle w:val="40"/>
              <w:spacing w:beforeLines="0" w:afterLines="0" w:line="240" w:lineRule="auto"/>
              <w:rPr>
                <w:rFonts w:ascii="Times New Roman" w:eastAsia="黑体"/>
                <w:snapToGrid w:val="0"/>
                <w:color w:val="auto"/>
                <w:spacing w:val="-16"/>
                <w:kern w:val="21"/>
                <w:szCs w:val="21"/>
                <w:lang w:val="en-US" w:eastAsia="zh-CN"/>
              </w:rPr>
            </w:pPr>
            <w:r>
              <w:rPr>
                <w:rFonts w:ascii="Times New Roman" w:eastAsia="黑体"/>
                <w:snapToGrid w:val="0"/>
                <w:color w:val="auto"/>
                <w:spacing w:val="-16"/>
                <w:kern w:val="21"/>
                <w:szCs w:val="21"/>
                <w:lang w:val="en-US" w:eastAsia="zh-CN"/>
              </w:rPr>
              <w:t>全厂排放量（固体废物产生量）</w:t>
            </w:r>
            <w:r>
              <w:rPr>
                <w:rFonts w:ascii="Times New Roman" w:eastAsia="黑体"/>
                <w:snapToGrid w:val="0"/>
                <w:color w:val="auto"/>
                <w:spacing w:val="-16"/>
                <w:kern w:val="21"/>
                <w:szCs w:val="21"/>
                <w:lang w:val="en-US" w:eastAsia="zh-CN"/>
              </w:rPr>
              <w:fldChar w:fldCharType="begin"/>
            </w:r>
            <w:r>
              <w:rPr>
                <w:rFonts w:ascii="Times New Roman" w:eastAsia="黑体"/>
                <w:snapToGrid w:val="0"/>
                <w:color w:val="auto"/>
                <w:spacing w:val="-16"/>
                <w:kern w:val="21"/>
                <w:szCs w:val="21"/>
                <w:lang w:val="en-US" w:eastAsia="zh-CN"/>
              </w:rPr>
              <w:instrText xml:space="preserve"> = 6 \* GB3 \* MERGEFORMAT </w:instrText>
            </w:r>
            <w:r>
              <w:rPr>
                <w:rFonts w:ascii="Times New Roman" w:eastAsia="黑体"/>
                <w:snapToGrid w:val="0"/>
                <w:color w:val="auto"/>
                <w:spacing w:val="-16"/>
                <w:kern w:val="21"/>
                <w:szCs w:val="21"/>
                <w:lang w:val="en-US" w:eastAsia="zh-CN"/>
              </w:rPr>
              <w:fldChar w:fldCharType="separate"/>
            </w:r>
            <w:r>
              <w:rPr>
                <w:rFonts w:ascii="Times New Roman" w:eastAsia="黑体"/>
                <w:color w:val="auto"/>
                <w:kern w:val="2"/>
                <w:szCs w:val="21"/>
                <w:lang w:val="en-US" w:eastAsia="zh-CN"/>
              </w:rPr>
              <w:t>⑥</w:t>
            </w:r>
            <w:r>
              <w:rPr>
                <w:rFonts w:ascii="Times New Roman" w:eastAsia="黑体"/>
                <w:snapToGrid w:val="0"/>
                <w:color w:val="auto"/>
                <w:spacing w:val="-16"/>
                <w:kern w:val="21"/>
                <w:szCs w:val="21"/>
                <w:lang w:val="en-US" w:eastAsia="zh-CN"/>
              </w:rPr>
              <w:fldChar w:fldCharType="end"/>
            </w:r>
          </w:p>
        </w:tc>
        <w:tc>
          <w:tcPr>
            <w:tcW w:w="826" w:type="dxa"/>
            <w:noWrap w:val="0"/>
            <w:tcMar>
              <w:left w:w="28" w:type="dxa"/>
              <w:right w:w="28" w:type="dxa"/>
            </w:tcMar>
            <w:vAlign w:val="center"/>
          </w:tcPr>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t>变化量</w:t>
            </w:r>
          </w:p>
          <w:p>
            <w:pPr>
              <w:pStyle w:val="40"/>
              <w:spacing w:beforeLines="0" w:afterLines="0" w:line="240" w:lineRule="auto"/>
              <w:rPr>
                <w:rFonts w:ascii="Times New Roman" w:eastAsia="黑体"/>
                <w:snapToGrid w:val="0"/>
                <w:color w:val="auto"/>
                <w:spacing w:val="-6"/>
                <w:kern w:val="21"/>
                <w:szCs w:val="21"/>
                <w:lang w:val="en-US" w:eastAsia="zh-CN"/>
              </w:rPr>
            </w:pPr>
            <w:r>
              <w:rPr>
                <w:rFonts w:ascii="Times New Roman" w:eastAsia="黑体"/>
                <w:snapToGrid w:val="0"/>
                <w:color w:val="auto"/>
                <w:spacing w:val="-6"/>
                <w:kern w:val="21"/>
                <w:szCs w:val="21"/>
                <w:lang w:val="en-US" w:eastAsia="zh-CN"/>
              </w:rPr>
              <w:fldChar w:fldCharType="begin"/>
            </w:r>
            <w:r>
              <w:rPr>
                <w:rFonts w:ascii="Times New Roman" w:eastAsia="黑体"/>
                <w:snapToGrid w:val="0"/>
                <w:color w:val="auto"/>
                <w:spacing w:val="-6"/>
                <w:kern w:val="21"/>
                <w:szCs w:val="21"/>
                <w:lang w:val="en-US" w:eastAsia="zh-CN"/>
              </w:rPr>
              <w:instrText xml:space="preserve"> = 7 \* GB3 \* MERGEFORMAT </w:instrText>
            </w:r>
            <w:r>
              <w:rPr>
                <w:rFonts w:ascii="Times New Roman" w:eastAsia="黑体"/>
                <w:snapToGrid w:val="0"/>
                <w:color w:val="auto"/>
                <w:spacing w:val="-6"/>
                <w:kern w:val="21"/>
                <w:szCs w:val="21"/>
                <w:lang w:val="en-US" w:eastAsia="zh-CN"/>
              </w:rPr>
              <w:fldChar w:fldCharType="separate"/>
            </w:r>
            <w:r>
              <w:rPr>
                <w:rFonts w:ascii="Times New Roman" w:eastAsia="黑体"/>
                <w:color w:val="auto"/>
                <w:kern w:val="2"/>
                <w:szCs w:val="21"/>
                <w:lang w:val="en-US" w:eastAsia="zh-CN"/>
              </w:rPr>
              <w:t>⑦</w:t>
            </w:r>
            <w:r>
              <w:rPr>
                <w:rFonts w:ascii="Times New Roman" w:eastAsia="黑体"/>
                <w:snapToGrid w:val="0"/>
                <w:color w:val="auto"/>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28"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废气</w:t>
            </w:r>
          </w:p>
        </w:tc>
        <w:tc>
          <w:tcPr>
            <w:tcW w:w="1877"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非甲烷总烃</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0.076</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0.076</w:t>
            </w:r>
          </w:p>
        </w:tc>
        <w:tc>
          <w:tcPr>
            <w:tcW w:w="826"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0.076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28" w:type="dxa"/>
            <w:vMerge w:val="restart"/>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废水</w:t>
            </w:r>
          </w:p>
        </w:tc>
        <w:tc>
          <w:tcPr>
            <w:tcW w:w="1877"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COD</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snapToGrid w:val="0"/>
              <w:jc w:val="center"/>
              <w:rPr>
                <w:rFonts w:hint="default"/>
                <w:color w:val="auto"/>
                <w:sz w:val="21"/>
                <w:szCs w:val="21"/>
                <w:lang w:val="en-US" w:eastAsia="zh-CN"/>
              </w:rPr>
            </w:pPr>
            <w:r>
              <w:rPr>
                <w:rFonts w:hint="eastAsia"/>
                <w:color w:val="auto"/>
                <w:kern w:val="0"/>
                <w:szCs w:val="21"/>
                <w:lang w:val="en-US" w:eastAsia="zh-CN"/>
              </w:rPr>
              <w:t>0.050</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0.050</w:t>
            </w:r>
          </w:p>
        </w:tc>
        <w:tc>
          <w:tcPr>
            <w:tcW w:w="826"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0.032</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0.032</w:t>
            </w:r>
          </w:p>
        </w:tc>
        <w:tc>
          <w:tcPr>
            <w:tcW w:w="826"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氨氮</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snapToGrid w:val="0"/>
              <w:jc w:val="center"/>
              <w:rPr>
                <w:rFonts w:hint="default"/>
                <w:color w:val="auto"/>
                <w:sz w:val="21"/>
                <w:szCs w:val="21"/>
                <w:lang w:val="en-US" w:eastAsia="zh-CN"/>
              </w:rPr>
            </w:pPr>
            <w:r>
              <w:rPr>
                <w:rFonts w:hint="eastAsia"/>
                <w:color w:val="auto"/>
                <w:kern w:val="0"/>
                <w:szCs w:val="21"/>
                <w:lang w:val="en-US" w:eastAsia="zh-CN"/>
              </w:rPr>
              <w:t>0.0059</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0.0059</w:t>
            </w:r>
          </w:p>
        </w:tc>
        <w:tc>
          <w:tcPr>
            <w:tcW w:w="826" w:type="dxa"/>
            <w:noWrap w:val="0"/>
            <w:vAlign w:val="center"/>
          </w:tcPr>
          <w:p>
            <w:pPr>
              <w:snapToGrid w:val="0"/>
              <w:jc w:val="center"/>
              <w:rPr>
                <w:rFonts w:hint="eastAsia"/>
                <w:color w:val="auto"/>
                <w:sz w:val="21"/>
                <w:szCs w:val="21"/>
                <w:lang w:val="en-US" w:eastAsia="zh-CN"/>
              </w:rPr>
            </w:pPr>
            <w:r>
              <w:rPr>
                <w:rFonts w:hint="eastAsia"/>
                <w:color w:val="auto"/>
                <w:kern w:val="0"/>
                <w:szCs w:val="21"/>
                <w:lang w:val="en-US" w:eastAsia="zh-CN"/>
              </w:rPr>
              <w:t>0.0059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总磷</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snapToGrid w:val="0"/>
              <w:jc w:val="center"/>
              <w:rPr>
                <w:rFonts w:hint="eastAsia"/>
                <w:color w:val="auto"/>
                <w:sz w:val="21"/>
                <w:szCs w:val="21"/>
                <w:lang w:val="en-US" w:eastAsia="zh-CN"/>
              </w:rPr>
            </w:pPr>
            <w:r>
              <w:rPr>
                <w:rFonts w:ascii="Times New Roman" w:hAnsi="Times New Roman"/>
                <w:color w:val="auto"/>
                <w:kern w:val="0"/>
                <w:szCs w:val="21"/>
              </w:rPr>
              <w:t>0.00</w:t>
            </w:r>
            <w:r>
              <w:rPr>
                <w:rFonts w:hint="eastAsia"/>
                <w:color w:val="auto"/>
                <w:kern w:val="0"/>
                <w:szCs w:val="21"/>
                <w:lang w:val="en-US" w:eastAsia="zh-CN"/>
              </w:rPr>
              <w:t>05</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snapToGrid w:val="0"/>
              <w:jc w:val="center"/>
              <w:rPr>
                <w:rFonts w:hint="eastAsia"/>
                <w:color w:val="auto"/>
                <w:sz w:val="21"/>
                <w:szCs w:val="21"/>
                <w:lang w:val="en-US" w:eastAsia="zh-CN"/>
              </w:rPr>
            </w:pPr>
            <w:r>
              <w:rPr>
                <w:rFonts w:ascii="Times New Roman" w:hAnsi="Times New Roman"/>
                <w:color w:val="auto"/>
                <w:kern w:val="0"/>
                <w:szCs w:val="21"/>
              </w:rPr>
              <w:t>0.00</w:t>
            </w:r>
            <w:r>
              <w:rPr>
                <w:rFonts w:hint="eastAsia"/>
                <w:color w:val="auto"/>
                <w:kern w:val="0"/>
                <w:szCs w:val="21"/>
                <w:lang w:val="en-US" w:eastAsia="zh-CN"/>
              </w:rPr>
              <w:t>05</w:t>
            </w:r>
          </w:p>
        </w:tc>
        <w:tc>
          <w:tcPr>
            <w:tcW w:w="826" w:type="dxa"/>
            <w:noWrap w:val="0"/>
            <w:vAlign w:val="center"/>
          </w:tcPr>
          <w:p>
            <w:pPr>
              <w:snapToGrid w:val="0"/>
              <w:jc w:val="center"/>
              <w:rPr>
                <w:rFonts w:hint="eastAsia"/>
                <w:color w:val="auto"/>
                <w:sz w:val="21"/>
                <w:szCs w:val="21"/>
                <w:lang w:val="en-US" w:eastAsia="zh-CN"/>
              </w:rPr>
            </w:pPr>
            <w:r>
              <w:rPr>
                <w:rFonts w:ascii="Times New Roman" w:hAnsi="Times New Roman"/>
                <w:color w:val="auto"/>
                <w:kern w:val="0"/>
                <w:szCs w:val="21"/>
              </w:rPr>
              <w:t>0.00</w:t>
            </w:r>
            <w:r>
              <w:rPr>
                <w:rFonts w:hint="eastAsia"/>
                <w:color w:val="auto"/>
                <w:kern w:val="0"/>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8" w:type="dxa"/>
            <w:vMerge w:val="restart"/>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一般工业</w:t>
            </w:r>
          </w:p>
          <w:p>
            <w:pPr>
              <w:pStyle w:val="25"/>
              <w:snapToGrid w:val="0"/>
              <w:jc w:val="center"/>
              <w:rPr>
                <w:rFonts w:hint="eastAsia"/>
                <w:color w:val="auto"/>
                <w:sz w:val="21"/>
                <w:szCs w:val="21"/>
                <w:lang w:val="en-US" w:eastAsia="zh-CN"/>
              </w:rPr>
            </w:pPr>
            <w:r>
              <w:rPr>
                <w:rFonts w:hint="eastAsia"/>
                <w:color w:val="auto"/>
                <w:sz w:val="21"/>
                <w:szCs w:val="21"/>
                <w:lang w:val="en-US" w:eastAsia="zh-CN"/>
              </w:rPr>
              <w:t>固体废物</w:t>
            </w:r>
          </w:p>
        </w:tc>
        <w:tc>
          <w:tcPr>
            <w:tcW w:w="1877"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不合格产品</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pStyle w:val="25"/>
              <w:snapToGrid w:val="0"/>
              <w:jc w:val="center"/>
              <w:rPr>
                <w:rFonts w:hint="eastAsia"/>
                <w:color w:val="auto"/>
                <w:sz w:val="21"/>
                <w:szCs w:val="21"/>
                <w:lang w:eastAsia="zh-CN"/>
              </w:rPr>
            </w:pPr>
            <w:r>
              <w:rPr>
                <w:rFonts w:hint="eastAsia"/>
                <w:color w:val="auto"/>
                <w:sz w:val="21"/>
                <w:szCs w:val="21"/>
                <w:lang w:val="en-US" w:eastAsia="zh-CN"/>
              </w:rPr>
              <w:t>6</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pStyle w:val="25"/>
              <w:snapToGrid w:val="0"/>
              <w:jc w:val="center"/>
              <w:rPr>
                <w:rFonts w:hint="eastAsia"/>
                <w:color w:val="auto"/>
                <w:sz w:val="21"/>
                <w:szCs w:val="21"/>
                <w:lang w:eastAsia="zh-CN"/>
              </w:rPr>
            </w:pPr>
            <w:r>
              <w:rPr>
                <w:rFonts w:hint="eastAsia"/>
                <w:color w:val="auto"/>
                <w:sz w:val="21"/>
                <w:szCs w:val="21"/>
                <w:lang w:val="en-US" w:eastAsia="zh-CN"/>
              </w:rPr>
              <w:t>6</w:t>
            </w:r>
          </w:p>
        </w:tc>
        <w:tc>
          <w:tcPr>
            <w:tcW w:w="82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边角料</w:t>
            </w:r>
          </w:p>
        </w:tc>
        <w:tc>
          <w:tcPr>
            <w:tcW w:w="1701"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276"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701"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559"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16</w:t>
            </w:r>
          </w:p>
        </w:tc>
        <w:tc>
          <w:tcPr>
            <w:tcW w:w="1761"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959"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16</w:t>
            </w:r>
          </w:p>
        </w:tc>
        <w:tc>
          <w:tcPr>
            <w:tcW w:w="826"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废包装材料</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0.6</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pStyle w:val="25"/>
              <w:snapToGrid w:val="0"/>
              <w:jc w:val="center"/>
              <w:rPr>
                <w:rFonts w:hint="eastAsia"/>
                <w:color w:val="auto"/>
                <w:sz w:val="21"/>
                <w:szCs w:val="21"/>
                <w:lang w:eastAsia="zh-CN"/>
              </w:rPr>
            </w:pPr>
            <w:r>
              <w:rPr>
                <w:rFonts w:hint="eastAsia"/>
                <w:color w:val="auto"/>
                <w:sz w:val="21"/>
                <w:szCs w:val="21"/>
                <w:lang w:val="en-US" w:eastAsia="zh-CN"/>
              </w:rPr>
              <w:t>0.6</w:t>
            </w:r>
          </w:p>
        </w:tc>
        <w:tc>
          <w:tcPr>
            <w:tcW w:w="82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生活垃圾</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eastAsia="zh-CN"/>
              </w:rPr>
              <w:t>2.</w:t>
            </w:r>
            <w:r>
              <w:rPr>
                <w:rFonts w:hint="eastAsia"/>
                <w:color w:val="auto"/>
                <w:sz w:val="21"/>
                <w:szCs w:val="21"/>
                <w:lang w:val="en-US" w:eastAsia="zh-CN"/>
              </w:rPr>
              <w:t>25</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eastAsia="zh-CN"/>
              </w:rPr>
              <w:t>2.</w:t>
            </w:r>
            <w:r>
              <w:rPr>
                <w:rFonts w:hint="eastAsia"/>
                <w:color w:val="auto"/>
                <w:sz w:val="21"/>
                <w:szCs w:val="21"/>
                <w:lang w:val="en-US" w:eastAsia="zh-CN"/>
              </w:rPr>
              <w:t>25</w:t>
            </w:r>
          </w:p>
        </w:tc>
        <w:tc>
          <w:tcPr>
            <w:tcW w:w="826" w:type="dxa"/>
            <w:noWrap w:val="0"/>
            <w:vAlign w:val="center"/>
          </w:tcPr>
          <w:p>
            <w:pPr>
              <w:pStyle w:val="25"/>
              <w:snapToGrid w:val="0"/>
              <w:jc w:val="center"/>
              <w:rPr>
                <w:rFonts w:hint="eastAsia"/>
                <w:color w:val="auto"/>
                <w:sz w:val="21"/>
                <w:szCs w:val="21"/>
                <w:lang w:val="en-US" w:eastAsia="zh-CN"/>
              </w:rPr>
            </w:pPr>
            <w:r>
              <w:rPr>
                <w:rFonts w:hint="eastAsia"/>
                <w:color w:val="auto"/>
                <w:sz w:val="21"/>
                <w:szCs w:val="21"/>
                <w:lang w:eastAsia="zh-CN"/>
              </w:rPr>
              <w:t>2.</w:t>
            </w:r>
            <w:r>
              <w:rPr>
                <w:rFonts w:hint="eastAsia"/>
                <w:color w:val="auto"/>
                <w:sz w:val="21"/>
                <w:szCs w:val="21"/>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28" w:type="dxa"/>
            <w:vMerge w:val="restart"/>
            <w:noWrap w:val="0"/>
            <w:vAlign w:val="center"/>
          </w:tcPr>
          <w:p>
            <w:pPr>
              <w:pStyle w:val="25"/>
              <w:snapToGrid w:val="0"/>
              <w:jc w:val="center"/>
              <w:rPr>
                <w:rFonts w:hint="eastAsia"/>
                <w:color w:val="auto"/>
                <w:sz w:val="21"/>
                <w:szCs w:val="21"/>
                <w:lang w:val="en-US" w:eastAsia="zh-CN"/>
              </w:rPr>
            </w:pPr>
            <w:r>
              <w:rPr>
                <w:rFonts w:hint="eastAsia"/>
                <w:color w:val="auto"/>
                <w:sz w:val="21"/>
                <w:szCs w:val="21"/>
                <w:lang w:val="en-US" w:eastAsia="zh-CN"/>
              </w:rPr>
              <w:t>危险废物</w:t>
            </w:r>
          </w:p>
        </w:tc>
        <w:tc>
          <w:tcPr>
            <w:tcW w:w="1877"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废活性炭</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276"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70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559"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2.21</w:t>
            </w:r>
          </w:p>
        </w:tc>
        <w:tc>
          <w:tcPr>
            <w:tcW w:w="1761"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w:t>
            </w:r>
          </w:p>
        </w:tc>
        <w:tc>
          <w:tcPr>
            <w:tcW w:w="1959" w:type="dxa"/>
            <w:noWrap w:val="0"/>
            <w:vAlign w:val="center"/>
          </w:tcPr>
          <w:p>
            <w:pPr>
              <w:snapToGrid w:val="0"/>
              <w:jc w:val="center"/>
              <w:rPr>
                <w:rFonts w:hint="default"/>
                <w:color w:val="auto"/>
                <w:sz w:val="21"/>
                <w:szCs w:val="21"/>
                <w:lang w:val="en-US" w:eastAsia="zh-CN"/>
              </w:rPr>
            </w:pPr>
            <w:r>
              <w:rPr>
                <w:rFonts w:hint="eastAsia"/>
                <w:color w:val="auto"/>
                <w:sz w:val="21"/>
                <w:szCs w:val="21"/>
                <w:lang w:val="en-US" w:eastAsia="zh-CN"/>
              </w:rPr>
              <w:t>2.21</w:t>
            </w:r>
          </w:p>
        </w:tc>
        <w:tc>
          <w:tcPr>
            <w:tcW w:w="826" w:type="dxa"/>
            <w:noWrap w:val="0"/>
            <w:vAlign w:val="center"/>
          </w:tcPr>
          <w:p>
            <w:pPr>
              <w:snapToGrid w:val="0"/>
              <w:jc w:val="center"/>
              <w:rPr>
                <w:rFonts w:hint="default"/>
                <w:color w:val="auto"/>
                <w:sz w:val="21"/>
                <w:szCs w:val="21"/>
                <w:lang w:val="en-US" w:eastAsia="zh-CN"/>
              </w:rPr>
            </w:pPr>
            <w:r>
              <w:rPr>
                <w:rFonts w:hint="eastAsia"/>
                <w:color w:val="auto"/>
                <w:sz w:val="21"/>
                <w:szCs w:val="21"/>
                <w:lang w:val="en-US" w:eastAsia="zh-CN"/>
              </w:rPr>
              <w:t>2.21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28" w:type="dxa"/>
            <w:vMerge w:val="continue"/>
            <w:noWrap w:val="0"/>
            <w:vAlign w:val="center"/>
          </w:tcPr>
          <w:p>
            <w:pPr>
              <w:pStyle w:val="25"/>
              <w:snapToGrid w:val="0"/>
              <w:jc w:val="center"/>
              <w:rPr>
                <w:rFonts w:hint="eastAsia"/>
                <w:color w:val="auto"/>
                <w:sz w:val="21"/>
                <w:szCs w:val="21"/>
                <w:lang w:val="en-US" w:eastAsia="zh-CN"/>
              </w:rPr>
            </w:pPr>
          </w:p>
        </w:tc>
        <w:tc>
          <w:tcPr>
            <w:tcW w:w="1877" w:type="dxa"/>
            <w:noWrap w:val="0"/>
            <w:vAlign w:val="center"/>
          </w:tcPr>
          <w:p>
            <w:pPr>
              <w:pStyle w:val="25"/>
              <w:snapToGrid w:val="0"/>
              <w:jc w:val="center"/>
              <w:rPr>
                <w:rFonts w:hint="eastAsia"/>
                <w:color w:val="auto"/>
                <w:sz w:val="21"/>
                <w:szCs w:val="21"/>
                <w:lang w:eastAsia="zh-CN"/>
              </w:rPr>
            </w:pPr>
            <w:r>
              <w:rPr>
                <w:rFonts w:hint="eastAsia"/>
                <w:color w:val="auto"/>
                <w:sz w:val="21"/>
                <w:szCs w:val="21"/>
                <w:lang w:eastAsia="zh-CN"/>
              </w:rPr>
              <w:t>废机油</w:t>
            </w:r>
          </w:p>
        </w:tc>
        <w:tc>
          <w:tcPr>
            <w:tcW w:w="1701"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276"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701"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559"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3</w:t>
            </w:r>
          </w:p>
        </w:tc>
        <w:tc>
          <w:tcPr>
            <w:tcW w:w="1761" w:type="dxa"/>
            <w:noWrap w:val="0"/>
            <w:vAlign w:val="center"/>
          </w:tcPr>
          <w:p>
            <w:pPr>
              <w:pStyle w:val="25"/>
              <w:snapToGrid w:val="0"/>
              <w:jc w:val="center"/>
              <w:rPr>
                <w:rFonts w:hint="default"/>
                <w:color w:val="auto"/>
                <w:sz w:val="21"/>
                <w:szCs w:val="21"/>
                <w:lang w:val="en-US" w:eastAsia="zh-CN"/>
              </w:rPr>
            </w:pPr>
            <w:r>
              <w:rPr>
                <w:rFonts w:hint="eastAsia"/>
                <w:color w:val="auto"/>
                <w:sz w:val="21"/>
                <w:szCs w:val="21"/>
                <w:lang w:val="en-US" w:eastAsia="zh-CN"/>
              </w:rPr>
              <w:t>/</w:t>
            </w:r>
          </w:p>
        </w:tc>
        <w:tc>
          <w:tcPr>
            <w:tcW w:w="1959" w:type="dxa"/>
            <w:noWrap w:val="0"/>
            <w:vAlign w:val="center"/>
          </w:tcPr>
          <w:p>
            <w:pPr>
              <w:snapToGrid w:val="0"/>
              <w:jc w:val="center"/>
              <w:rPr>
                <w:rFonts w:hint="default"/>
                <w:color w:val="auto"/>
                <w:sz w:val="21"/>
                <w:szCs w:val="21"/>
                <w:lang w:val="en-US" w:eastAsia="zh-CN"/>
              </w:rPr>
            </w:pPr>
            <w:r>
              <w:rPr>
                <w:rFonts w:hint="eastAsia"/>
                <w:color w:val="auto"/>
                <w:sz w:val="21"/>
                <w:szCs w:val="21"/>
                <w:lang w:val="en-US" w:eastAsia="zh-CN"/>
              </w:rPr>
              <w:t>3</w:t>
            </w:r>
          </w:p>
        </w:tc>
        <w:tc>
          <w:tcPr>
            <w:tcW w:w="826" w:type="dxa"/>
            <w:noWrap w:val="0"/>
            <w:vAlign w:val="center"/>
          </w:tcPr>
          <w:p>
            <w:pPr>
              <w:snapToGrid w:val="0"/>
              <w:jc w:val="center"/>
              <w:rPr>
                <w:rFonts w:hint="default"/>
                <w:color w:val="auto"/>
                <w:sz w:val="21"/>
                <w:szCs w:val="21"/>
                <w:lang w:val="en-US" w:eastAsia="zh-CN"/>
              </w:rPr>
            </w:pPr>
            <w:r>
              <w:rPr>
                <w:rFonts w:hint="eastAsia"/>
                <w:color w:val="auto"/>
                <w:sz w:val="21"/>
                <w:szCs w:val="21"/>
                <w:lang w:val="en-US" w:eastAsia="zh-CN"/>
              </w:rPr>
              <w:t>3</w:t>
            </w:r>
          </w:p>
        </w:tc>
      </w:tr>
    </w:tbl>
    <w:p>
      <w:pPr>
        <w:pStyle w:val="40"/>
        <w:spacing w:before="192" w:beforeLines="80" w:after="24"/>
        <w:jc w:val="left"/>
        <w:rPr>
          <w:color w:val="auto"/>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pStyle w:val="25"/>
        <w:rPr>
          <w:rFonts w:hint="eastAsia" w:eastAsia="宋体"/>
          <w:color w:val="auto"/>
          <w:lang w:eastAsia="zh-CN"/>
        </w:rPr>
      </w:pPr>
    </w:p>
    <w:p>
      <w:pPr>
        <w:pStyle w:val="25"/>
        <w:rPr>
          <w:rFonts w:hint="eastAsia" w:eastAsia="宋体"/>
          <w:color w:val="auto"/>
          <w:lang w:eastAsia="zh-CN"/>
        </w:rPr>
      </w:pPr>
    </w:p>
    <w:p>
      <w:pPr>
        <w:pStyle w:val="25"/>
        <w:rPr>
          <w:rFonts w:hint="eastAsia" w:eastAsia="宋体"/>
          <w:color w:val="auto"/>
          <w:lang w:eastAsia="zh-CN"/>
        </w:rPr>
      </w:pPr>
    </w:p>
    <w:p>
      <w:pPr>
        <w:pStyle w:val="25"/>
        <w:rPr>
          <w:rFonts w:hint="eastAsia" w:eastAsia="宋体"/>
          <w:color w:val="auto"/>
          <w:lang w:eastAsia="zh-CN"/>
        </w:rPr>
      </w:pPr>
    </w:p>
    <w:p>
      <w:pPr>
        <w:pStyle w:val="25"/>
        <w:rPr>
          <w:rFonts w:hint="eastAsia" w:eastAsia="宋体"/>
          <w:color w:val="auto"/>
          <w:lang w:eastAsia="zh-CN"/>
        </w:rPr>
      </w:pPr>
    </w:p>
    <w:p>
      <w:pPr>
        <w:pStyle w:val="25"/>
        <w:rPr>
          <w:rFonts w:hint="eastAsia" w:eastAsia="宋体"/>
          <w:color w:val="auto"/>
          <w:lang w:eastAsia="zh-CN"/>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1e/c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cWxO25x4Ocf388/f59/fSPL&#10;LE8foMasx4B5abjxAy7N7Ad0ZtaDijZ/kQ/BOIp7uogrh0REfrRarlYVhgTG5gvis6fnIUK6k96S&#10;bDQ04vSKqPx4D2lMnVNyNedvtTFlgsb95UDM7GG597HHbKVhN0yEdr49IZ8eB99Qh3tOifnoUNe8&#10;I7MRZ2M3G4cQ9b4rS5TrQfhwSNhE6S1XGGGnwjixwm7arrwSz+8l6+mP2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9Xv3LIAQAAmQMAAA4AAAAAAAAAAQAgAAAAHgEAAGRycy9lMm9Eb2Mu&#10;eG1sUEsFBgAAAAAGAAYAWQEAAFgFAAAAAA==&#10;">
              <v:fill on="f" focussize="0,0"/>
              <v:stroke on="f"/>
              <v:imagedata o:title=""/>
              <o:lock v:ext="edit" aspectratio="f"/>
              <v:textbox inset="0mm,0mm,0mm,0mm" style="mso-fit-shape-to-text:t;">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44</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EIRckBAACZ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MQhFyQEAAJkDAAAOAAAAAAAAAAEAIAAAAB4BAABkcnMvZTJvRG9j&#10;LnhtbFBLBQYAAAAABgAGAFkBAABZBQAAAAA=&#10;">
              <v:fill on="f" focussize="0,0"/>
              <v:stroke on="f"/>
              <v:imagedata o:title=""/>
              <o:lock v:ext="edit" aspectratio="f"/>
              <v:textbox inset="0mm,0mm,0mm,0mm" style="mso-fit-shape-to-text:t;">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44</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45</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A6Vsg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koieMWJ37++eP86/H88J28&#10;yfr0AWpMuwuYmIb3fsDc2Q/ozLQHFW3+IiGCcYQ6XdSVQyIiP1otV6sKQwJj8wXx2dPzECF9kN6S&#10;bDQ04viKqvz4CdKYOqfkas7famPKCI37y4GY2cNy72OP2UrDbpgI7Xx7Qj49Tr6hDhedEvPRobDY&#10;X5qNOBu72TiEqPdd2aJcD8K7Q8ImSm+5wgg7FcaRFXbTeuWd+PNesp5+q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AQOlbIAQAAmgMAAA4AAAAAAAAAAQAgAAAAHgEAAGRycy9lMm9Eb2Mu&#10;eG1sUEsFBgAAAAAGAAYAWQEAAFgFAAAAAA==&#10;">
              <v:fill on="f" focussize="0,0"/>
              <v:stroke on="f"/>
              <v:imagedata o:title=""/>
              <o:lock v:ext="edit" aspectratio="f"/>
              <v:textbox inset="0mm,0mm,0mm,0mm" style="mso-fit-shape-to-text:t;">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45</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46</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aNYcg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W8&#10;zvr0AWpMewiYmIY7P2Du7Ad0ZtqDijZ/kRDBOKp7vqorh0REfrRerdcVhgTG5gvis8fnIUJ6K70l&#10;2WhoxPEVVfnpPaQxdU7J1Zy/18aUERr3lwMxs4fl3sces5WG/TAR2vv2jHx6nHxDHS46JeadQ2Hz&#10;ksxGnI39bBxD1IeubFGuB+H2mLCJ0luuMMJOhXFkhd20Xnkn/ryXrM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B2jWHIAQAAmgMAAA4AAAAAAAAAAQAgAAAAHgEAAGRycy9lMm9Eb2Mu&#10;eG1sUEsFBgAAAAAGAAYAWQEAAFgFAAAAAA==&#10;">
              <v:fill on="f" focussize="0,0"/>
              <v:stroke on="f"/>
              <v:imagedata o:title=""/>
              <o:lock v:ext="edit" aspectratio="f"/>
              <v:textbox inset="0mm,0mm,0mm,0mm" style="mso-fit-shape-to-text:t;">
                <w:txbxContent>
                  <w:p>
                    <w:pPr>
                      <w:pStyle w:val="14"/>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46</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55330"/>
    <w:multiLevelType w:val="singleLevel"/>
    <w:tmpl w:val="B4355330"/>
    <w:lvl w:ilvl="0" w:tentative="0">
      <w:start w:val="1"/>
      <w:numFmt w:val="chineseCounting"/>
      <w:suff w:val="nothing"/>
      <w:lvlText w:val="（%1）"/>
      <w:lvlJc w:val="left"/>
      <w:rPr>
        <w:rFonts w:hint="eastAsia"/>
      </w:rPr>
    </w:lvl>
  </w:abstractNum>
  <w:abstractNum w:abstractNumId="1">
    <w:nsid w:val="E7A091F8"/>
    <w:multiLevelType w:val="singleLevel"/>
    <w:tmpl w:val="E7A091F8"/>
    <w:lvl w:ilvl="0" w:tentative="0">
      <w:start w:val="1"/>
      <w:numFmt w:val="decimal"/>
      <w:suff w:val="nothing"/>
      <w:lvlText w:val="%1、"/>
      <w:lvlJc w:val="left"/>
    </w:lvl>
  </w:abstractNum>
  <w:abstractNum w:abstractNumId="2">
    <w:nsid w:val="E7C2950F"/>
    <w:multiLevelType w:val="singleLevel"/>
    <w:tmpl w:val="E7C2950F"/>
    <w:lvl w:ilvl="0" w:tentative="0">
      <w:start w:val="1"/>
      <w:numFmt w:val="decimal"/>
      <w:suff w:val="nothing"/>
      <w:lvlText w:val="（%1）"/>
      <w:lvlJc w:val="left"/>
    </w:lvl>
  </w:abstractNum>
  <w:abstractNum w:abstractNumId="3">
    <w:nsid w:val="00000006"/>
    <w:multiLevelType w:val="multilevel"/>
    <w:tmpl w:val="00000006"/>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pStyle w:val="6"/>
      <w:suff w:val="nothing"/>
      <w:lvlText w:val="%1.%2.%3.%4  "/>
      <w:lvlJc w:val="left"/>
      <w:pPr>
        <w:ind w:left="567"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15C94787"/>
    <w:multiLevelType w:val="singleLevel"/>
    <w:tmpl w:val="15C94787"/>
    <w:lvl w:ilvl="0" w:tentative="0">
      <w:start w:val="2"/>
      <w:numFmt w:val="decimal"/>
      <w:suff w:val="nothing"/>
      <w:lvlText w:val="%1、"/>
      <w:lvlJc w:val="left"/>
    </w:lvl>
  </w:abstractNum>
  <w:abstractNum w:abstractNumId="5">
    <w:nsid w:val="240C1CA0"/>
    <w:multiLevelType w:val="singleLevel"/>
    <w:tmpl w:val="240C1CA0"/>
    <w:lvl w:ilvl="0" w:tentative="0">
      <w:start w:val="1"/>
      <w:numFmt w:val="decimal"/>
      <w:suff w:val="nothing"/>
      <w:lvlText w:val="（%1）"/>
      <w:lvlJc w:val="left"/>
      <w:pPr>
        <w:ind w:left="-60"/>
      </w:p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17F12"/>
    <w:rsid w:val="00022F0F"/>
    <w:rsid w:val="000278B3"/>
    <w:rsid w:val="0004364B"/>
    <w:rsid w:val="00044C0A"/>
    <w:rsid w:val="00044E5A"/>
    <w:rsid w:val="00051820"/>
    <w:rsid w:val="0005325B"/>
    <w:rsid w:val="00061B1F"/>
    <w:rsid w:val="000733C4"/>
    <w:rsid w:val="00074783"/>
    <w:rsid w:val="0008070B"/>
    <w:rsid w:val="000810AC"/>
    <w:rsid w:val="00081A02"/>
    <w:rsid w:val="00082231"/>
    <w:rsid w:val="00092D38"/>
    <w:rsid w:val="0009377B"/>
    <w:rsid w:val="000A0289"/>
    <w:rsid w:val="000A20C9"/>
    <w:rsid w:val="000B058F"/>
    <w:rsid w:val="000B4467"/>
    <w:rsid w:val="000B4DB9"/>
    <w:rsid w:val="000C09AC"/>
    <w:rsid w:val="000C1B56"/>
    <w:rsid w:val="000C767F"/>
    <w:rsid w:val="000D04AE"/>
    <w:rsid w:val="000D5A44"/>
    <w:rsid w:val="000E3ED2"/>
    <w:rsid w:val="000F6385"/>
    <w:rsid w:val="00131F42"/>
    <w:rsid w:val="001357F1"/>
    <w:rsid w:val="00140FA8"/>
    <w:rsid w:val="00142FEB"/>
    <w:rsid w:val="00143742"/>
    <w:rsid w:val="00143A2D"/>
    <w:rsid w:val="00145A41"/>
    <w:rsid w:val="00151675"/>
    <w:rsid w:val="001542A4"/>
    <w:rsid w:val="00157435"/>
    <w:rsid w:val="0017504D"/>
    <w:rsid w:val="0017671A"/>
    <w:rsid w:val="00177422"/>
    <w:rsid w:val="00184590"/>
    <w:rsid w:val="001870D1"/>
    <w:rsid w:val="0018781E"/>
    <w:rsid w:val="0019262D"/>
    <w:rsid w:val="001A1B35"/>
    <w:rsid w:val="001A48A2"/>
    <w:rsid w:val="001A6F61"/>
    <w:rsid w:val="001B72B8"/>
    <w:rsid w:val="001C2192"/>
    <w:rsid w:val="001C69B3"/>
    <w:rsid w:val="001D5595"/>
    <w:rsid w:val="001D7874"/>
    <w:rsid w:val="001D7F22"/>
    <w:rsid w:val="001E1408"/>
    <w:rsid w:val="001E373A"/>
    <w:rsid w:val="001F0F17"/>
    <w:rsid w:val="001F3347"/>
    <w:rsid w:val="001F69E4"/>
    <w:rsid w:val="002125B4"/>
    <w:rsid w:val="00214BCD"/>
    <w:rsid w:val="002155B8"/>
    <w:rsid w:val="002237CB"/>
    <w:rsid w:val="002241E6"/>
    <w:rsid w:val="00224839"/>
    <w:rsid w:val="002249B2"/>
    <w:rsid w:val="00226574"/>
    <w:rsid w:val="002278EC"/>
    <w:rsid w:val="0023280E"/>
    <w:rsid w:val="002377D1"/>
    <w:rsid w:val="002506BC"/>
    <w:rsid w:val="00254345"/>
    <w:rsid w:val="00257894"/>
    <w:rsid w:val="00264557"/>
    <w:rsid w:val="00277587"/>
    <w:rsid w:val="002805AB"/>
    <w:rsid w:val="00284204"/>
    <w:rsid w:val="0029011B"/>
    <w:rsid w:val="00291773"/>
    <w:rsid w:val="002A168C"/>
    <w:rsid w:val="002A3DC7"/>
    <w:rsid w:val="002B49E2"/>
    <w:rsid w:val="002B7B00"/>
    <w:rsid w:val="002B7C44"/>
    <w:rsid w:val="002C2B17"/>
    <w:rsid w:val="002D0F6C"/>
    <w:rsid w:val="002D3DD0"/>
    <w:rsid w:val="002E1F3A"/>
    <w:rsid w:val="002E256C"/>
    <w:rsid w:val="002E298A"/>
    <w:rsid w:val="002F6074"/>
    <w:rsid w:val="00301978"/>
    <w:rsid w:val="0030332C"/>
    <w:rsid w:val="003051C2"/>
    <w:rsid w:val="00306295"/>
    <w:rsid w:val="00312296"/>
    <w:rsid w:val="00314F0E"/>
    <w:rsid w:val="00321D8E"/>
    <w:rsid w:val="00325928"/>
    <w:rsid w:val="00332863"/>
    <w:rsid w:val="0033684D"/>
    <w:rsid w:val="00337B42"/>
    <w:rsid w:val="00341B42"/>
    <w:rsid w:val="0034348F"/>
    <w:rsid w:val="00356653"/>
    <w:rsid w:val="0035743F"/>
    <w:rsid w:val="00357BE2"/>
    <w:rsid w:val="0036125B"/>
    <w:rsid w:val="0036170C"/>
    <w:rsid w:val="00366E0F"/>
    <w:rsid w:val="00374D55"/>
    <w:rsid w:val="003770E8"/>
    <w:rsid w:val="00381A72"/>
    <w:rsid w:val="00384676"/>
    <w:rsid w:val="00390857"/>
    <w:rsid w:val="003A30E3"/>
    <w:rsid w:val="003A4BF3"/>
    <w:rsid w:val="003B1647"/>
    <w:rsid w:val="003B420D"/>
    <w:rsid w:val="003B606B"/>
    <w:rsid w:val="003C6C16"/>
    <w:rsid w:val="003D132A"/>
    <w:rsid w:val="003D4A45"/>
    <w:rsid w:val="003D794D"/>
    <w:rsid w:val="003E3058"/>
    <w:rsid w:val="003E76A9"/>
    <w:rsid w:val="003F066E"/>
    <w:rsid w:val="003F0809"/>
    <w:rsid w:val="003F6A8C"/>
    <w:rsid w:val="003F755C"/>
    <w:rsid w:val="00406F01"/>
    <w:rsid w:val="00416D50"/>
    <w:rsid w:val="00416FD5"/>
    <w:rsid w:val="00417772"/>
    <w:rsid w:val="00420E6A"/>
    <w:rsid w:val="00425A9E"/>
    <w:rsid w:val="00426D6B"/>
    <w:rsid w:val="00431E6C"/>
    <w:rsid w:val="00433CE7"/>
    <w:rsid w:val="00434CBB"/>
    <w:rsid w:val="004370D0"/>
    <w:rsid w:val="00452738"/>
    <w:rsid w:val="00456091"/>
    <w:rsid w:val="00466321"/>
    <w:rsid w:val="004727EB"/>
    <w:rsid w:val="00484B9B"/>
    <w:rsid w:val="004855F6"/>
    <w:rsid w:val="0048661E"/>
    <w:rsid w:val="00493F4C"/>
    <w:rsid w:val="00494670"/>
    <w:rsid w:val="004A3823"/>
    <w:rsid w:val="004B207D"/>
    <w:rsid w:val="004B5B87"/>
    <w:rsid w:val="004D06E0"/>
    <w:rsid w:val="004E27E3"/>
    <w:rsid w:val="004E6946"/>
    <w:rsid w:val="004F1AD8"/>
    <w:rsid w:val="004F5EB1"/>
    <w:rsid w:val="005039CB"/>
    <w:rsid w:val="0050558F"/>
    <w:rsid w:val="00506286"/>
    <w:rsid w:val="00510813"/>
    <w:rsid w:val="00511990"/>
    <w:rsid w:val="00511DE0"/>
    <w:rsid w:val="00514870"/>
    <w:rsid w:val="00514B9B"/>
    <w:rsid w:val="00517F02"/>
    <w:rsid w:val="00524303"/>
    <w:rsid w:val="005258A2"/>
    <w:rsid w:val="005317D1"/>
    <w:rsid w:val="005401AE"/>
    <w:rsid w:val="00542E07"/>
    <w:rsid w:val="00545424"/>
    <w:rsid w:val="00550470"/>
    <w:rsid w:val="00554A7B"/>
    <w:rsid w:val="0055572C"/>
    <w:rsid w:val="0056106A"/>
    <w:rsid w:val="005720AE"/>
    <w:rsid w:val="00580A7D"/>
    <w:rsid w:val="00594D77"/>
    <w:rsid w:val="005969E4"/>
    <w:rsid w:val="005A06B7"/>
    <w:rsid w:val="005A1759"/>
    <w:rsid w:val="005A68A7"/>
    <w:rsid w:val="005B30B2"/>
    <w:rsid w:val="005D36AB"/>
    <w:rsid w:val="005D440C"/>
    <w:rsid w:val="005E6686"/>
    <w:rsid w:val="0061414F"/>
    <w:rsid w:val="0061649F"/>
    <w:rsid w:val="00616839"/>
    <w:rsid w:val="00617CC3"/>
    <w:rsid w:val="0063775F"/>
    <w:rsid w:val="006377A6"/>
    <w:rsid w:val="00637A3D"/>
    <w:rsid w:val="006411EF"/>
    <w:rsid w:val="00646D21"/>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D6270"/>
    <w:rsid w:val="006E12FF"/>
    <w:rsid w:val="006E607E"/>
    <w:rsid w:val="00706C5D"/>
    <w:rsid w:val="00732922"/>
    <w:rsid w:val="0075162E"/>
    <w:rsid w:val="00754034"/>
    <w:rsid w:val="00756556"/>
    <w:rsid w:val="007618C4"/>
    <w:rsid w:val="00767980"/>
    <w:rsid w:val="00770B19"/>
    <w:rsid w:val="0077463F"/>
    <w:rsid w:val="00783297"/>
    <w:rsid w:val="007836EA"/>
    <w:rsid w:val="00784CDA"/>
    <w:rsid w:val="00785607"/>
    <w:rsid w:val="007906C4"/>
    <w:rsid w:val="007940EA"/>
    <w:rsid w:val="007967E8"/>
    <w:rsid w:val="007A2170"/>
    <w:rsid w:val="007A22BF"/>
    <w:rsid w:val="007A3323"/>
    <w:rsid w:val="007B72B8"/>
    <w:rsid w:val="007B7A58"/>
    <w:rsid w:val="007C21B5"/>
    <w:rsid w:val="007D0FD2"/>
    <w:rsid w:val="007E4BD2"/>
    <w:rsid w:val="007F1804"/>
    <w:rsid w:val="00801393"/>
    <w:rsid w:val="00802F88"/>
    <w:rsid w:val="0081293E"/>
    <w:rsid w:val="00815465"/>
    <w:rsid w:val="00817E9A"/>
    <w:rsid w:val="008306BD"/>
    <w:rsid w:val="00831A80"/>
    <w:rsid w:val="00833743"/>
    <w:rsid w:val="008340A4"/>
    <w:rsid w:val="0087135F"/>
    <w:rsid w:val="00872D94"/>
    <w:rsid w:val="00873987"/>
    <w:rsid w:val="00880364"/>
    <w:rsid w:val="00891592"/>
    <w:rsid w:val="00891E9E"/>
    <w:rsid w:val="008A2B7D"/>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251C"/>
    <w:rsid w:val="0094154D"/>
    <w:rsid w:val="0095155F"/>
    <w:rsid w:val="0095163E"/>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26C3"/>
    <w:rsid w:val="00A04F1B"/>
    <w:rsid w:val="00A0501B"/>
    <w:rsid w:val="00A14947"/>
    <w:rsid w:val="00A22C55"/>
    <w:rsid w:val="00A32A83"/>
    <w:rsid w:val="00A368DB"/>
    <w:rsid w:val="00A423AA"/>
    <w:rsid w:val="00A53EC6"/>
    <w:rsid w:val="00A558B1"/>
    <w:rsid w:val="00A55C0F"/>
    <w:rsid w:val="00A637A5"/>
    <w:rsid w:val="00A63CC8"/>
    <w:rsid w:val="00A71442"/>
    <w:rsid w:val="00A8713F"/>
    <w:rsid w:val="00A87F45"/>
    <w:rsid w:val="00A90BA1"/>
    <w:rsid w:val="00A94098"/>
    <w:rsid w:val="00A97A9A"/>
    <w:rsid w:val="00AA0671"/>
    <w:rsid w:val="00AA2531"/>
    <w:rsid w:val="00AB1E09"/>
    <w:rsid w:val="00AB4329"/>
    <w:rsid w:val="00AB5330"/>
    <w:rsid w:val="00AB7747"/>
    <w:rsid w:val="00AC14CE"/>
    <w:rsid w:val="00AC2A56"/>
    <w:rsid w:val="00AD055E"/>
    <w:rsid w:val="00AD47A7"/>
    <w:rsid w:val="00AF0CBF"/>
    <w:rsid w:val="00AF257F"/>
    <w:rsid w:val="00AF33CF"/>
    <w:rsid w:val="00AF4D50"/>
    <w:rsid w:val="00AF51CF"/>
    <w:rsid w:val="00AF6179"/>
    <w:rsid w:val="00B1295A"/>
    <w:rsid w:val="00B20A45"/>
    <w:rsid w:val="00B22C5C"/>
    <w:rsid w:val="00B24F30"/>
    <w:rsid w:val="00B2528B"/>
    <w:rsid w:val="00B27763"/>
    <w:rsid w:val="00B31ABF"/>
    <w:rsid w:val="00B33BE3"/>
    <w:rsid w:val="00B53B5D"/>
    <w:rsid w:val="00B6055E"/>
    <w:rsid w:val="00B6317D"/>
    <w:rsid w:val="00B639CD"/>
    <w:rsid w:val="00B7723F"/>
    <w:rsid w:val="00B80534"/>
    <w:rsid w:val="00B82F2F"/>
    <w:rsid w:val="00B8433C"/>
    <w:rsid w:val="00B87491"/>
    <w:rsid w:val="00BA29E9"/>
    <w:rsid w:val="00BA7142"/>
    <w:rsid w:val="00BB237C"/>
    <w:rsid w:val="00BB41A3"/>
    <w:rsid w:val="00BC32DC"/>
    <w:rsid w:val="00BC35B6"/>
    <w:rsid w:val="00BC62CF"/>
    <w:rsid w:val="00BD1B51"/>
    <w:rsid w:val="00BD4596"/>
    <w:rsid w:val="00BD6C4C"/>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D3A6B"/>
    <w:rsid w:val="00CE10E9"/>
    <w:rsid w:val="00CE2910"/>
    <w:rsid w:val="00CE5393"/>
    <w:rsid w:val="00CF36BE"/>
    <w:rsid w:val="00CF6000"/>
    <w:rsid w:val="00D003F3"/>
    <w:rsid w:val="00D0364F"/>
    <w:rsid w:val="00D06834"/>
    <w:rsid w:val="00D13BE5"/>
    <w:rsid w:val="00D21F47"/>
    <w:rsid w:val="00D308ED"/>
    <w:rsid w:val="00D32B35"/>
    <w:rsid w:val="00D36D86"/>
    <w:rsid w:val="00D428AA"/>
    <w:rsid w:val="00D4427A"/>
    <w:rsid w:val="00D50A34"/>
    <w:rsid w:val="00D53EFA"/>
    <w:rsid w:val="00D816A8"/>
    <w:rsid w:val="00D86616"/>
    <w:rsid w:val="00D94A7C"/>
    <w:rsid w:val="00D95896"/>
    <w:rsid w:val="00DB2983"/>
    <w:rsid w:val="00DC1257"/>
    <w:rsid w:val="00DC3DC0"/>
    <w:rsid w:val="00DC5B2B"/>
    <w:rsid w:val="00DD318D"/>
    <w:rsid w:val="00DF2E12"/>
    <w:rsid w:val="00DF514A"/>
    <w:rsid w:val="00DF6690"/>
    <w:rsid w:val="00DF6804"/>
    <w:rsid w:val="00E0358D"/>
    <w:rsid w:val="00E035BA"/>
    <w:rsid w:val="00E04323"/>
    <w:rsid w:val="00E070A2"/>
    <w:rsid w:val="00E132D7"/>
    <w:rsid w:val="00E236C7"/>
    <w:rsid w:val="00E2656A"/>
    <w:rsid w:val="00E412D0"/>
    <w:rsid w:val="00E56322"/>
    <w:rsid w:val="00E60982"/>
    <w:rsid w:val="00E62C62"/>
    <w:rsid w:val="00E654C1"/>
    <w:rsid w:val="00E65D97"/>
    <w:rsid w:val="00E72A5A"/>
    <w:rsid w:val="00E73354"/>
    <w:rsid w:val="00E9242D"/>
    <w:rsid w:val="00EB5255"/>
    <w:rsid w:val="00EB5C47"/>
    <w:rsid w:val="00EC5454"/>
    <w:rsid w:val="00ED0639"/>
    <w:rsid w:val="00EF4755"/>
    <w:rsid w:val="00EF7135"/>
    <w:rsid w:val="00F027DB"/>
    <w:rsid w:val="00F14A7A"/>
    <w:rsid w:val="00F15FB2"/>
    <w:rsid w:val="00F22985"/>
    <w:rsid w:val="00F3383E"/>
    <w:rsid w:val="00F465A7"/>
    <w:rsid w:val="00F50B7C"/>
    <w:rsid w:val="00F550E6"/>
    <w:rsid w:val="00F74345"/>
    <w:rsid w:val="00F75D4D"/>
    <w:rsid w:val="00F80A0A"/>
    <w:rsid w:val="00F82B19"/>
    <w:rsid w:val="00F9212D"/>
    <w:rsid w:val="00F965DA"/>
    <w:rsid w:val="00FA406A"/>
    <w:rsid w:val="00FA4C1D"/>
    <w:rsid w:val="00FB503A"/>
    <w:rsid w:val="00FB516C"/>
    <w:rsid w:val="00FD0236"/>
    <w:rsid w:val="00FD18F4"/>
    <w:rsid w:val="00FD413E"/>
    <w:rsid w:val="00FD54DB"/>
    <w:rsid w:val="00FD619F"/>
    <w:rsid w:val="00FE7DB8"/>
    <w:rsid w:val="01184412"/>
    <w:rsid w:val="01290F7E"/>
    <w:rsid w:val="01382DA8"/>
    <w:rsid w:val="01437248"/>
    <w:rsid w:val="015D1E09"/>
    <w:rsid w:val="023A35B8"/>
    <w:rsid w:val="02697903"/>
    <w:rsid w:val="029C5E27"/>
    <w:rsid w:val="02D46D8B"/>
    <w:rsid w:val="02F96569"/>
    <w:rsid w:val="03361034"/>
    <w:rsid w:val="035523FF"/>
    <w:rsid w:val="03B22D34"/>
    <w:rsid w:val="03EA7B21"/>
    <w:rsid w:val="04216B43"/>
    <w:rsid w:val="04D67E51"/>
    <w:rsid w:val="04F07A60"/>
    <w:rsid w:val="05014F6A"/>
    <w:rsid w:val="0515468E"/>
    <w:rsid w:val="052F75AE"/>
    <w:rsid w:val="05B00ECC"/>
    <w:rsid w:val="05F83EAE"/>
    <w:rsid w:val="063E7D85"/>
    <w:rsid w:val="065A2407"/>
    <w:rsid w:val="066B02C3"/>
    <w:rsid w:val="067C51B4"/>
    <w:rsid w:val="068B4C72"/>
    <w:rsid w:val="06B15FAF"/>
    <w:rsid w:val="071D1433"/>
    <w:rsid w:val="07293586"/>
    <w:rsid w:val="07295285"/>
    <w:rsid w:val="07364A74"/>
    <w:rsid w:val="073770DD"/>
    <w:rsid w:val="07636392"/>
    <w:rsid w:val="07770C56"/>
    <w:rsid w:val="08411646"/>
    <w:rsid w:val="08C950D2"/>
    <w:rsid w:val="092217DD"/>
    <w:rsid w:val="093A7294"/>
    <w:rsid w:val="094A6551"/>
    <w:rsid w:val="094A7E81"/>
    <w:rsid w:val="097E2B14"/>
    <w:rsid w:val="09B05D44"/>
    <w:rsid w:val="09CC3BEA"/>
    <w:rsid w:val="09D45B1B"/>
    <w:rsid w:val="0A035E76"/>
    <w:rsid w:val="0A204BC4"/>
    <w:rsid w:val="0A263993"/>
    <w:rsid w:val="0A2D3AC2"/>
    <w:rsid w:val="0AA755DF"/>
    <w:rsid w:val="0B120D44"/>
    <w:rsid w:val="0B3510AD"/>
    <w:rsid w:val="0B5F75D9"/>
    <w:rsid w:val="0BAB6189"/>
    <w:rsid w:val="0BAC3FDB"/>
    <w:rsid w:val="0BAF5882"/>
    <w:rsid w:val="0BD04B1E"/>
    <w:rsid w:val="0BD27BF6"/>
    <w:rsid w:val="0BDB2A4C"/>
    <w:rsid w:val="0BE77482"/>
    <w:rsid w:val="0BE877B6"/>
    <w:rsid w:val="0C2E40C6"/>
    <w:rsid w:val="0C3B3C7D"/>
    <w:rsid w:val="0C683E58"/>
    <w:rsid w:val="0C8B6BF6"/>
    <w:rsid w:val="0CAB2EAE"/>
    <w:rsid w:val="0CBE2AD4"/>
    <w:rsid w:val="0D356A98"/>
    <w:rsid w:val="0D621C7D"/>
    <w:rsid w:val="0D8B6F80"/>
    <w:rsid w:val="0DC2160B"/>
    <w:rsid w:val="0DC463FB"/>
    <w:rsid w:val="0DC5006E"/>
    <w:rsid w:val="0DE21828"/>
    <w:rsid w:val="0DFA0EC4"/>
    <w:rsid w:val="0E0F0806"/>
    <w:rsid w:val="0E0F7B64"/>
    <w:rsid w:val="0E354F87"/>
    <w:rsid w:val="0E73034D"/>
    <w:rsid w:val="0F13775A"/>
    <w:rsid w:val="0F3B10EC"/>
    <w:rsid w:val="0F5F45FE"/>
    <w:rsid w:val="0F692ED1"/>
    <w:rsid w:val="0F9A112B"/>
    <w:rsid w:val="106D2F64"/>
    <w:rsid w:val="10B63710"/>
    <w:rsid w:val="10E83862"/>
    <w:rsid w:val="10F10820"/>
    <w:rsid w:val="111C2F7A"/>
    <w:rsid w:val="11590946"/>
    <w:rsid w:val="11665CA1"/>
    <w:rsid w:val="11F828DE"/>
    <w:rsid w:val="124C44FA"/>
    <w:rsid w:val="12B7275E"/>
    <w:rsid w:val="12BB471B"/>
    <w:rsid w:val="12CF23DB"/>
    <w:rsid w:val="12F14D48"/>
    <w:rsid w:val="13407244"/>
    <w:rsid w:val="13951726"/>
    <w:rsid w:val="139B3268"/>
    <w:rsid w:val="13B84CF0"/>
    <w:rsid w:val="14396509"/>
    <w:rsid w:val="14D80B3A"/>
    <w:rsid w:val="14DD2C3C"/>
    <w:rsid w:val="15B43C7B"/>
    <w:rsid w:val="15B87384"/>
    <w:rsid w:val="15E750CA"/>
    <w:rsid w:val="16087E1D"/>
    <w:rsid w:val="170A4814"/>
    <w:rsid w:val="172A4339"/>
    <w:rsid w:val="174E3098"/>
    <w:rsid w:val="17701D14"/>
    <w:rsid w:val="17735226"/>
    <w:rsid w:val="177A7C77"/>
    <w:rsid w:val="18006FDD"/>
    <w:rsid w:val="183421C5"/>
    <w:rsid w:val="187310DF"/>
    <w:rsid w:val="189F624C"/>
    <w:rsid w:val="19026DF2"/>
    <w:rsid w:val="19515BB6"/>
    <w:rsid w:val="19882502"/>
    <w:rsid w:val="19B87323"/>
    <w:rsid w:val="1A1C66C0"/>
    <w:rsid w:val="1A1D679A"/>
    <w:rsid w:val="1A42393B"/>
    <w:rsid w:val="1AAD45DE"/>
    <w:rsid w:val="1AC44D8D"/>
    <w:rsid w:val="1AD422B1"/>
    <w:rsid w:val="1B046F80"/>
    <w:rsid w:val="1B2314DE"/>
    <w:rsid w:val="1B26111C"/>
    <w:rsid w:val="1B2D76CD"/>
    <w:rsid w:val="1B3267B5"/>
    <w:rsid w:val="1B40161D"/>
    <w:rsid w:val="1B441859"/>
    <w:rsid w:val="1B5B4BD9"/>
    <w:rsid w:val="1B6606B1"/>
    <w:rsid w:val="1BD90664"/>
    <w:rsid w:val="1C1A7551"/>
    <w:rsid w:val="1C5E7925"/>
    <w:rsid w:val="1CFD070F"/>
    <w:rsid w:val="1D47600F"/>
    <w:rsid w:val="1D5F6196"/>
    <w:rsid w:val="1D6132A5"/>
    <w:rsid w:val="1D8E56D5"/>
    <w:rsid w:val="1D905A25"/>
    <w:rsid w:val="1D9D5D73"/>
    <w:rsid w:val="1DD9183F"/>
    <w:rsid w:val="1DEB3B2D"/>
    <w:rsid w:val="1E2826A4"/>
    <w:rsid w:val="1E5C6D97"/>
    <w:rsid w:val="1E7A43DA"/>
    <w:rsid w:val="1E9527AB"/>
    <w:rsid w:val="1EA44C0D"/>
    <w:rsid w:val="1EE77ABF"/>
    <w:rsid w:val="1EF8753A"/>
    <w:rsid w:val="1EFB41C1"/>
    <w:rsid w:val="1FE7539E"/>
    <w:rsid w:val="200F259F"/>
    <w:rsid w:val="20331AED"/>
    <w:rsid w:val="20671BE0"/>
    <w:rsid w:val="20963CB8"/>
    <w:rsid w:val="209D6EC5"/>
    <w:rsid w:val="20A65471"/>
    <w:rsid w:val="20A81A1B"/>
    <w:rsid w:val="20B07FB6"/>
    <w:rsid w:val="20B646FB"/>
    <w:rsid w:val="213B74B1"/>
    <w:rsid w:val="215A2310"/>
    <w:rsid w:val="219D05BE"/>
    <w:rsid w:val="21BD5B8B"/>
    <w:rsid w:val="21C35711"/>
    <w:rsid w:val="21DE318A"/>
    <w:rsid w:val="21EF5B80"/>
    <w:rsid w:val="22576990"/>
    <w:rsid w:val="22F47480"/>
    <w:rsid w:val="23017B55"/>
    <w:rsid w:val="23231460"/>
    <w:rsid w:val="23255F43"/>
    <w:rsid w:val="23580C2C"/>
    <w:rsid w:val="23862176"/>
    <w:rsid w:val="23DE1C48"/>
    <w:rsid w:val="240210CD"/>
    <w:rsid w:val="2435553F"/>
    <w:rsid w:val="244855B8"/>
    <w:rsid w:val="244A5357"/>
    <w:rsid w:val="244E2963"/>
    <w:rsid w:val="24A33413"/>
    <w:rsid w:val="24BB2B53"/>
    <w:rsid w:val="24BF09F7"/>
    <w:rsid w:val="252D53FE"/>
    <w:rsid w:val="256114DC"/>
    <w:rsid w:val="256367EF"/>
    <w:rsid w:val="257D00BF"/>
    <w:rsid w:val="25912461"/>
    <w:rsid w:val="25EC2A0C"/>
    <w:rsid w:val="25EC2D81"/>
    <w:rsid w:val="260024CF"/>
    <w:rsid w:val="26890724"/>
    <w:rsid w:val="26A802DF"/>
    <w:rsid w:val="26D94ED8"/>
    <w:rsid w:val="27100CAB"/>
    <w:rsid w:val="274E6760"/>
    <w:rsid w:val="277057A2"/>
    <w:rsid w:val="27A21AAD"/>
    <w:rsid w:val="27DC706A"/>
    <w:rsid w:val="28231F61"/>
    <w:rsid w:val="2859514E"/>
    <w:rsid w:val="28E419BD"/>
    <w:rsid w:val="2911209C"/>
    <w:rsid w:val="2918308E"/>
    <w:rsid w:val="29206EB8"/>
    <w:rsid w:val="29245C6A"/>
    <w:rsid w:val="29595666"/>
    <w:rsid w:val="29874881"/>
    <w:rsid w:val="29A84623"/>
    <w:rsid w:val="29D31EF8"/>
    <w:rsid w:val="29E325E0"/>
    <w:rsid w:val="2A452503"/>
    <w:rsid w:val="2A794436"/>
    <w:rsid w:val="2A7A3DE7"/>
    <w:rsid w:val="2A8A7A29"/>
    <w:rsid w:val="2AFB37B1"/>
    <w:rsid w:val="2B2E2782"/>
    <w:rsid w:val="2B683B5E"/>
    <w:rsid w:val="2B73347E"/>
    <w:rsid w:val="2B8C3F79"/>
    <w:rsid w:val="2B9F01B2"/>
    <w:rsid w:val="2BA936A8"/>
    <w:rsid w:val="2C0439F2"/>
    <w:rsid w:val="2C1D62DC"/>
    <w:rsid w:val="2C315A5A"/>
    <w:rsid w:val="2C4B1C25"/>
    <w:rsid w:val="2C5E3F97"/>
    <w:rsid w:val="2C6D0A33"/>
    <w:rsid w:val="2C912DC7"/>
    <w:rsid w:val="2CEF0A8C"/>
    <w:rsid w:val="2D310F96"/>
    <w:rsid w:val="2D4D41D6"/>
    <w:rsid w:val="2D661D7D"/>
    <w:rsid w:val="2D9E56F5"/>
    <w:rsid w:val="2E667F96"/>
    <w:rsid w:val="2E8226AB"/>
    <w:rsid w:val="2EF46A86"/>
    <w:rsid w:val="2F146DBD"/>
    <w:rsid w:val="2F157D4C"/>
    <w:rsid w:val="2F307488"/>
    <w:rsid w:val="2F504AE2"/>
    <w:rsid w:val="2F624B57"/>
    <w:rsid w:val="2F964427"/>
    <w:rsid w:val="2FD065E6"/>
    <w:rsid w:val="2FD96870"/>
    <w:rsid w:val="2FE60715"/>
    <w:rsid w:val="2FFB3CF2"/>
    <w:rsid w:val="300B0CA4"/>
    <w:rsid w:val="30580BC9"/>
    <w:rsid w:val="311E2ED7"/>
    <w:rsid w:val="315619EE"/>
    <w:rsid w:val="315C449C"/>
    <w:rsid w:val="317A4216"/>
    <w:rsid w:val="319706D9"/>
    <w:rsid w:val="31A63FF3"/>
    <w:rsid w:val="31B67414"/>
    <w:rsid w:val="31B82709"/>
    <w:rsid w:val="31D05482"/>
    <w:rsid w:val="322913D3"/>
    <w:rsid w:val="32400B34"/>
    <w:rsid w:val="326E5A8C"/>
    <w:rsid w:val="327E5FA2"/>
    <w:rsid w:val="328461B4"/>
    <w:rsid w:val="328A7C8A"/>
    <w:rsid w:val="329E6876"/>
    <w:rsid w:val="331D7FBC"/>
    <w:rsid w:val="333015F2"/>
    <w:rsid w:val="334B6320"/>
    <w:rsid w:val="334B7A78"/>
    <w:rsid w:val="336F4CB0"/>
    <w:rsid w:val="339D23B8"/>
    <w:rsid w:val="33D934D4"/>
    <w:rsid w:val="33F73F5E"/>
    <w:rsid w:val="33FE2F6A"/>
    <w:rsid w:val="340E07E5"/>
    <w:rsid w:val="34235BF7"/>
    <w:rsid w:val="344603B5"/>
    <w:rsid w:val="347B7A7A"/>
    <w:rsid w:val="349477C7"/>
    <w:rsid w:val="34AE65C7"/>
    <w:rsid w:val="34EF6160"/>
    <w:rsid w:val="355A38F7"/>
    <w:rsid w:val="358C5FA8"/>
    <w:rsid w:val="35A632BF"/>
    <w:rsid w:val="35C15DF1"/>
    <w:rsid w:val="36074A7F"/>
    <w:rsid w:val="361D7833"/>
    <w:rsid w:val="36303079"/>
    <w:rsid w:val="3661186E"/>
    <w:rsid w:val="366262B2"/>
    <w:rsid w:val="36923549"/>
    <w:rsid w:val="36B01084"/>
    <w:rsid w:val="36B75FBF"/>
    <w:rsid w:val="36B96023"/>
    <w:rsid w:val="36BD0C45"/>
    <w:rsid w:val="36F24C68"/>
    <w:rsid w:val="375730C7"/>
    <w:rsid w:val="37750A9A"/>
    <w:rsid w:val="37E00298"/>
    <w:rsid w:val="38307BDF"/>
    <w:rsid w:val="38B302F9"/>
    <w:rsid w:val="38D0668B"/>
    <w:rsid w:val="38F12CD3"/>
    <w:rsid w:val="38F94775"/>
    <w:rsid w:val="392971ED"/>
    <w:rsid w:val="39325651"/>
    <w:rsid w:val="39A479CC"/>
    <w:rsid w:val="3A5F17F2"/>
    <w:rsid w:val="3A872856"/>
    <w:rsid w:val="3B207722"/>
    <w:rsid w:val="3B3763D1"/>
    <w:rsid w:val="3B4018FD"/>
    <w:rsid w:val="3B402A4C"/>
    <w:rsid w:val="3BA30CF9"/>
    <w:rsid w:val="3C1C76C1"/>
    <w:rsid w:val="3C2F6E1E"/>
    <w:rsid w:val="3C4F64BA"/>
    <w:rsid w:val="3C501977"/>
    <w:rsid w:val="3C643EE8"/>
    <w:rsid w:val="3C6E4F74"/>
    <w:rsid w:val="3C7A664A"/>
    <w:rsid w:val="3C8E128B"/>
    <w:rsid w:val="3CDA245A"/>
    <w:rsid w:val="3CF07C9A"/>
    <w:rsid w:val="3D124D94"/>
    <w:rsid w:val="3D1E06B7"/>
    <w:rsid w:val="3D6D6924"/>
    <w:rsid w:val="3D9206E7"/>
    <w:rsid w:val="3D987C68"/>
    <w:rsid w:val="3DD338C1"/>
    <w:rsid w:val="3DDC2833"/>
    <w:rsid w:val="3DEC7D96"/>
    <w:rsid w:val="3E167806"/>
    <w:rsid w:val="3E6C6F78"/>
    <w:rsid w:val="3E7B276F"/>
    <w:rsid w:val="3E8E480F"/>
    <w:rsid w:val="3EDA0523"/>
    <w:rsid w:val="3EEA46D4"/>
    <w:rsid w:val="3EF97E8B"/>
    <w:rsid w:val="3F8D7B42"/>
    <w:rsid w:val="3FAC4ACF"/>
    <w:rsid w:val="3FF8001C"/>
    <w:rsid w:val="40054E8D"/>
    <w:rsid w:val="402403DF"/>
    <w:rsid w:val="40326D26"/>
    <w:rsid w:val="405041B1"/>
    <w:rsid w:val="40763B8D"/>
    <w:rsid w:val="407A6407"/>
    <w:rsid w:val="41234706"/>
    <w:rsid w:val="41376733"/>
    <w:rsid w:val="41431BE3"/>
    <w:rsid w:val="414529AA"/>
    <w:rsid w:val="416D4763"/>
    <w:rsid w:val="4197447E"/>
    <w:rsid w:val="41B27678"/>
    <w:rsid w:val="41D6766C"/>
    <w:rsid w:val="4200449D"/>
    <w:rsid w:val="423A3BCC"/>
    <w:rsid w:val="42421521"/>
    <w:rsid w:val="424E57D2"/>
    <w:rsid w:val="424F289A"/>
    <w:rsid w:val="425D7271"/>
    <w:rsid w:val="42B2209F"/>
    <w:rsid w:val="42B26C49"/>
    <w:rsid w:val="42B6748E"/>
    <w:rsid w:val="433A6FE6"/>
    <w:rsid w:val="43480868"/>
    <w:rsid w:val="4350713C"/>
    <w:rsid w:val="436653E0"/>
    <w:rsid w:val="436C63FA"/>
    <w:rsid w:val="43732496"/>
    <w:rsid w:val="43B602FD"/>
    <w:rsid w:val="43B9259A"/>
    <w:rsid w:val="43C4431A"/>
    <w:rsid w:val="443B2D10"/>
    <w:rsid w:val="448403C5"/>
    <w:rsid w:val="44847B25"/>
    <w:rsid w:val="449100A3"/>
    <w:rsid w:val="44B951CC"/>
    <w:rsid w:val="44CD14E0"/>
    <w:rsid w:val="44DD1585"/>
    <w:rsid w:val="44F20B0B"/>
    <w:rsid w:val="452E5F4C"/>
    <w:rsid w:val="454324B8"/>
    <w:rsid w:val="454525F0"/>
    <w:rsid w:val="45612018"/>
    <w:rsid w:val="458946E9"/>
    <w:rsid w:val="45A47C0E"/>
    <w:rsid w:val="45E2644E"/>
    <w:rsid w:val="45EF3BB1"/>
    <w:rsid w:val="4647719D"/>
    <w:rsid w:val="46577FD6"/>
    <w:rsid w:val="468B22FD"/>
    <w:rsid w:val="46D955A7"/>
    <w:rsid w:val="470C4F12"/>
    <w:rsid w:val="47133957"/>
    <w:rsid w:val="47393FD8"/>
    <w:rsid w:val="47A07E0C"/>
    <w:rsid w:val="47B57EEC"/>
    <w:rsid w:val="482F768A"/>
    <w:rsid w:val="4867164F"/>
    <w:rsid w:val="4870272E"/>
    <w:rsid w:val="48946CC4"/>
    <w:rsid w:val="48A550C0"/>
    <w:rsid w:val="48B1080E"/>
    <w:rsid w:val="48C21C4B"/>
    <w:rsid w:val="499171B0"/>
    <w:rsid w:val="49942746"/>
    <w:rsid w:val="49C16F63"/>
    <w:rsid w:val="49DC7715"/>
    <w:rsid w:val="4A023139"/>
    <w:rsid w:val="4A67397A"/>
    <w:rsid w:val="4A7B576F"/>
    <w:rsid w:val="4AF561A9"/>
    <w:rsid w:val="4B5F7906"/>
    <w:rsid w:val="4B9C4366"/>
    <w:rsid w:val="4BA973D6"/>
    <w:rsid w:val="4C1B1829"/>
    <w:rsid w:val="4C3B562C"/>
    <w:rsid w:val="4C4A0649"/>
    <w:rsid w:val="4C7230FC"/>
    <w:rsid w:val="4C7C4EDA"/>
    <w:rsid w:val="4C7E5ECA"/>
    <w:rsid w:val="4C876AA5"/>
    <w:rsid w:val="4CAA6A71"/>
    <w:rsid w:val="4CBB630E"/>
    <w:rsid w:val="4D0E00FB"/>
    <w:rsid w:val="4D176606"/>
    <w:rsid w:val="4D921DD4"/>
    <w:rsid w:val="4D9B2BE1"/>
    <w:rsid w:val="4DEC4FB0"/>
    <w:rsid w:val="4E075D8A"/>
    <w:rsid w:val="4E081B0F"/>
    <w:rsid w:val="4E292181"/>
    <w:rsid w:val="4EC00FAD"/>
    <w:rsid w:val="4ED33672"/>
    <w:rsid w:val="4F0630BC"/>
    <w:rsid w:val="4F610669"/>
    <w:rsid w:val="4F6C6A22"/>
    <w:rsid w:val="4F746B06"/>
    <w:rsid w:val="4F9843DC"/>
    <w:rsid w:val="4FC62A8C"/>
    <w:rsid w:val="4FDE6201"/>
    <w:rsid w:val="4FE20F0D"/>
    <w:rsid w:val="4FE51552"/>
    <w:rsid w:val="501335DA"/>
    <w:rsid w:val="50504C4B"/>
    <w:rsid w:val="50872653"/>
    <w:rsid w:val="509C6E7C"/>
    <w:rsid w:val="50D032C3"/>
    <w:rsid w:val="5115787A"/>
    <w:rsid w:val="5162104E"/>
    <w:rsid w:val="51850056"/>
    <w:rsid w:val="52490899"/>
    <w:rsid w:val="52A4184F"/>
    <w:rsid w:val="52B7750B"/>
    <w:rsid w:val="5344729C"/>
    <w:rsid w:val="539A011C"/>
    <w:rsid w:val="53A039CC"/>
    <w:rsid w:val="53A1505A"/>
    <w:rsid w:val="54063E08"/>
    <w:rsid w:val="541C34AD"/>
    <w:rsid w:val="543437E8"/>
    <w:rsid w:val="54484542"/>
    <w:rsid w:val="54F73313"/>
    <w:rsid w:val="54F80955"/>
    <w:rsid w:val="55290FD4"/>
    <w:rsid w:val="555170A7"/>
    <w:rsid w:val="555841D1"/>
    <w:rsid w:val="556E38BD"/>
    <w:rsid w:val="5587536D"/>
    <w:rsid w:val="559B174B"/>
    <w:rsid w:val="55CE0CF4"/>
    <w:rsid w:val="5612773F"/>
    <w:rsid w:val="561D6D93"/>
    <w:rsid w:val="56B22A9C"/>
    <w:rsid w:val="56BD7224"/>
    <w:rsid w:val="56F5120B"/>
    <w:rsid w:val="570A4F76"/>
    <w:rsid w:val="572F2B30"/>
    <w:rsid w:val="574D0A20"/>
    <w:rsid w:val="575723B6"/>
    <w:rsid w:val="578F08A2"/>
    <w:rsid w:val="579315BC"/>
    <w:rsid w:val="57B72A76"/>
    <w:rsid w:val="57BE6088"/>
    <w:rsid w:val="57C27B12"/>
    <w:rsid w:val="57C3426C"/>
    <w:rsid w:val="57CE1F93"/>
    <w:rsid w:val="58290CDF"/>
    <w:rsid w:val="586846F8"/>
    <w:rsid w:val="588743D1"/>
    <w:rsid w:val="5887701A"/>
    <w:rsid w:val="58B23B1E"/>
    <w:rsid w:val="58D53903"/>
    <w:rsid w:val="58E26CC3"/>
    <w:rsid w:val="58FD59A4"/>
    <w:rsid w:val="59C0439F"/>
    <w:rsid w:val="5A0238BB"/>
    <w:rsid w:val="5A847240"/>
    <w:rsid w:val="5A9C5B26"/>
    <w:rsid w:val="5ABE2233"/>
    <w:rsid w:val="5ADE2920"/>
    <w:rsid w:val="5AE6348E"/>
    <w:rsid w:val="5B7D1342"/>
    <w:rsid w:val="5BA11DDF"/>
    <w:rsid w:val="5BDF5D95"/>
    <w:rsid w:val="5BFE7528"/>
    <w:rsid w:val="5C41036B"/>
    <w:rsid w:val="5C4A09A6"/>
    <w:rsid w:val="5CBF78B3"/>
    <w:rsid w:val="5D08494D"/>
    <w:rsid w:val="5D1D1DDC"/>
    <w:rsid w:val="5D6145D9"/>
    <w:rsid w:val="5D665247"/>
    <w:rsid w:val="5E2467F1"/>
    <w:rsid w:val="5E2771BF"/>
    <w:rsid w:val="5E6F6B4C"/>
    <w:rsid w:val="5EB42D2B"/>
    <w:rsid w:val="5EC572AB"/>
    <w:rsid w:val="5F1A2B43"/>
    <w:rsid w:val="5F2B49AC"/>
    <w:rsid w:val="5F3102B9"/>
    <w:rsid w:val="5F8F4751"/>
    <w:rsid w:val="5FA9608A"/>
    <w:rsid w:val="5FB837BB"/>
    <w:rsid w:val="5FD64043"/>
    <w:rsid w:val="6024157B"/>
    <w:rsid w:val="60585031"/>
    <w:rsid w:val="60AB70B7"/>
    <w:rsid w:val="60CC405A"/>
    <w:rsid w:val="60D42121"/>
    <w:rsid w:val="60E720ED"/>
    <w:rsid w:val="60FE6E32"/>
    <w:rsid w:val="61577C0E"/>
    <w:rsid w:val="61A801C7"/>
    <w:rsid w:val="61E215D8"/>
    <w:rsid w:val="620A3D81"/>
    <w:rsid w:val="621B3775"/>
    <w:rsid w:val="62364782"/>
    <w:rsid w:val="623D49B2"/>
    <w:rsid w:val="627E3F4F"/>
    <w:rsid w:val="630F1EF9"/>
    <w:rsid w:val="6394356A"/>
    <w:rsid w:val="63C61B2C"/>
    <w:rsid w:val="63D40BE9"/>
    <w:rsid w:val="64102431"/>
    <w:rsid w:val="646E6C9B"/>
    <w:rsid w:val="64A5243A"/>
    <w:rsid w:val="64F531DE"/>
    <w:rsid w:val="65373578"/>
    <w:rsid w:val="65393CBD"/>
    <w:rsid w:val="65412D20"/>
    <w:rsid w:val="65772364"/>
    <w:rsid w:val="65E65672"/>
    <w:rsid w:val="66371671"/>
    <w:rsid w:val="66B27816"/>
    <w:rsid w:val="66DE6E5E"/>
    <w:rsid w:val="670E44D1"/>
    <w:rsid w:val="671E5B08"/>
    <w:rsid w:val="671F124A"/>
    <w:rsid w:val="673864BF"/>
    <w:rsid w:val="673B6D38"/>
    <w:rsid w:val="677528BA"/>
    <w:rsid w:val="677A33C6"/>
    <w:rsid w:val="67AD512E"/>
    <w:rsid w:val="67C165C2"/>
    <w:rsid w:val="67ED3049"/>
    <w:rsid w:val="68103A7F"/>
    <w:rsid w:val="681F6961"/>
    <w:rsid w:val="68410B04"/>
    <w:rsid w:val="684524EC"/>
    <w:rsid w:val="685D37D1"/>
    <w:rsid w:val="68610A2F"/>
    <w:rsid w:val="68805514"/>
    <w:rsid w:val="68A03C61"/>
    <w:rsid w:val="68BC1EE6"/>
    <w:rsid w:val="69193F53"/>
    <w:rsid w:val="691D4FAD"/>
    <w:rsid w:val="69316E2F"/>
    <w:rsid w:val="69367F5D"/>
    <w:rsid w:val="693C22F9"/>
    <w:rsid w:val="694E2071"/>
    <w:rsid w:val="69766163"/>
    <w:rsid w:val="697A3B33"/>
    <w:rsid w:val="697F2CA2"/>
    <w:rsid w:val="69AE3BC4"/>
    <w:rsid w:val="69B96FB1"/>
    <w:rsid w:val="69D44760"/>
    <w:rsid w:val="69E66FAB"/>
    <w:rsid w:val="6A3E206F"/>
    <w:rsid w:val="6A4F5593"/>
    <w:rsid w:val="6A520EC7"/>
    <w:rsid w:val="6A80706E"/>
    <w:rsid w:val="6AAB66D6"/>
    <w:rsid w:val="6AC0466B"/>
    <w:rsid w:val="6AEE4D56"/>
    <w:rsid w:val="6AF87E20"/>
    <w:rsid w:val="6B2A26FE"/>
    <w:rsid w:val="6B322639"/>
    <w:rsid w:val="6B6D3586"/>
    <w:rsid w:val="6BB93C58"/>
    <w:rsid w:val="6BE11B35"/>
    <w:rsid w:val="6C5A272A"/>
    <w:rsid w:val="6C636C38"/>
    <w:rsid w:val="6CA833F3"/>
    <w:rsid w:val="6CB341B8"/>
    <w:rsid w:val="6CC275B8"/>
    <w:rsid w:val="6CF271BB"/>
    <w:rsid w:val="6CF6423E"/>
    <w:rsid w:val="6CF654A1"/>
    <w:rsid w:val="6CF91ED1"/>
    <w:rsid w:val="6D055976"/>
    <w:rsid w:val="6D16021D"/>
    <w:rsid w:val="6D772A37"/>
    <w:rsid w:val="6D7B500C"/>
    <w:rsid w:val="6D872853"/>
    <w:rsid w:val="6D923C02"/>
    <w:rsid w:val="6DB34098"/>
    <w:rsid w:val="6DB545B6"/>
    <w:rsid w:val="6DE02FB4"/>
    <w:rsid w:val="6E376FDC"/>
    <w:rsid w:val="6E514CED"/>
    <w:rsid w:val="6E6A0AD0"/>
    <w:rsid w:val="6E7D2BD0"/>
    <w:rsid w:val="6EB563D5"/>
    <w:rsid w:val="6ED92677"/>
    <w:rsid w:val="6EE478A3"/>
    <w:rsid w:val="6F225983"/>
    <w:rsid w:val="6F571242"/>
    <w:rsid w:val="6FB43DCB"/>
    <w:rsid w:val="6FFC5590"/>
    <w:rsid w:val="706D1DD0"/>
    <w:rsid w:val="70856B87"/>
    <w:rsid w:val="708D0C8E"/>
    <w:rsid w:val="70C63971"/>
    <w:rsid w:val="70D527EE"/>
    <w:rsid w:val="711F0677"/>
    <w:rsid w:val="71241105"/>
    <w:rsid w:val="715B5300"/>
    <w:rsid w:val="71D27F8A"/>
    <w:rsid w:val="722F119D"/>
    <w:rsid w:val="72553024"/>
    <w:rsid w:val="726943F1"/>
    <w:rsid w:val="73122968"/>
    <w:rsid w:val="731F5D5E"/>
    <w:rsid w:val="73504348"/>
    <w:rsid w:val="73C51AD5"/>
    <w:rsid w:val="741E793C"/>
    <w:rsid w:val="745E3944"/>
    <w:rsid w:val="74797D94"/>
    <w:rsid w:val="74A43161"/>
    <w:rsid w:val="74EE0847"/>
    <w:rsid w:val="758B56EE"/>
    <w:rsid w:val="76255774"/>
    <w:rsid w:val="7635099D"/>
    <w:rsid w:val="76426C59"/>
    <w:rsid w:val="766502CD"/>
    <w:rsid w:val="766D1C84"/>
    <w:rsid w:val="77572F15"/>
    <w:rsid w:val="77762421"/>
    <w:rsid w:val="7777017C"/>
    <w:rsid w:val="77945CA5"/>
    <w:rsid w:val="77B54E0F"/>
    <w:rsid w:val="77B56B1F"/>
    <w:rsid w:val="780F09F4"/>
    <w:rsid w:val="78647878"/>
    <w:rsid w:val="78826884"/>
    <w:rsid w:val="788D3B9B"/>
    <w:rsid w:val="789324F6"/>
    <w:rsid w:val="78A90480"/>
    <w:rsid w:val="79363762"/>
    <w:rsid w:val="79A10A0A"/>
    <w:rsid w:val="79C142AC"/>
    <w:rsid w:val="79DE1AD6"/>
    <w:rsid w:val="79EB295B"/>
    <w:rsid w:val="7A33777C"/>
    <w:rsid w:val="7A364017"/>
    <w:rsid w:val="7A3E6774"/>
    <w:rsid w:val="7A8265E1"/>
    <w:rsid w:val="7A830254"/>
    <w:rsid w:val="7ABB14E4"/>
    <w:rsid w:val="7B686D42"/>
    <w:rsid w:val="7B841746"/>
    <w:rsid w:val="7B8926DC"/>
    <w:rsid w:val="7B995E1C"/>
    <w:rsid w:val="7BBF55E6"/>
    <w:rsid w:val="7BDF1EBF"/>
    <w:rsid w:val="7C47065C"/>
    <w:rsid w:val="7C63072E"/>
    <w:rsid w:val="7C6605F1"/>
    <w:rsid w:val="7C6C5AC7"/>
    <w:rsid w:val="7CA362E4"/>
    <w:rsid w:val="7CC6544B"/>
    <w:rsid w:val="7CD45112"/>
    <w:rsid w:val="7D0239FF"/>
    <w:rsid w:val="7D5E40CD"/>
    <w:rsid w:val="7D9326CB"/>
    <w:rsid w:val="7DAA513D"/>
    <w:rsid w:val="7DCD56F2"/>
    <w:rsid w:val="7E213F19"/>
    <w:rsid w:val="7E515A8D"/>
    <w:rsid w:val="7EA53919"/>
    <w:rsid w:val="7EBD15CA"/>
    <w:rsid w:val="7ED30638"/>
    <w:rsid w:val="7EDB62DC"/>
    <w:rsid w:val="7F001CE7"/>
    <w:rsid w:val="7F3B0118"/>
    <w:rsid w:val="7FA27420"/>
    <w:rsid w:val="7FC42B4A"/>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4"/>
    <w:basedOn w:val="1"/>
    <w:next w:val="1"/>
    <w:qFormat/>
    <w:locked/>
    <w:uiPriority w:val="0"/>
    <w:pPr>
      <w:keepNext/>
      <w:keepLines/>
      <w:numPr>
        <w:ilvl w:val="3"/>
        <w:numId w:val="1"/>
      </w:numPr>
      <w:spacing w:after="75" w:afterLines="75" w:line="240" w:lineRule="auto"/>
      <w:outlineLvl w:val="3"/>
    </w:pPr>
    <w:rPr>
      <w:rFonts w:ascii="Times New Roman" w:hAnsi="Times New Roman" w:eastAsia="黑体" w:cs="Times New Roman"/>
      <w:bCs/>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locked/>
    <w:uiPriority w:val="0"/>
    <w:pPr>
      <w:spacing w:after="120" w:afterLines="0" w:line="240" w:lineRule="auto"/>
      <w:ind w:left="420" w:leftChars="200" w:firstLine="420"/>
    </w:pPr>
    <w:rPr>
      <w:sz w:val="21"/>
    </w:rPr>
  </w:style>
  <w:style w:type="paragraph" w:styleId="3">
    <w:name w:val="Body Text Indent"/>
    <w:basedOn w:val="1"/>
    <w:next w:val="4"/>
    <w:link w:val="28"/>
    <w:qFormat/>
    <w:uiPriority w:val="0"/>
    <w:pPr>
      <w:spacing w:after="120"/>
      <w:ind w:left="420" w:leftChars="200"/>
    </w:pPr>
    <w:rPr>
      <w:kern w:val="0"/>
      <w:sz w:val="24"/>
      <w:szCs w:val="20"/>
    </w:rPr>
  </w:style>
  <w:style w:type="paragraph" w:styleId="4">
    <w:name w:val="Body Text Indent 2"/>
    <w:basedOn w:val="1"/>
    <w:next w:val="2"/>
    <w:qFormat/>
    <w:locked/>
    <w:uiPriority w:val="0"/>
    <w:pPr>
      <w:spacing w:before="15" w:line="480" w:lineRule="exact"/>
      <w:ind w:firstLine="496" w:firstLineChars="200"/>
    </w:pPr>
    <w:rPr>
      <w:rFonts w:ascii="宋体" w:hAnsi="宋体"/>
      <w:spacing w:val="4"/>
      <w:sz w:val="24"/>
    </w:rPr>
  </w:style>
  <w:style w:type="paragraph" w:styleId="7">
    <w:name w:val="Normal Indent"/>
    <w:basedOn w:val="1"/>
    <w:qFormat/>
    <w:locked/>
    <w:uiPriority w:val="0"/>
    <w:pPr>
      <w:snapToGrid/>
      <w:spacing w:line="240" w:lineRule="auto"/>
      <w:ind w:firstLine="420"/>
      <w:jc w:val="both"/>
    </w:pPr>
    <w:rPr>
      <w:rFonts w:ascii="Times New Roman" w:hAnsi="Times New Roman" w:eastAsia="宋体" w:cs="Times New Roman"/>
      <w:sz w:val="21"/>
      <w:szCs w:val="20"/>
    </w:rPr>
  </w:style>
  <w:style w:type="paragraph" w:styleId="8">
    <w:name w:val="annotation text"/>
    <w:basedOn w:val="1"/>
    <w:link w:val="27"/>
    <w:semiHidden/>
    <w:qFormat/>
    <w:uiPriority w:val="0"/>
    <w:pPr>
      <w:jc w:val="left"/>
    </w:pPr>
    <w:rPr>
      <w:kern w:val="0"/>
      <w:sz w:val="24"/>
      <w:szCs w:val="20"/>
    </w:rPr>
  </w:style>
  <w:style w:type="paragraph" w:styleId="9">
    <w:name w:val="Body Text"/>
    <w:basedOn w:val="1"/>
    <w:next w:val="10"/>
    <w:link w:val="26"/>
    <w:qFormat/>
    <w:uiPriority w:val="0"/>
    <w:pPr>
      <w:widowControl/>
      <w:snapToGrid w:val="0"/>
      <w:spacing w:before="60" w:after="160" w:line="259" w:lineRule="auto"/>
      <w:ind w:right="113"/>
    </w:pPr>
    <w:rPr>
      <w:kern w:val="0"/>
      <w:sz w:val="18"/>
      <w:szCs w:val="20"/>
    </w:rPr>
  </w:style>
  <w:style w:type="paragraph" w:customStyle="1" w:styleId="10">
    <w:name w:val="xl27"/>
    <w:basedOn w:val="1"/>
    <w:next w:val="1"/>
    <w:qFormat/>
    <w:uiPriority w:val="0"/>
    <w:pPr>
      <w:widowControl/>
      <w:pBdr>
        <w:left w:val="single" w:color="auto" w:sz="12" w:space="0"/>
        <w:bottom w:val="single" w:color="auto" w:sz="12" w:space="0"/>
      </w:pBdr>
      <w:snapToGrid/>
      <w:spacing w:before="100" w:beforeAutospacing="1" w:after="100" w:afterAutospacing="1" w:line="240" w:lineRule="auto"/>
    </w:pPr>
    <w:rPr>
      <w:rFonts w:ascii="Arial Unicode MS" w:hAnsi="Arial Unicode MS" w:eastAsia="宋体" w:cs="Times New Roman"/>
      <w:kern w:val="0"/>
      <w:sz w:val="21"/>
      <w:szCs w:val="24"/>
    </w:rPr>
  </w:style>
  <w:style w:type="paragraph" w:styleId="11">
    <w:name w:val="Plain Text"/>
    <w:basedOn w:val="1"/>
    <w:qFormat/>
    <w:locked/>
    <w:uiPriority w:val="0"/>
    <w:pPr>
      <w:adjustRightInd w:val="0"/>
      <w:spacing w:before="120" w:line="400" w:lineRule="exact"/>
      <w:textAlignment w:val="baseline"/>
    </w:pPr>
    <w:rPr>
      <w:rFonts w:ascii="宋体" w:hAnsi="Courier New"/>
      <w:spacing w:val="-2"/>
      <w:kern w:val="28"/>
      <w:szCs w:val="20"/>
    </w:rPr>
  </w:style>
  <w:style w:type="paragraph" w:styleId="12">
    <w:name w:val="Date"/>
    <w:basedOn w:val="1"/>
    <w:next w:val="1"/>
    <w:link w:val="29"/>
    <w:qFormat/>
    <w:uiPriority w:val="0"/>
    <w:pPr>
      <w:ind w:left="100" w:leftChars="2500"/>
    </w:pPr>
    <w:rPr>
      <w:kern w:val="0"/>
      <w:sz w:val="24"/>
      <w:szCs w:val="20"/>
    </w:rPr>
  </w:style>
  <w:style w:type="paragraph" w:styleId="13">
    <w:name w:val="Balloon Text"/>
    <w:basedOn w:val="1"/>
    <w:link w:val="30"/>
    <w:semiHidden/>
    <w:qFormat/>
    <w:uiPriority w:val="0"/>
    <w:rPr>
      <w:kern w:val="0"/>
      <w:sz w:val="18"/>
      <w:szCs w:val="20"/>
    </w:rPr>
  </w:style>
  <w:style w:type="paragraph" w:styleId="14">
    <w:name w:val="footer"/>
    <w:basedOn w:val="1"/>
    <w:link w:val="31"/>
    <w:qFormat/>
    <w:uiPriority w:val="99"/>
    <w:pPr>
      <w:tabs>
        <w:tab w:val="center" w:pos="4153"/>
        <w:tab w:val="right" w:pos="8306"/>
      </w:tabs>
      <w:snapToGrid w:val="0"/>
      <w:jc w:val="left"/>
    </w:pPr>
    <w:rPr>
      <w:kern w:val="0"/>
      <w:sz w:val="18"/>
      <w:szCs w:val="20"/>
    </w:rPr>
  </w:style>
  <w:style w:type="paragraph" w:styleId="15">
    <w:name w:val="header"/>
    <w:basedOn w:val="1"/>
    <w:link w:val="32"/>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Subtitle"/>
    <w:basedOn w:val="1"/>
    <w:next w:val="1"/>
    <w:link w:val="33"/>
    <w:qFormat/>
    <w:locked/>
    <w:uiPriority w:val="0"/>
    <w:pPr>
      <w:keepNext/>
      <w:keepLines/>
      <w:snapToGrid w:val="0"/>
      <w:spacing w:line="480" w:lineRule="exact"/>
      <w:ind w:firstLine="482" w:firstLineChars="200"/>
    </w:pPr>
    <w:rPr>
      <w:b/>
      <w:kern w:val="0"/>
      <w:sz w:val="24"/>
      <w:szCs w:val="20"/>
    </w:rPr>
  </w:style>
  <w:style w:type="paragraph" w:styleId="17">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8"/>
    <w:next w:val="8"/>
    <w:link w:val="35"/>
    <w:semiHidden/>
    <w:qFormat/>
    <w:uiPriority w:val="0"/>
    <w:rPr>
      <w:b/>
      <w:kern w:val="2"/>
    </w:rPr>
  </w:style>
  <w:style w:type="table" w:styleId="20">
    <w:name w:val="Table Grid"/>
    <w:basedOn w:val="1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locked/>
    <w:uiPriority w:val="0"/>
  </w:style>
  <w:style w:type="character" w:styleId="23">
    <w:name w:val="Hyperlink"/>
    <w:basedOn w:val="21"/>
    <w:qFormat/>
    <w:locked/>
    <w:uiPriority w:val="0"/>
    <w:rPr>
      <w:color w:val="333333"/>
      <w:u w:val="none"/>
    </w:rPr>
  </w:style>
  <w:style w:type="character" w:styleId="24">
    <w:name w:val="annotation reference"/>
    <w:semiHidden/>
    <w:qFormat/>
    <w:uiPriority w:val="0"/>
    <w:rPr>
      <w:sz w:val="21"/>
    </w:rPr>
  </w:style>
  <w:style w:type="paragraph" w:customStyle="1" w:styleId="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6">
    <w:name w:val="正文文本 Char"/>
    <w:link w:val="9"/>
    <w:qFormat/>
    <w:locked/>
    <w:uiPriority w:val="0"/>
    <w:rPr>
      <w:sz w:val="18"/>
    </w:rPr>
  </w:style>
  <w:style w:type="character" w:customStyle="1" w:styleId="27">
    <w:name w:val="批注文字 Char"/>
    <w:link w:val="8"/>
    <w:qFormat/>
    <w:locked/>
    <w:uiPriority w:val="0"/>
    <w:rPr>
      <w:rFonts w:ascii="Times New Roman" w:hAnsi="Times New Roman" w:eastAsia="宋体"/>
      <w:sz w:val="24"/>
    </w:rPr>
  </w:style>
  <w:style w:type="character" w:customStyle="1" w:styleId="28">
    <w:name w:val="正文文本缩进 Char"/>
    <w:link w:val="3"/>
    <w:semiHidden/>
    <w:qFormat/>
    <w:locked/>
    <w:uiPriority w:val="0"/>
    <w:rPr>
      <w:rFonts w:ascii="Times New Roman" w:hAnsi="Times New Roman" w:eastAsia="宋体"/>
      <w:sz w:val="24"/>
    </w:rPr>
  </w:style>
  <w:style w:type="character" w:customStyle="1" w:styleId="29">
    <w:name w:val="日期 Char"/>
    <w:link w:val="12"/>
    <w:qFormat/>
    <w:locked/>
    <w:uiPriority w:val="0"/>
    <w:rPr>
      <w:rFonts w:ascii="Times New Roman" w:hAnsi="Times New Roman" w:eastAsia="宋体"/>
      <w:sz w:val="24"/>
    </w:rPr>
  </w:style>
  <w:style w:type="character" w:customStyle="1" w:styleId="30">
    <w:name w:val="批注框文本 Char"/>
    <w:link w:val="13"/>
    <w:semiHidden/>
    <w:qFormat/>
    <w:locked/>
    <w:uiPriority w:val="0"/>
    <w:rPr>
      <w:rFonts w:ascii="Times New Roman" w:hAnsi="Times New Roman" w:eastAsia="宋体"/>
      <w:sz w:val="18"/>
    </w:rPr>
  </w:style>
  <w:style w:type="character" w:customStyle="1" w:styleId="31">
    <w:name w:val="页脚 Char"/>
    <w:link w:val="14"/>
    <w:qFormat/>
    <w:locked/>
    <w:uiPriority w:val="99"/>
    <w:rPr>
      <w:sz w:val="18"/>
    </w:rPr>
  </w:style>
  <w:style w:type="character" w:customStyle="1" w:styleId="32">
    <w:name w:val="页眉 Char"/>
    <w:link w:val="15"/>
    <w:qFormat/>
    <w:locked/>
    <w:uiPriority w:val="0"/>
    <w:rPr>
      <w:sz w:val="18"/>
    </w:rPr>
  </w:style>
  <w:style w:type="character" w:customStyle="1" w:styleId="33">
    <w:name w:val="副标题 Char"/>
    <w:link w:val="16"/>
    <w:qFormat/>
    <w:uiPriority w:val="0"/>
    <w:rPr>
      <w:b/>
      <w:sz w:val="24"/>
    </w:rPr>
  </w:style>
  <w:style w:type="character" w:customStyle="1" w:styleId="34">
    <w:name w:val="普通(网站) Char"/>
    <w:link w:val="17"/>
    <w:qFormat/>
    <w:locked/>
    <w:uiPriority w:val="0"/>
    <w:rPr>
      <w:rFonts w:ascii="宋体" w:hAnsi="宋体" w:eastAsia="宋体"/>
      <w:sz w:val="24"/>
    </w:rPr>
  </w:style>
  <w:style w:type="character" w:customStyle="1" w:styleId="35">
    <w:name w:val="批注主题 Char"/>
    <w:link w:val="18"/>
    <w:semiHidden/>
    <w:qFormat/>
    <w:locked/>
    <w:uiPriority w:val="0"/>
    <w:rPr>
      <w:rFonts w:ascii="Times New Roman" w:hAnsi="Times New Roman" w:eastAsia="宋体"/>
      <w:b/>
      <w:kern w:val="2"/>
      <w:sz w:val="24"/>
    </w:rPr>
  </w:style>
  <w:style w:type="character" w:customStyle="1" w:styleId="36">
    <w:name w:val="批注文字 字符1"/>
    <w:semiHidden/>
    <w:qFormat/>
    <w:uiPriority w:val="0"/>
    <w:rPr>
      <w:rFonts w:ascii="Times New Roman" w:hAnsi="Times New Roman" w:eastAsia="宋体"/>
      <w:sz w:val="24"/>
    </w:rPr>
  </w:style>
  <w:style w:type="character" w:customStyle="1" w:styleId="37">
    <w:name w:val="页脚 字符"/>
    <w:basedOn w:val="21"/>
    <w:qFormat/>
    <w:uiPriority w:val="99"/>
  </w:style>
  <w:style w:type="character" w:customStyle="1" w:styleId="38">
    <w:name w:val="日期 字符"/>
    <w:semiHidden/>
    <w:qFormat/>
    <w:uiPriority w:val="0"/>
    <w:rPr>
      <w:rFonts w:ascii="Times New Roman" w:hAnsi="Times New Roman"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
    <w:next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正文文本 字符1"/>
    <w:semiHidden/>
    <w:qFormat/>
    <w:uiPriority w:val="0"/>
    <w:rPr>
      <w:rFonts w:ascii="Times New Roman" w:hAnsi="Times New Roman" w:eastAsia="宋体"/>
      <w:sz w:val="24"/>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3">
    <w:name w:val="小四表文左齐"/>
    <w:basedOn w:val="1"/>
    <w:qFormat/>
    <w:uiPriority w:val="0"/>
    <w:pPr>
      <w:jc w:val="center"/>
    </w:pPr>
    <w:rPr>
      <w:spacing w:val="0"/>
    </w:rPr>
  </w:style>
  <w:style w:type="paragraph" w:customStyle="1" w:styleId="44">
    <w:name w:val="_Style 39"/>
    <w:unhideWhenUsed/>
    <w:qFormat/>
    <w:uiPriority w:val="99"/>
    <w:rPr>
      <w:rFonts w:ascii="Times New Roman" w:hAnsi="Times New Roman" w:eastAsia="宋体" w:cs="Times New Roman"/>
      <w:kern w:val="2"/>
      <w:sz w:val="21"/>
      <w:szCs w:val="24"/>
      <w:lang w:val="en-US" w:eastAsia="zh-CN" w:bidi="ar-SA"/>
    </w:rPr>
  </w:style>
  <w:style w:type="paragraph" w:customStyle="1" w:styleId="4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表头"/>
    <w:basedOn w:val="47"/>
    <w:next w:val="1"/>
    <w:qFormat/>
    <w:uiPriority w:val="0"/>
    <w:pPr>
      <w:adjustRightInd w:val="0"/>
      <w:spacing w:line="400" w:lineRule="exact"/>
      <w:jc w:val="center"/>
    </w:pPr>
    <w:rPr>
      <w:rFonts w:ascii="Calibri" w:hAnsi="Calibri" w:eastAsia="宋体" w:cs="Times New Roman"/>
      <w:b/>
      <w:spacing w:val="-10"/>
      <w:sz w:val="24"/>
      <w:szCs w:val="22"/>
    </w:rPr>
  </w:style>
  <w:style w:type="paragraph" w:customStyle="1" w:styleId="47">
    <w:name w:val="图表"/>
    <w:basedOn w:val="1"/>
    <w:qFormat/>
    <w:uiPriority w:val="0"/>
    <w:pPr>
      <w:adjustRightInd w:val="0"/>
      <w:snapToGrid w:val="0"/>
      <w:jc w:val="center"/>
    </w:pPr>
    <w:rPr>
      <w:rFonts w:ascii="Calibri" w:hAnsi="Calibri" w:eastAsia="宋体" w:cs="Times New Roman"/>
      <w:color w:val="000000"/>
      <w:szCs w:val="22"/>
    </w:rPr>
  </w:style>
  <w:style w:type="paragraph" w:customStyle="1" w:styleId="48">
    <w:name w:val="layer1"/>
    <w:basedOn w:val="1"/>
    <w:next w:val="7"/>
    <w:qFormat/>
    <w:uiPriority w:val="0"/>
    <w:pPr>
      <w:tabs>
        <w:tab w:val="left" w:pos="425"/>
      </w:tabs>
      <w:snapToGrid/>
      <w:spacing w:before="240" w:after="240" w:line="300" w:lineRule="auto"/>
      <w:ind w:left="425" w:hanging="425"/>
      <w:jc w:val="both"/>
    </w:pPr>
    <w:rPr>
      <w:rFonts w:ascii="Times New Roman" w:hAnsi="Times New Roman" w:eastAsia="黑体" w:cs="Times New Roman"/>
      <w:b/>
      <w:sz w:val="44"/>
      <w:szCs w:val="20"/>
    </w:rPr>
  </w:style>
  <w:style w:type="paragraph" w:customStyle="1" w:styleId="49">
    <w:name w:val="1表格"/>
    <w:basedOn w:val="1"/>
    <w:qFormat/>
    <w:uiPriority w:val="0"/>
    <w:pPr>
      <w:adjustRightInd w:val="0"/>
      <w:snapToGrid w:val="0"/>
      <w:jc w:val="center"/>
      <w:textAlignment w:val="baseline"/>
    </w:pPr>
    <w:rPr>
      <w:rFonts w:ascii="Calibri" w:hAnsi="Calibri" w:eastAsia="宋体" w:cs="宋体"/>
      <w:spacing w:val="4"/>
    </w:rPr>
  </w:style>
  <w:style w:type="paragraph" w:customStyle="1" w:styleId="50">
    <w:name w:val="表格样式"/>
    <w:basedOn w:val="1"/>
    <w:qFormat/>
    <w:uiPriority w:val="0"/>
    <w:pPr>
      <w:jc w:val="center"/>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jM5OTY1Njk0OTEiLAogICAiR3JvdXBJZCIgOiAiMTkyNjUyOTg3IiwKICAgIkltYWdlIiA6ICJpVkJPUncwS0dnb0FBQUFOU1VoRVVnQUFBRHdBQUFBOENBWUFBQUE2L05seUFBQUFDWEJJV1hNQUFBc1RBQUFMRXdFQW1wd1lBQUFBSkVsRVFWUm9nZTNCTVFFQUFBRENvUFZQN1drSm9BQUFBQUFBQUFBQUFBQUFBQUFBYmpoOEFBRnRlMTFqQUFBQUFFbEZUa1N1UW1DQyIsCiAgICJUaGVtZSIgOiAiIiwKICAgIlR5cGUiIDogImZsb3ciLAogICAiVmVyc2lvbiIgOiAiIgp9Cg=="/>
    </extobj>
    <extobj name="ECB019B1-382A-4266-B25C-5B523AA43C14-2">
      <extobjdata type="ECB019B1-382A-4266-B25C-5B523AA43C14" data="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23273</Words>
  <Characters>26886</Characters>
  <Lines>188</Lines>
  <Paragraphs>53</Paragraphs>
  <TotalTime>10</TotalTime>
  <ScaleCrop>false</ScaleCrop>
  <LinksUpToDate>false</LinksUpToDate>
  <CharactersWithSpaces>27203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谦里之行</cp:lastModifiedBy>
  <cp:lastPrinted>2021-05-12T02:04:00Z</cp:lastPrinted>
  <dcterms:modified xsi:type="dcterms:W3CDTF">2021-11-09T08:25:06Z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43DD8CF0D0704081A4687204DD154468</vt:lpwstr>
  </property>
</Properties>
</file>