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800" w:lineRule="exact"/>
        <w:jc w:val="center"/>
        <w:textAlignment w:val="auto"/>
        <w:rPr>
          <w:rFonts w:hint="eastAsia" w:ascii="方正小标宋简体" w:eastAsia="方正小标宋简体"/>
          <w:sz w:val="44"/>
          <w:szCs w:val="44"/>
          <w:lang w:eastAsia="zh-CN"/>
        </w:rPr>
      </w:pPr>
    </w:p>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舒城县公共资源交易中心</w:t>
      </w:r>
      <w:r>
        <w:rPr>
          <w:rFonts w:hint="eastAsia" w:ascii="方正小标宋简体" w:eastAsia="方正小标宋简体"/>
          <w:sz w:val="44"/>
          <w:szCs w:val="44"/>
          <w:lang w:val="en-US" w:eastAsia="zh-CN"/>
        </w:rPr>
        <w:t>2021年</w:t>
      </w:r>
      <w:r>
        <w:rPr>
          <w:rFonts w:hint="eastAsia" w:ascii="方正小标宋简体" w:eastAsia="方正小标宋简体"/>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pStyle w:val="4"/>
        <w:widowControl/>
        <w:shd w:val="clear" w:color="auto" w:fill="FFFFFF"/>
        <w:spacing w:beforeAutospacing="0" w:afterAutospacing="0"/>
        <w:ind w:firstLine="640" w:firstLineChars="20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eastAsia="zh-CN"/>
        </w:rPr>
        <w:t>本报告依据《中华人民共和国政府信息公开条例》（国务院令第711号）和《舒城县人民政府办公室关于做好政府信息公开工作年度报告编制和发布工作的通知》（舒政办明电〔</w:t>
      </w:r>
      <w:r>
        <w:rPr>
          <w:rFonts w:hint="eastAsia" w:ascii="仿宋" w:hAnsi="仿宋" w:eastAsia="仿宋" w:cs="仿宋"/>
          <w:i w:val="0"/>
          <w:iCs w:val="0"/>
          <w:caps w:val="0"/>
          <w:color w:val="333333"/>
          <w:spacing w:val="0"/>
          <w:sz w:val="32"/>
          <w:szCs w:val="32"/>
          <w:shd w:val="clear" w:fill="FFFFFF"/>
          <w:lang w:val="en-US" w:eastAsia="zh-CN"/>
        </w:rPr>
        <w:t>2021</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52号</w:t>
      </w:r>
      <w:r>
        <w:rPr>
          <w:rFonts w:hint="eastAsia" w:ascii="仿宋" w:hAnsi="仿宋" w:eastAsia="仿宋" w:cs="仿宋"/>
          <w:i w:val="0"/>
          <w:iCs w:val="0"/>
          <w:caps w:val="0"/>
          <w:color w:val="333333"/>
          <w:spacing w:val="0"/>
          <w:sz w:val="32"/>
          <w:szCs w:val="32"/>
          <w:shd w:val="clear" w:fill="FFFFFF"/>
          <w:lang w:eastAsia="zh-CN"/>
        </w:rPr>
        <w:t>）要求，结合我中心政府信息公开工作有关统计数据撰写。报告主要包括：总体情</w:t>
      </w:r>
      <w:r>
        <w:rPr>
          <w:rFonts w:hint="eastAsia" w:ascii="仿宋" w:hAnsi="仿宋" w:eastAsia="仿宋" w:cs="仿宋"/>
          <w:i w:val="0"/>
          <w:iCs w:val="0"/>
          <w:caps w:val="0"/>
          <w:color w:val="333333"/>
          <w:spacing w:val="0"/>
          <w:sz w:val="32"/>
          <w:szCs w:val="32"/>
          <w:shd w:val="clear" w:fill="FFFFFF"/>
        </w:rPr>
        <w:t>况、主动公开政府信息情况、收到和处理政府信息公开申请情况、因政府信息公开被申请行政复议和提起行政诉讼情况、政府信息公开工作存在主要问题及改进情况。本报告中使用数据统计期限为</w:t>
      </w:r>
      <w:r>
        <w:rPr>
          <w:rFonts w:hint="eastAsia" w:ascii="仿宋" w:hAnsi="仿宋" w:eastAsia="仿宋" w:cs="仿宋"/>
          <w:i w:val="0"/>
          <w:iCs w:val="0"/>
          <w:caps w:val="0"/>
          <w:color w:val="333333"/>
          <w:spacing w:val="0"/>
          <w:sz w:val="32"/>
          <w:szCs w:val="32"/>
          <w:shd w:val="clear" w:fill="FFFFFF"/>
          <w:lang w:eastAsia="zh-CN"/>
        </w:rPr>
        <w:t>2021</w:t>
      </w:r>
      <w:r>
        <w:rPr>
          <w:rFonts w:hint="eastAsia" w:ascii="仿宋" w:hAnsi="仿宋" w:eastAsia="仿宋" w:cs="仿宋"/>
          <w:i w:val="0"/>
          <w:iCs w:val="0"/>
          <w:caps w:val="0"/>
          <w:color w:val="333333"/>
          <w:spacing w:val="0"/>
          <w:sz w:val="32"/>
          <w:szCs w:val="32"/>
          <w:shd w:val="clear" w:fill="FFFFFF"/>
        </w:rPr>
        <w:t>年1月1日至12月31日。如对本报告有任何疑问，请与</w:t>
      </w:r>
      <w:r>
        <w:rPr>
          <w:rFonts w:hint="eastAsia" w:ascii="仿宋" w:hAnsi="仿宋" w:eastAsia="仿宋" w:cs="仿宋"/>
          <w:i w:val="0"/>
          <w:iCs w:val="0"/>
          <w:caps w:val="0"/>
          <w:color w:val="333333"/>
          <w:spacing w:val="0"/>
          <w:sz w:val="32"/>
          <w:szCs w:val="32"/>
          <w:shd w:val="clear" w:fill="FFFFFF"/>
          <w:lang w:val="en-US" w:eastAsia="zh-CN"/>
        </w:rPr>
        <w:t>舒城县</w:t>
      </w:r>
      <w:r>
        <w:rPr>
          <w:rFonts w:hint="eastAsia" w:ascii="仿宋" w:hAnsi="仿宋" w:eastAsia="仿宋" w:cs="仿宋"/>
          <w:i w:val="0"/>
          <w:iCs w:val="0"/>
          <w:caps w:val="0"/>
          <w:color w:val="333333"/>
          <w:spacing w:val="0"/>
          <w:sz w:val="32"/>
          <w:szCs w:val="32"/>
          <w:shd w:val="clear" w:fill="FFFFFF"/>
        </w:rPr>
        <w:t>公共资源交易</w:t>
      </w:r>
      <w:r>
        <w:rPr>
          <w:rFonts w:hint="eastAsia" w:ascii="仿宋" w:hAnsi="仿宋" w:eastAsia="仿宋" w:cs="仿宋"/>
          <w:i w:val="0"/>
          <w:iCs w:val="0"/>
          <w:caps w:val="0"/>
          <w:color w:val="333333"/>
          <w:spacing w:val="0"/>
          <w:sz w:val="32"/>
          <w:szCs w:val="32"/>
          <w:shd w:val="clear" w:fill="FFFFFF"/>
          <w:lang w:val="en-US" w:eastAsia="zh-CN"/>
        </w:rPr>
        <w:t>中心</w:t>
      </w:r>
      <w:r>
        <w:rPr>
          <w:rFonts w:hint="eastAsia" w:ascii="仿宋" w:hAnsi="仿宋" w:eastAsia="仿宋" w:cs="仿宋"/>
          <w:i w:val="0"/>
          <w:iCs w:val="0"/>
          <w:caps w:val="0"/>
          <w:color w:val="333333"/>
          <w:spacing w:val="0"/>
          <w:sz w:val="32"/>
          <w:szCs w:val="32"/>
          <w:shd w:val="clear" w:fill="FFFFFF"/>
        </w:rPr>
        <w:t>办公室联系（地址：</w:t>
      </w:r>
      <w:r>
        <w:rPr>
          <w:rFonts w:hint="eastAsia" w:ascii="仿宋" w:hAnsi="仿宋" w:eastAsia="仿宋" w:cs="仿宋"/>
          <w:i w:val="0"/>
          <w:iCs w:val="0"/>
          <w:caps w:val="0"/>
          <w:color w:val="333333"/>
          <w:spacing w:val="0"/>
          <w:sz w:val="32"/>
          <w:szCs w:val="32"/>
          <w:shd w:val="clear" w:fill="FFFFFF"/>
          <w:lang w:val="en-US" w:eastAsia="zh-CN"/>
        </w:rPr>
        <w:t>舒城县经济开发区纬一路中段</w:t>
      </w:r>
      <w:r>
        <w:rPr>
          <w:rFonts w:hint="eastAsia" w:ascii="仿宋" w:hAnsi="仿宋" w:eastAsia="仿宋" w:cs="仿宋"/>
          <w:i w:val="0"/>
          <w:iCs w:val="0"/>
          <w:caps w:val="0"/>
          <w:color w:val="333333"/>
          <w:spacing w:val="0"/>
          <w:sz w:val="32"/>
          <w:szCs w:val="32"/>
          <w:shd w:val="clear" w:fill="FFFFFF"/>
        </w:rPr>
        <w:t>，电话：05</w:t>
      </w:r>
      <w:r>
        <w:rPr>
          <w:rFonts w:hint="eastAsia" w:ascii="仿宋" w:hAnsi="仿宋" w:eastAsia="仿宋" w:cs="仿宋"/>
          <w:i w:val="0"/>
          <w:iCs w:val="0"/>
          <w:caps w:val="0"/>
          <w:color w:val="333333"/>
          <w:spacing w:val="0"/>
          <w:sz w:val="32"/>
          <w:szCs w:val="32"/>
          <w:shd w:val="clear" w:fill="FFFFFF"/>
          <w:lang w:val="en-US" w:eastAsia="zh-CN"/>
        </w:rPr>
        <w:t>64-8626451</w:t>
      </w:r>
      <w:r>
        <w:rPr>
          <w:rFonts w:hint="eastAsia" w:ascii="仿宋" w:hAnsi="仿宋" w:eastAsia="仿宋" w:cs="仿宋"/>
          <w:i w:val="0"/>
          <w:iCs w:val="0"/>
          <w:caps w:val="0"/>
          <w:color w:val="333333"/>
          <w:spacing w:val="0"/>
          <w:sz w:val="32"/>
          <w:szCs w:val="32"/>
          <w:shd w:val="clear" w:fill="FFFFFF"/>
        </w:rPr>
        <w:t>，邮编：2</w:t>
      </w:r>
      <w:r>
        <w:rPr>
          <w:rFonts w:hint="eastAsia" w:ascii="仿宋" w:hAnsi="仿宋" w:eastAsia="仿宋" w:cs="仿宋"/>
          <w:i w:val="0"/>
          <w:iCs w:val="0"/>
          <w:caps w:val="0"/>
          <w:color w:val="333333"/>
          <w:spacing w:val="0"/>
          <w:sz w:val="32"/>
          <w:szCs w:val="32"/>
          <w:shd w:val="clear" w:fill="FFFFFF"/>
          <w:lang w:val="en-US" w:eastAsia="zh-CN"/>
        </w:rPr>
        <w:t>31300</w:t>
      </w:r>
      <w:r>
        <w:rPr>
          <w:rFonts w:hint="eastAsia" w:ascii="仿宋" w:hAnsi="仿宋" w:eastAsia="仿宋" w:cs="仿宋"/>
          <w:i w:val="0"/>
          <w:iCs w:val="0"/>
          <w:caps w:val="0"/>
          <w:color w:val="333333"/>
          <w:spacing w:val="0"/>
          <w:sz w:val="32"/>
          <w:szCs w:val="32"/>
          <w:shd w:val="clear" w:fill="FFFFFF"/>
        </w:rPr>
        <w:t>）。</w:t>
      </w:r>
    </w:p>
    <w:p>
      <w:pPr>
        <w:pStyle w:val="4"/>
        <w:widowControl/>
        <w:shd w:val="clear" w:color="auto" w:fill="FFFFFF"/>
        <w:spacing w:beforeAutospacing="0" w:afterAutospacing="0"/>
        <w:ind w:firstLine="420"/>
        <w:jc w:val="both"/>
        <w:rPr>
          <w:rFonts w:ascii="黑体" w:hAnsi="黑体" w:eastAsia="黑体" w:cs="宋体"/>
          <w:color w:val="333333"/>
          <w:sz w:val="32"/>
          <w:szCs w:val="32"/>
        </w:rPr>
      </w:pPr>
      <w:r>
        <w:rPr>
          <w:rFonts w:hint="eastAsia" w:ascii="黑体" w:hAnsi="黑体" w:eastAsia="黑体" w:cs="宋体"/>
          <w:bCs/>
          <w:color w:val="333333"/>
          <w:sz w:val="32"/>
          <w:szCs w:val="32"/>
          <w:shd w:val="clear" w:color="auto" w:fill="FFFFFF"/>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b/>
          <w:bCs/>
          <w:i w:val="0"/>
          <w:iCs w:val="0"/>
          <w:caps w:val="0"/>
          <w:color w:val="333333"/>
          <w:spacing w:val="0"/>
          <w:kern w:val="0"/>
          <w:sz w:val="32"/>
          <w:szCs w:val="32"/>
          <w:shd w:val="clear" w:fill="FFFFFF"/>
          <w:lang w:val="en-US" w:eastAsia="zh-CN" w:bidi="ar"/>
        </w:rPr>
        <w:t>（一）主动公开情况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2021年，我中心认真落实政府信息公开，加强信息报送和更新，根据信息的内容划分为机构职能类、规章文件类、计划规划类、业务工作类、其它类等分别在市政府门户网站及我中心门户网站进行公开。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2021年，我中心在县政府网站主动公开信息155条，在基层政务公开标准化规范化专题主动公开公共资源交易领域信息324条，在本单位政府网站主动公开信息260条。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我中心及时回复县政府网站市长热线、县长及部门信箱等群众来信，回复率和办结率均为100%，公众互动效果明显，社会反响良好。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ascii="仿宋" w:hAnsi="仿宋" w:eastAsia="仿宋" w:cs="仿宋"/>
          <w:i w:val="0"/>
          <w:iCs w:val="0"/>
          <w:caps w:val="0"/>
          <w:color w:val="333333"/>
          <w:spacing w:val="0"/>
          <w:sz w:val="32"/>
          <w:szCs w:val="32"/>
          <w:shd w:val="clear" w:fill="FFFFFF"/>
        </w:rPr>
        <w:t>主动回应社会关切。坚持以“公开为常态，不公开为例外”</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2021年度共计主动回应社会关切26条，其中涉及疫情防控工作3条</w:t>
      </w:r>
      <w:r>
        <w:rPr>
          <w:rFonts w:ascii="仿宋" w:hAnsi="仿宋" w:eastAsia="仿宋" w:cs="仿宋"/>
          <w:i w:val="0"/>
          <w:iCs w:val="0"/>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b/>
          <w:bCs/>
          <w:i w:val="0"/>
          <w:iCs w:val="0"/>
          <w:caps w:val="0"/>
          <w:color w:val="333333"/>
          <w:spacing w:val="0"/>
          <w:kern w:val="0"/>
          <w:sz w:val="32"/>
          <w:szCs w:val="32"/>
          <w:shd w:val="clear" w:fill="FFFFFF"/>
          <w:lang w:val="en-US" w:eastAsia="zh-CN" w:bidi="ar"/>
        </w:rPr>
        <w:t>（二）依申请公开情况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kern w:val="0"/>
          <w:sz w:val="32"/>
          <w:szCs w:val="32"/>
          <w:shd w:val="clear" w:fill="FFFFFF"/>
          <w:lang w:val="en-US" w:eastAsia="zh-CN" w:bidi="ar"/>
        </w:rPr>
        <w:t>县交易中心高度重视依申请公开工作，不断修订完善依申请公开制度和政府信息公开指南依申请公开内容，规范办理流程，强化协调意识，主动沟通对接，强化时间意识，规范答复文书，不断提高依申请公开办理质量，切实保障公众知情权。2021年度未受理依申请公开事项。全年政府信息公开工作没有引发行政复议和行政诉讼。</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b/>
          <w:bCs/>
          <w:i w:val="0"/>
          <w:iCs w:val="0"/>
          <w:caps w:val="0"/>
          <w:color w:val="333333"/>
          <w:spacing w:val="0"/>
          <w:kern w:val="0"/>
          <w:sz w:val="32"/>
          <w:szCs w:val="32"/>
          <w:shd w:val="clear" w:fill="FFFFFF"/>
          <w:lang w:val="en-US" w:eastAsia="zh-CN" w:bidi="ar"/>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微软雅黑" w:hAnsi="微软雅黑" w:eastAsia="微软雅黑" w:cs="微软雅黑"/>
          <w:i w:val="0"/>
          <w:iCs w:val="0"/>
          <w:caps w:val="0"/>
          <w:color w:val="000000"/>
          <w:spacing w:val="0"/>
          <w:sz w:val="19"/>
          <w:szCs w:val="19"/>
          <w:lang w:val="en-US"/>
        </w:rPr>
      </w:pPr>
      <w:r>
        <w:rPr>
          <w:rFonts w:hint="eastAsia" w:ascii="仿宋" w:hAnsi="仿宋" w:eastAsia="仿宋" w:cs="仿宋"/>
          <w:i w:val="0"/>
          <w:iCs w:val="0"/>
          <w:caps w:val="0"/>
          <w:color w:val="333333"/>
          <w:spacing w:val="0"/>
          <w:kern w:val="0"/>
          <w:sz w:val="32"/>
          <w:szCs w:val="32"/>
          <w:shd w:val="clear" w:fill="FFFFFF"/>
          <w:lang w:val="en-US" w:eastAsia="zh-CN" w:bidi="ar"/>
        </w:rPr>
        <w:t>一是加大信息公开数据公开力度。分月度、季度和年度统计信息公开数据，经审核后及时填报，做好政府网站信息公开年度报表统计工作，提升政府信息公开水平。二是规范信息审核发布机制。严格执行信息发布逐级审核机制，确保信息内容的准确性，并且及时整改完善，动态类、政策类、新闻发布会等栏目信息发布量得到保障。我中心严格按照相关规定落实规范性文件立改废工作，2021年度无新制定行政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（四）政府信息公开平台建设</w:t>
      </w:r>
      <w:r>
        <w:rPr>
          <w:rFonts w:hint="eastAsia" w:ascii="仿宋" w:hAnsi="仿宋" w:eastAsia="仿宋" w:cs="仿宋"/>
          <w:i w:val="0"/>
          <w:iCs w:val="0"/>
          <w:caps w:val="0"/>
          <w:color w:val="333333"/>
          <w:spacing w:val="0"/>
          <w:kern w:val="0"/>
          <w:sz w:val="32"/>
          <w:szCs w:val="32"/>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我中心落实专人负责平台日常管理维护,确保平台公开功能正常发挥。积极推动重点领域信息公开，及时加强与相关部门沟通，进一步完善信息链接功能，在不断扩大信息公开的范围和内容的同时，实现公共资源交易门户网站公开的重点领域信息及时与县政府信息公开网无缝对接，确保各公共资源交易主体能及时、便捷、平等的获取交易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b/>
          <w:bCs/>
          <w:i w:val="0"/>
          <w:iCs w:val="0"/>
          <w:caps w:val="0"/>
          <w:color w:val="333333"/>
          <w:spacing w:val="0"/>
          <w:kern w:val="0"/>
          <w:sz w:val="32"/>
          <w:szCs w:val="32"/>
          <w:shd w:val="clear" w:fill="FFFFFF"/>
          <w:lang w:val="en-US" w:eastAsia="zh-CN" w:bidi="ar"/>
        </w:rPr>
        <w:t>（五）监督保障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kern w:val="0"/>
          <w:sz w:val="32"/>
          <w:szCs w:val="32"/>
          <w:shd w:val="clear" w:fill="FFFFFF"/>
          <w:lang w:val="en-US" w:eastAsia="zh-CN" w:bidi="ar"/>
        </w:rPr>
        <w:t>一是加强组织领导。进一步完善政务公开领导体制和《舒城县公共资源交易中心信息公开社会评议制度》《舒城县公共资源交易中心信息公开工作责任追究制度》等工作机制，不断加强政务公开机构建设、专职人员配备。二是加强会议部署。多次召开政务公开工作推进会，部署推进政务公开工作扎实开展。三是加强测评整改。加强政务公开办测评+第三方测评反馈问题的整改，对照最新测评指标逐一整改，确保问题整改完毕。</w:t>
      </w: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widowControl/>
        <w:jc w:val="left"/>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宋体"/>
                <w:sz w:val="24"/>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sz w:val="24"/>
              </w:rPr>
            </w:pPr>
            <w:r>
              <w:rPr>
                <w:rFonts w:hint="eastAsia"/>
                <w:lang w:val="en-US" w:eastAsia="zh-CN"/>
              </w:rPr>
              <w:t>0</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jc w:val="both"/>
        <w:textAlignment w:val="auto"/>
        <w:rPr>
          <w:rFonts w:hint="eastAsia" w:ascii="黑体" w:hAnsi="黑体" w:eastAsia="黑体" w:cs="宋体"/>
          <w:bCs/>
          <w:color w:val="333333"/>
          <w:sz w:val="32"/>
          <w:szCs w:val="32"/>
          <w:shd w:val="clear" w:color="auto" w:fill="FFFFFF"/>
        </w:rPr>
      </w:pP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kern w:val="0"/>
          <w:sz w:val="32"/>
          <w:szCs w:val="32"/>
          <w:shd w:val="clear" w:fill="FFFFFF"/>
          <w:lang w:val="en-US" w:eastAsia="zh-CN" w:bidi="ar"/>
        </w:rPr>
        <w:t>2021年，县交易中心政府信息公开工作扎实推进，但是与县政务公开办的要求相比，与社会公众对公共资源交易信息的需求相比，还存在一定距离：一是政策解读特别是文字解读质量较低，未深入解读制定意义和总体考虑，展现形式还不够丰富; 二是对牵头推进的公共资源交易领域基层政务公开的力度还需加大，经验总结及推广还需加强。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19"/>
          <w:szCs w:val="19"/>
        </w:rPr>
      </w:pPr>
      <w:r>
        <w:rPr>
          <w:rFonts w:hint="eastAsia" w:ascii="仿宋" w:hAnsi="仿宋" w:eastAsia="仿宋" w:cs="仿宋"/>
          <w:i w:val="0"/>
          <w:iCs w:val="0"/>
          <w:caps w:val="0"/>
          <w:color w:val="333333"/>
          <w:spacing w:val="0"/>
          <w:kern w:val="0"/>
          <w:sz w:val="32"/>
          <w:szCs w:val="32"/>
          <w:shd w:val="clear" w:fill="FFFFFF"/>
          <w:lang w:val="en-US" w:eastAsia="zh-CN" w:bidi="ar"/>
        </w:rPr>
        <w:t>为此，县交易中心将从以下方面改进工作：一是提高政策解读质量，利用新媒体产品不断增加音频视频、卡通动漫等群众喜闻乐见的展现形式，进行立体式、多方位解读，丰富文字解读内容。二是做好国家发展改革委办公厅印发的《公共资源交易领域基层政务公开标准指引》的贯彻落实工作，确保相关要求在基层执行到位，并积极探索创新，多出可复制可推广的经验，全面提升基层政务公开水平。</w:t>
      </w: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ind w:firstLine="640" w:firstLineChars="200"/>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按照《国务院办公厅关于印发&lt;政府信息公开信息处理费管理办法&gt;的通知》(国办函[ 2020] 109号)规定的按件、按量收费标准，本年度没有产生信息公开处理费。</w:t>
      </w:r>
    </w:p>
    <w:p>
      <w:pPr>
        <w:ind w:firstLine="640" w:firstLineChars="200"/>
        <w:rPr>
          <w:rFonts w:hint="eastAsia" w:ascii="仿宋" w:hAnsi="仿宋" w:eastAsia="仿宋" w:cs="仿宋"/>
          <w:i w:val="0"/>
          <w:iCs w:val="0"/>
          <w:caps w:val="0"/>
          <w:color w:val="333333"/>
          <w:spacing w:val="0"/>
          <w:kern w:val="0"/>
          <w:sz w:val="32"/>
          <w:szCs w:val="32"/>
          <w:shd w:val="clear" w:fill="FFFFFF"/>
          <w:lang w:val="en-US" w:eastAsia="zh-CN" w:bidi="ar"/>
        </w:rPr>
      </w:pPr>
    </w:p>
    <w:p>
      <w:pPr>
        <w:ind w:firstLine="640" w:firstLineChars="200"/>
        <w:rPr>
          <w:rFonts w:hint="eastAsia" w:ascii="仿宋" w:hAnsi="仿宋" w:eastAsia="仿宋" w:cs="仿宋"/>
          <w:i w:val="0"/>
          <w:iCs w:val="0"/>
          <w:caps w:val="0"/>
          <w:color w:val="333333"/>
          <w:spacing w:val="0"/>
          <w:kern w:val="0"/>
          <w:sz w:val="32"/>
          <w:szCs w:val="32"/>
          <w:shd w:val="clear" w:fill="FFFFFF"/>
          <w:lang w:val="en-US" w:eastAsia="zh-CN" w:bidi="ar"/>
        </w:rPr>
      </w:pPr>
    </w:p>
    <w:p>
      <w:pPr>
        <w:wordWrap w:val="0"/>
        <w:ind w:firstLine="640" w:firstLineChars="200"/>
        <w:jc w:val="right"/>
        <w:rPr>
          <w:rFonts w:hint="default"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2022年1月14日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41FF23-F69E-4FA9-9363-90FB1FC7624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5A97CCE6-3E12-46B4-A1B2-CEE9EC4B88F1}"/>
  </w:font>
  <w:font w:name="仿宋">
    <w:panose1 w:val="02010609060101010101"/>
    <w:charset w:val="86"/>
    <w:family w:val="auto"/>
    <w:pitch w:val="default"/>
    <w:sig w:usb0="800002BF" w:usb1="38CF7CFA" w:usb2="00000016" w:usb3="00000000" w:csb0="00040001" w:csb1="00000000"/>
    <w:embedRegular r:id="rId3" w:fontKey="{AAD6D365-2CCC-4BB9-81C3-05530D137F59}"/>
  </w:font>
  <w:font w:name="微软雅黑">
    <w:panose1 w:val="020B0503020204020204"/>
    <w:charset w:val="86"/>
    <w:family w:val="auto"/>
    <w:pitch w:val="default"/>
    <w:sig w:usb0="80000287" w:usb1="280F3C52" w:usb2="00000016" w:usb3="00000000" w:csb0="0004001F" w:csb1="00000000"/>
    <w:embedRegular r:id="rId4" w:fontKey="{8663CA91-5343-4B50-8EF1-E91CE741FB2E}"/>
  </w:font>
  <w:font w:name="楷体">
    <w:panose1 w:val="02010609060101010101"/>
    <w:charset w:val="86"/>
    <w:family w:val="modern"/>
    <w:pitch w:val="default"/>
    <w:sig w:usb0="800002BF" w:usb1="38CF7CFA" w:usb2="00000016" w:usb3="00000000" w:csb0="00040001" w:csb1="00000000"/>
    <w:embedRegular r:id="rId5" w:fontKey="{8818BD44-0613-44ED-AAC3-6F8E90C3608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9A54A0"/>
    <w:rsid w:val="00742BDF"/>
    <w:rsid w:val="009A54A0"/>
    <w:rsid w:val="00B85D85"/>
    <w:rsid w:val="00F1191B"/>
    <w:rsid w:val="0159126E"/>
    <w:rsid w:val="04425FE9"/>
    <w:rsid w:val="089D4C97"/>
    <w:rsid w:val="0E306788"/>
    <w:rsid w:val="11481931"/>
    <w:rsid w:val="145520C8"/>
    <w:rsid w:val="14677E97"/>
    <w:rsid w:val="14C8183A"/>
    <w:rsid w:val="15D55DE5"/>
    <w:rsid w:val="16637F2E"/>
    <w:rsid w:val="1DF27FED"/>
    <w:rsid w:val="1F2B2044"/>
    <w:rsid w:val="1F680BA2"/>
    <w:rsid w:val="22AB717A"/>
    <w:rsid w:val="23FA201E"/>
    <w:rsid w:val="24DF6015"/>
    <w:rsid w:val="29EC6874"/>
    <w:rsid w:val="2EB86D24"/>
    <w:rsid w:val="31C854D0"/>
    <w:rsid w:val="31CE7402"/>
    <w:rsid w:val="349A0D52"/>
    <w:rsid w:val="3AF61300"/>
    <w:rsid w:val="3CBD0DAB"/>
    <w:rsid w:val="4084333A"/>
    <w:rsid w:val="42C27D1A"/>
    <w:rsid w:val="48120FC8"/>
    <w:rsid w:val="49920446"/>
    <w:rsid w:val="4D3C315C"/>
    <w:rsid w:val="53A164EF"/>
    <w:rsid w:val="54F113AB"/>
    <w:rsid w:val="5B0832FE"/>
    <w:rsid w:val="5B3C6463"/>
    <w:rsid w:val="64ED68E5"/>
    <w:rsid w:val="6E005A16"/>
    <w:rsid w:val="712B33A4"/>
    <w:rsid w:val="76E5439F"/>
    <w:rsid w:val="7C5807CC"/>
    <w:rsid w:val="7CEC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177</Words>
  <Characters>1009</Characters>
  <Lines>8</Lines>
  <Paragraphs>2</Paragraphs>
  <TotalTime>10</TotalTime>
  <ScaleCrop>false</ScaleCrop>
  <LinksUpToDate>false</LinksUpToDate>
  <CharactersWithSpaces>1184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2022-01-04T02:36:00Z</dcterms:created>
  <dc:creator>gyb1</dc:creator>
  <cp:lastModifiedBy>束大大大梦</cp:lastModifiedBy>
  <cp:lastPrinted>2022-01-20T00:48:31Z</cp:lastPrinted>
  <dcterms:modified xsi:type="dcterms:W3CDTF">2022-01-20T00:48:44Z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5E51DD5299EF4A51BFB442EAE42496AD</vt:lpwstr>
  </property>
</Properties>
</file>