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000000"/>
          <w:spacing w:val="0"/>
          <w:sz w:val="48"/>
          <w:szCs w:val="48"/>
        </w:rPr>
      </w:pPr>
      <w:r>
        <w:rPr>
          <w:rFonts w:hint="eastAsia" w:ascii="微软雅黑" w:hAnsi="微软雅黑" w:eastAsia="微软雅黑" w:cs="微软雅黑"/>
          <w:b/>
          <w:bCs/>
          <w:i w:val="0"/>
          <w:iCs w:val="0"/>
          <w:caps w:val="0"/>
          <w:color w:val="000000"/>
          <w:spacing w:val="0"/>
          <w:sz w:val="48"/>
          <w:szCs w:val="48"/>
          <w:shd w:val="clear" w:fill="FFFFFF"/>
        </w:rPr>
        <w:t>舒城县南港镇人民政府2019年政府信息公开工作年度报告</w:t>
      </w:r>
    </w:p>
    <w:p>
      <w:pPr>
        <w:keepNext w:val="0"/>
        <w:keepLines w:val="0"/>
        <w:widowControl/>
        <w:suppressLineNumbers w:val="0"/>
        <w:pBdr>
          <w:top w:val="none" w:color="auto" w:sz="0" w:space="0"/>
          <w:left w:val="none" w:color="auto" w:sz="0" w:space="0"/>
          <w:bottom w:val="single" w:color="E5E5E5" w:sz="6" w:space="7"/>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shd w:val="clear" w:fill="FFFFFF"/>
          <w:lang w:val="en-US" w:eastAsia="zh-CN" w:bidi="ar"/>
        </w:rPr>
        <w:t>发布时间：2020-01-15 信息来源： 南港镇 阅读次数：241 编辑：王雨琴 字体：【</w: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separate"/>
      </w:r>
      <w:r>
        <w:rPr>
          <w:rStyle w:val="7"/>
          <w:rFonts w:hint="eastAsia" w:ascii="微软雅黑" w:hAnsi="微软雅黑" w:eastAsia="微软雅黑" w:cs="微软雅黑"/>
          <w:i w:val="0"/>
          <w:iCs w:val="0"/>
          <w:caps w:val="0"/>
          <w:color w:val="333333"/>
          <w:spacing w:val="0"/>
          <w:sz w:val="22"/>
          <w:szCs w:val="22"/>
          <w:u w:val="none"/>
          <w:shd w:val="clear" w:fill="FFFFFF"/>
        </w:rPr>
        <w:t>大</w: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2"/>
          <w:szCs w:val="22"/>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separate"/>
      </w:r>
      <w:r>
        <w:rPr>
          <w:rStyle w:val="7"/>
          <w:rFonts w:hint="eastAsia" w:ascii="微软雅黑" w:hAnsi="微软雅黑" w:eastAsia="微软雅黑" w:cs="微软雅黑"/>
          <w:i w:val="0"/>
          <w:iCs w:val="0"/>
          <w:caps w:val="0"/>
          <w:color w:val="333333"/>
          <w:spacing w:val="0"/>
          <w:sz w:val="22"/>
          <w:szCs w:val="22"/>
          <w:u w:val="none"/>
          <w:shd w:val="clear" w:fill="FFFFFF"/>
        </w:rPr>
        <w:t>中</w: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2"/>
          <w:szCs w:val="22"/>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separate"/>
      </w:r>
      <w:r>
        <w:rPr>
          <w:rStyle w:val="7"/>
          <w:rFonts w:hint="eastAsia" w:ascii="微软雅黑" w:hAnsi="微软雅黑" w:eastAsia="微软雅黑" w:cs="微软雅黑"/>
          <w:i w:val="0"/>
          <w:iCs w:val="0"/>
          <w:caps w:val="0"/>
          <w:color w:val="333333"/>
          <w:spacing w:val="0"/>
          <w:sz w:val="22"/>
          <w:szCs w:val="22"/>
          <w:u w:val="none"/>
          <w:shd w:val="clear" w:fill="FFFFFF"/>
        </w:rPr>
        <w:t>小</w:t>
      </w:r>
      <w:r>
        <w:rPr>
          <w:rFonts w:hint="eastAsia" w:ascii="微软雅黑" w:hAnsi="微软雅黑" w:eastAsia="微软雅黑" w:cs="微软雅黑"/>
          <w:i w:val="0"/>
          <w:iCs w:val="0"/>
          <w:caps w:val="0"/>
          <w:color w:val="333333"/>
          <w:spacing w:val="0"/>
          <w:kern w:val="0"/>
          <w:sz w:val="22"/>
          <w:szCs w:val="22"/>
          <w:u w:val="none"/>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2"/>
          <w:szCs w:val="22"/>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iCs w:val="0"/>
          <w:caps w:val="0"/>
          <w:color w:val="000000"/>
          <w:spacing w:val="0"/>
          <w:sz w:val="24"/>
          <w:szCs w:val="24"/>
          <w:shd w:val="clear" w:fill="FFFFFF"/>
        </w:rPr>
        <w:t>    本年度报告是根据《舒城县人民政府办公室关于做好2019年度政府信息公开工作年度报告及统计数据报送有关工作的通知》要求，由南港镇人民政府编制。全文包括：2019 年度总体情况，主动公开政府信息情况，收到和处理政府信息公开申请情况，政府信息公开行政复议行政诉讼情况，存在的主要问题及改进情况，其他需要报告的事项等 6 项内容。本年度报告中使用数据统计期限为 2019 年 1月 1 日至 12 月 31 日。本年度报告的电子版可在舒城县人民政府网信息公开南港镇“监督保障—政府信息公开年报”栏目下（http://www.shucheng.gov.cn/opennessContent/?branch_id=5bf2d16cb49430e63bc87f3c）。如对本报告有任何疑问，请与南港镇人民政府党政与社会事务办公室联系（地址：舒城县南港镇人民政府，电话：0564-8141081，邮编：231330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Style w:val="6"/>
          <w:rFonts w:hint="eastAsia" w:ascii="微软雅黑" w:hAnsi="微软雅黑" w:eastAsia="微软雅黑" w:cs="微软雅黑"/>
          <w:b/>
          <w:bCs/>
          <w:i w:val="0"/>
          <w:iCs w:val="0"/>
          <w:caps w:val="0"/>
          <w:color w:val="000000"/>
          <w:spacing w:val="0"/>
          <w:sz w:val="24"/>
          <w:szCs w:val="24"/>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Style w:val="6"/>
          <w:rFonts w:hint="eastAsia" w:ascii="微软雅黑" w:hAnsi="微软雅黑" w:eastAsia="微软雅黑" w:cs="微软雅黑"/>
          <w:b/>
          <w:bCs/>
          <w:i w:val="0"/>
          <w:iCs w:val="0"/>
          <w:caps w:val="0"/>
          <w:color w:val="000000"/>
          <w:spacing w:val="0"/>
          <w:sz w:val="24"/>
          <w:szCs w:val="24"/>
          <w:shd w:val="clear" w:fill="FFFFFF"/>
        </w:rPr>
        <w:t>（一）主动公开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iCs w:val="0"/>
          <w:caps w:val="0"/>
          <w:color w:val="000000"/>
          <w:spacing w:val="0"/>
          <w:sz w:val="24"/>
          <w:szCs w:val="24"/>
          <w:shd w:val="clear" w:fill="FFFFFF"/>
        </w:rPr>
        <w:t>    2019年，我镇累计主动公开和更新政府信息共1011条，内容涉及镇政府基础信息、政府文件、政策法规、为民服务、政府工作报告、政府重点工作、财政资金使用、财政专项资金管理和使用情况、社会保障、人口计生、安全生产、应急管理等方面。2019年回应关切共计17次；重点领域公开涉及扶贫项目建设、美丽乡村建设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iCs w:val="0"/>
          <w:caps w:val="0"/>
          <w:color w:val="000000"/>
          <w:spacing w:val="0"/>
          <w:sz w:val="24"/>
          <w:szCs w:val="24"/>
          <w:shd w:val="clear" w:fill="FFFFFF"/>
        </w:rPr>
        <w:t>（二）</w:t>
      </w:r>
      <w:r>
        <w:rPr>
          <w:rStyle w:val="6"/>
          <w:rFonts w:hint="eastAsia" w:ascii="微软雅黑" w:hAnsi="微软雅黑" w:eastAsia="微软雅黑" w:cs="微软雅黑"/>
          <w:b/>
          <w:bCs/>
          <w:i w:val="0"/>
          <w:iCs w:val="0"/>
          <w:caps w:val="0"/>
          <w:color w:val="000000"/>
          <w:spacing w:val="0"/>
          <w:sz w:val="24"/>
          <w:szCs w:val="24"/>
          <w:shd w:val="clear" w:fill="FFFFFF"/>
        </w:rPr>
        <w:t>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Style w:val="6"/>
          <w:rFonts w:hint="eastAsia" w:ascii="微软雅黑" w:hAnsi="微软雅黑" w:eastAsia="微软雅黑" w:cs="微软雅黑"/>
          <w:b/>
          <w:bCs/>
          <w:i w:val="0"/>
          <w:iCs w:val="0"/>
          <w:caps w:val="0"/>
          <w:color w:val="000000"/>
          <w:spacing w:val="0"/>
          <w:sz w:val="24"/>
          <w:szCs w:val="24"/>
          <w:shd w:val="clear" w:fill="FFFFFF"/>
        </w:rPr>
        <w:t>        </w:t>
      </w:r>
      <w:r>
        <w:rPr>
          <w:rFonts w:hint="eastAsia" w:ascii="微软雅黑" w:hAnsi="微软雅黑" w:eastAsia="微软雅黑" w:cs="微软雅黑"/>
          <w:i w:val="0"/>
          <w:iCs w:val="0"/>
          <w:caps w:val="0"/>
          <w:color w:val="000000"/>
          <w:spacing w:val="0"/>
          <w:sz w:val="24"/>
          <w:szCs w:val="24"/>
          <w:shd w:val="clear" w:fill="FFFFFF"/>
        </w:rPr>
        <w:t>全年无依申请公开内容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Style w:val="6"/>
          <w:rFonts w:hint="eastAsia" w:ascii="微软雅黑" w:hAnsi="微软雅黑" w:eastAsia="微软雅黑" w:cs="微软雅黑"/>
          <w:b/>
          <w:bCs/>
          <w:i w:val="0"/>
          <w:iCs w:val="0"/>
          <w:caps w:val="0"/>
          <w:color w:val="000000"/>
          <w:spacing w:val="0"/>
          <w:sz w:val="24"/>
          <w:szCs w:val="24"/>
          <w:shd w:val="clear" w:fill="FFFFFF"/>
        </w:rPr>
        <w:t>（三）政府信息管理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iCs w:val="0"/>
          <w:caps w:val="0"/>
          <w:color w:val="000000"/>
          <w:spacing w:val="0"/>
          <w:sz w:val="24"/>
          <w:szCs w:val="24"/>
          <w:shd w:val="clear" w:fill="FFFFFF"/>
        </w:rPr>
        <w:t>    加强信息源头管理，建立政府信息编辑审核发布管理机制，在拟制公文时明确主动公开、依申请公开和不予公开等属性，凡属于主动公开范围的政府信息，自信息形成之日起 20 个工作日内及时公开，不断做优公开信息存量，扩大信息发布增量，全年累计发布各类信息 1011 条次。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Style w:val="6"/>
          <w:rFonts w:hint="eastAsia" w:ascii="微软雅黑" w:hAnsi="微软雅黑" w:eastAsia="微软雅黑" w:cs="微软雅黑"/>
          <w:b/>
          <w:bCs/>
          <w:i w:val="0"/>
          <w:iCs w:val="0"/>
          <w:caps w:val="0"/>
          <w:color w:val="000000"/>
          <w:spacing w:val="0"/>
          <w:sz w:val="24"/>
          <w:szCs w:val="24"/>
          <w:shd w:val="clear" w:fill="FFFFFF"/>
        </w:rPr>
        <w:t>（四）公开平台建设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iCs w:val="0"/>
          <w:caps w:val="0"/>
          <w:color w:val="000000"/>
          <w:spacing w:val="0"/>
          <w:sz w:val="24"/>
          <w:szCs w:val="24"/>
          <w:shd w:val="clear" w:fill="FFFFFF"/>
        </w:rPr>
        <w:t>    我镇一是通过南港镇政府的门户网站及政府信息公开网定期向公众主动公开政府信息情况；二是结合实际通过政府信息公开宣传栏、橱窗、广播、便民手册等形式主动公开政府信息情况。努力满足人民群众获取和利用公共信息资源的需求，及时公开了需要社会公众广泛知晓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Style w:val="6"/>
          <w:rFonts w:hint="eastAsia" w:ascii="微软雅黑" w:hAnsi="微软雅黑" w:eastAsia="微软雅黑" w:cs="微软雅黑"/>
          <w:b/>
          <w:bCs/>
          <w:i w:val="0"/>
          <w:iCs w:val="0"/>
          <w:caps w:val="0"/>
          <w:color w:val="000000"/>
          <w:spacing w:val="0"/>
          <w:sz w:val="24"/>
          <w:szCs w:val="24"/>
          <w:shd w:val="clear" w:fill="FFFFFF"/>
        </w:rPr>
        <w:t>（五）监督保障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iCs w:val="0"/>
          <w:caps w:val="0"/>
          <w:color w:val="000000"/>
          <w:spacing w:val="0"/>
          <w:sz w:val="24"/>
          <w:szCs w:val="24"/>
          <w:shd w:val="clear" w:fill="FFFFFF"/>
        </w:rPr>
        <w:t>    我镇高度重视政务公开工作，将政务公开工作摆在重要位置，经研究，成立了由党委副书记任组长、分管负责领导任副组长、各相关站所负责人为成员的政务公开领导小组，配备“一专一兼”两名业务员，全面负责政务公开工作日常管理，严抓政务公开工作落实。各村也成立了村务公开领导小组，形成了镇、村齐抓共管，为政务公开工作的顺利开展提供了强有力的组织保证。将政务公开工作纳入各村街和各部门的年度目标考核内容。同时，加强监督，对公开不及时、公开效果不理想的站所办进行问责，保证了政务公开的及时性、准确性、严肃性，避免了政务公开流于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Style w:val="6"/>
          <w:rFonts w:hint="eastAsia" w:ascii="微软雅黑" w:hAnsi="微软雅黑" w:eastAsia="微软雅黑" w:cs="微软雅黑"/>
          <w:b/>
          <w:bCs/>
          <w:i w:val="0"/>
          <w:iCs w:val="0"/>
          <w:caps w:val="0"/>
          <w:color w:val="000000"/>
          <w:spacing w:val="0"/>
          <w:sz w:val="24"/>
          <w:szCs w:val="24"/>
          <w:shd w:val="clear" w:fill="FFFFFF"/>
        </w:rPr>
        <w:t>（六）贯彻落实新《条例》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iCs w:val="0"/>
          <w:caps w:val="0"/>
          <w:color w:val="000000"/>
          <w:spacing w:val="0"/>
          <w:sz w:val="24"/>
          <w:szCs w:val="24"/>
          <w:shd w:val="clear" w:fill="FFFFFF"/>
        </w:rPr>
        <w:t>    我镇积极按照县政务公开办统一部署，细化宣贯方案，明确责任分工。首先加强对政务公开业务人员的学习培训，提升其对新条例的认识。其次在我镇为民服务中心张贴新条例进行宣传。同时我镇党政办联合扶贫工作站、人社所、民政办、安监所等多个部门开展了一次政务信息公开集中宣传活动，活动共发放宣传材料200余份，接受群众咨询60余人次。通过活动的开展，增强了群众对新《条例》的了解和政务公开工作的认识，加深了群众对政府各职能部门的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ascii="Calibri" w:hAnsi="Calibri" w:eastAsia="微软雅黑" w:cs="Calibri"/>
          <w:i w:val="0"/>
          <w:iCs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Calibri" w:hAnsi="Calibri" w:eastAsia="微软雅黑" w:cs="Calibri"/>
          <w:i w:val="0"/>
          <w:iCs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Calibri" w:hAnsi="Calibri" w:eastAsia="微软雅黑" w:cs="Calibri"/>
          <w:i w:val="0"/>
          <w:iCs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Calibri" w:hAnsi="Calibri" w:eastAsia="微软雅黑" w:cs="Calibri"/>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二、主动公开政府信息情况</w:t>
      </w:r>
    </w:p>
    <w:tbl>
      <w:tblPr>
        <w:tblStyle w:val="4"/>
        <w:tblW w:w="9283" w:type="dxa"/>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066"/>
        <w:gridCol w:w="1980"/>
        <w:gridCol w:w="2083"/>
        <w:gridCol w:w="215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7129"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b/>
                <w:bCs/>
              </w:rPr>
              <w:t>第二十条第（一）项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信息内容</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本年新制作数量</w:t>
            </w:r>
          </w:p>
        </w:tc>
        <w:tc>
          <w:tcPr>
            <w:tcW w:w="165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本年新公开数量</w:t>
            </w:r>
          </w:p>
        </w:tc>
        <w:tc>
          <w:tcPr>
            <w:tcW w:w="13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对外公开总数量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规章</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165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13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规范性文件</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1</w:t>
            </w:r>
          </w:p>
        </w:tc>
        <w:tc>
          <w:tcPr>
            <w:tcW w:w="165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1</w:t>
            </w:r>
          </w:p>
        </w:tc>
        <w:tc>
          <w:tcPr>
            <w:tcW w:w="13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21</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129"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b/>
                <w:bCs/>
              </w:rPr>
              <w:t>第二十条第（五）项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信息内容</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上一年项目数量</w:t>
            </w:r>
          </w:p>
        </w:tc>
        <w:tc>
          <w:tcPr>
            <w:tcW w:w="165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本年增/</w:t>
            </w:r>
            <w:r>
              <w:rPr>
                <w:rFonts w:hint="eastAsia" w:ascii="宋体" w:hAnsi="宋体" w:eastAsia="宋体" w:cs="宋体"/>
                <w:sz w:val="24"/>
                <w:szCs w:val="24"/>
              </w:rPr>
              <w:t>减</w:t>
            </w:r>
          </w:p>
        </w:tc>
        <w:tc>
          <w:tcPr>
            <w:tcW w:w="13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行政许可</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5</w:t>
            </w:r>
          </w:p>
        </w:tc>
        <w:tc>
          <w:tcPr>
            <w:tcW w:w="165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13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其他对外管理服务事项</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Fonts w:hint="eastAsia" w:ascii="Calibri" w:hAnsi="Calibri" w:cs="Calibri"/>
                <w:sz w:val="24"/>
                <w:szCs w:val="24"/>
                <w:lang w:val="en-US" w:eastAsia="zh-CN"/>
              </w:rPr>
              <w:t>139</w:t>
            </w:r>
            <w:bookmarkStart w:id="0" w:name="_GoBack"/>
            <w:bookmarkEnd w:id="0"/>
          </w:p>
        </w:tc>
        <w:tc>
          <w:tcPr>
            <w:tcW w:w="165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13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1263</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7129"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b/>
                <w:bCs/>
              </w:rPr>
              <w:t>第二十条第（六）项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信息内容</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上一年项目数量</w:t>
            </w:r>
          </w:p>
        </w:tc>
        <w:tc>
          <w:tcPr>
            <w:tcW w:w="165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本年增/</w:t>
            </w:r>
            <w:r>
              <w:rPr>
                <w:rFonts w:hint="eastAsia" w:ascii="宋体" w:hAnsi="宋体" w:eastAsia="宋体" w:cs="宋体"/>
                <w:sz w:val="24"/>
                <w:szCs w:val="24"/>
              </w:rPr>
              <w:t>减</w:t>
            </w:r>
          </w:p>
        </w:tc>
        <w:tc>
          <w:tcPr>
            <w:tcW w:w="13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行政处罚</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5</w:t>
            </w:r>
          </w:p>
        </w:tc>
        <w:tc>
          <w:tcPr>
            <w:tcW w:w="165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13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行政强制</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6</w:t>
            </w:r>
          </w:p>
        </w:tc>
        <w:tc>
          <w:tcPr>
            <w:tcW w:w="165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13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7129"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b/>
                <w:bCs/>
              </w:rPr>
              <w:t>第二十条第（八）项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信息内容</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上一年项目数量</w:t>
            </w:r>
          </w:p>
        </w:tc>
        <w:tc>
          <w:tcPr>
            <w:tcW w:w="3062"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本年增/</w:t>
            </w:r>
            <w:r>
              <w:rPr>
                <w:rFonts w:hint="eastAsia" w:ascii="宋体" w:hAnsi="宋体" w:eastAsia="宋体" w:cs="宋体"/>
                <w:sz w:val="24"/>
                <w:szCs w:val="24"/>
              </w:rPr>
              <w:t>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行政事业性收费</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1</w:t>
            </w:r>
          </w:p>
        </w:tc>
        <w:tc>
          <w:tcPr>
            <w:tcW w:w="3062"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7129"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b/>
                <w:bCs/>
              </w:rPr>
              <w:t>第二十条第（九）项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信息内容</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采购项目数量</w:t>
            </w:r>
          </w:p>
        </w:tc>
        <w:tc>
          <w:tcPr>
            <w:tcW w:w="3062"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采购总金额（万元）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24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政府集中采购</w:t>
            </w:r>
          </w:p>
        </w:tc>
        <w:tc>
          <w:tcPr>
            <w:tcW w:w="157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13</w:t>
            </w:r>
          </w:p>
        </w:tc>
        <w:tc>
          <w:tcPr>
            <w:tcW w:w="3062"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95万元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Calibri" w:hAnsi="Calibri" w:eastAsia="微软雅黑" w:cs="Calibri"/>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bCs/>
          <w:i w:val="0"/>
          <w:iCs w:val="0"/>
          <w:caps w:val="0"/>
          <w:color w:val="000000"/>
          <w:spacing w:val="0"/>
          <w:kern w:val="0"/>
          <w:sz w:val="24"/>
          <w:szCs w:val="24"/>
          <w:shd w:val="clear" w:fill="FFFFFF"/>
          <w:lang w:val="en-US" w:eastAsia="zh-CN" w:bidi="ar"/>
        </w:rPr>
        <w:t>三、收到和处理政府信息公开申请情况</w:t>
      </w:r>
    </w:p>
    <w:tbl>
      <w:tblPr>
        <w:tblStyle w:val="4"/>
        <w:tblW w:w="1080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65"/>
        <w:gridCol w:w="1080"/>
        <w:gridCol w:w="1095"/>
        <w:gridCol w:w="1080"/>
        <w:gridCol w:w="1080"/>
        <w:gridCol w:w="1080"/>
        <w:gridCol w:w="1080"/>
        <w:gridCol w:w="1080"/>
        <w:gridCol w:w="1080"/>
        <w:gridCol w:w="10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3225" w:type="dxa"/>
            <w:gridSpan w:val="3"/>
            <w:vMerge w:val="restart"/>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（本列数据的勾稽关系为：第一项加第二项之和，等于第三项加第四项之和）</w:t>
            </w:r>
          </w:p>
        </w:tc>
        <w:tc>
          <w:tcPr>
            <w:tcW w:w="7560" w:type="dxa"/>
            <w:gridSpan w:val="7"/>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3225" w:type="dxa"/>
            <w:gridSpan w:val="3"/>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restart"/>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自然人</w:t>
            </w:r>
          </w:p>
        </w:tc>
        <w:tc>
          <w:tcPr>
            <w:tcW w:w="5400" w:type="dxa"/>
            <w:gridSpan w:val="5"/>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法人或其他组织</w:t>
            </w:r>
          </w:p>
        </w:tc>
        <w:tc>
          <w:tcPr>
            <w:tcW w:w="1080" w:type="dxa"/>
            <w:vMerge w:val="restart"/>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3225" w:type="dxa"/>
            <w:gridSpan w:val="3"/>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商业企业</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科研机构</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社会公益组织</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法律服务机构</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w:t>
            </w: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3225" w:type="dxa"/>
            <w:gridSpan w:val="3"/>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一、本年新收政府信息公开申请数量</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3225" w:type="dxa"/>
            <w:gridSpan w:val="3"/>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二、上年结转政府信息公开申请数量</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restart"/>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三、本年度办理结果</w:t>
            </w:r>
          </w:p>
        </w:tc>
        <w:tc>
          <w:tcPr>
            <w:tcW w:w="2175"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（一）予以公开</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2175"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（二）部分公开（区分处理的，只计这一情形，不计其他情形）</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restart"/>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（三）不予公开</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1.属于国家秘密</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2.其他法律行政法规禁止公开</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3.危及“三安全一稳定”</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4.保护第三方合法权益</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5.属于三类内部事务信息</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6.属于四类过程性信息</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7.属于行政执法案卷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8.属于行政查询事项</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restart"/>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（四）无法提供</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1.本机关不掌握相关政府信息</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2.没有现成信息需要另行制作</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3.补正后申请内容仍不明确</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restart"/>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（五）不予处理</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1.信访举报投诉类申请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2.重复申请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3.要求提供公开出版物</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4.无正当理由大量反复申请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80"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5.要求行政机关确认或重新出具已获取信息</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2175"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（六）其他处理</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1065" w:type="dxa"/>
            <w:vMerge w:val="continue"/>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rPr>
                <w:rFonts w:hint="eastAsia" w:ascii="宋体"/>
                <w:sz w:val="24"/>
                <w:szCs w:val="24"/>
              </w:rPr>
            </w:pPr>
          </w:p>
        </w:tc>
        <w:tc>
          <w:tcPr>
            <w:tcW w:w="2175"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（七）总计</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3225" w:type="dxa"/>
            <w:gridSpan w:val="3"/>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四、结转下年度继续办理</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Calibri" w:hAnsi="Calibri" w:eastAsia="微软雅黑" w:cs="Calibri"/>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Calibri" w:hAnsi="Calibri" w:eastAsia="微软雅黑" w:cs="Calibri"/>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Calibri" w:hAnsi="Calibri" w:eastAsia="微软雅黑" w:cs="Calibri"/>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bCs/>
          <w:i w:val="0"/>
          <w:iCs w:val="0"/>
          <w:caps w:val="0"/>
          <w:color w:val="000000"/>
          <w:spacing w:val="0"/>
          <w:kern w:val="0"/>
          <w:sz w:val="24"/>
          <w:szCs w:val="24"/>
          <w:shd w:val="clear" w:fill="FFFFFF"/>
          <w:lang w:val="en-US" w:eastAsia="zh-CN" w:bidi="ar"/>
        </w:rPr>
        <w:t>四、政府信息公开行政复议、行政诉讼情况</w:t>
      </w:r>
    </w:p>
    <w:tbl>
      <w:tblPr>
        <w:tblStyle w:val="4"/>
        <w:tblW w:w="9283" w:type="dxa"/>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9"/>
        <w:gridCol w:w="558"/>
        <w:gridCol w:w="771"/>
        <w:gridCol w:w="558"/>
        <w:gridCol w:w="729"/>
        <w:gridCol w:w="558"/>
        <w:gridCol w:w="558"/>
        <w:gridCol w:w="558"/>
        <w:gridCol w:w="558"/>
        <w:gridCol w:w="729"/>
        <w:gridCol w:w="558"/>
        <w:gridCol w:w="558"/>
        <w:gridCol w:w="558"/>
        <w:gridCol w:w="558"/>
        <w:gridCol w:w="775"/>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2323"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行政复议</w:t>
            </w:r>
          </w:p>
        </w:tc>
        <w:tc>
          <w:tcPr>
            <w:tcW w:w="4181" w:type="dxa"/>
            <w:gridSpan w:val="10"/>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行政诉讼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4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结果维持</w:t>
            </w:r>
          </w:p>
        </w:tc>
        <w:tc>
          <w:tcPr>
            <w:tcW w:w="39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结果纠正</w:t>
            </w:r>
          </w:p>
        </w:tc>
        <w:tc>
          <w:tcPr>
            <w:tcW w:w="54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其他结果</w:t>
            </w:r>
          </w:p>
        </w:tc>
        <w:tc>
          <w:tcPr>
            <w:tcW w:w="39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尚未审结</w:t>
            </w:r>
          </w:p>
        </w:tc>
        <w:tc>
          <w:tcPr>
            <w:tcW w:w="39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总计</w:t>
            </w:r>
          </w:p>
        </w:tc>
        <w:tc>
          <w:tcPr>
            <w:tcW w:w="2075"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未经复议直接起诉</w:t>
            </w:r>
          </w:p>
        </w:tc>
        <w:tc>
          <w:tcPr>
            <w:tcW w:w="2076"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复议后起诉</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4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39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54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39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39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结果维持</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结果纠正</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其他结果</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尚未审结</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总计</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结果维持</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结果纠正</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其他结果</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尚未审结</w:t>
            </w:r>
          </w:p>
        </w:tc>
        <w:tc>
          <w:tcPr>
            <w:tcW w:w="3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54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c>
          <w:tcPr>
            <w:tcW w:w="3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z w:val="24"/>
                <w:szCs w:val="24"/>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Calibri" w:hAnsi="Calibri" w:eastAsia="微软雅黑" w:cs="Calibri"/>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Calibri" w:hAnsi="Calibri" w:eastAsia="微软雅黑" w:cs="Calibri"/>
          <w:i w:val="0"/>
          <w:iCs w:val="0"/>
          <w:caps w:val="0"/>
          <w:color w:val="000000"/>
          <w:spacing w:val="0"/>
          <w:kern w:val="0"/>
          <w:sz w:val="21"/>
          <w:szCs w:val="21"/>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宋体" w:hAnsi="宋体" w:eastAsia="宋体" w:cs="宋体"/>
          <w:b/>
          <w:bCs/>
          <w:i w:val="0"/>
          <w:iCs w:val="0"/>
          <w:caps w:val="0"/>
          <w:color w:val="333333"/>
          <w:spacing w:val="0"/>
          <w:sz w:val="24"/>
          <w:szCs w:val="24"/>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宋体" w:hAnsi="宋体" w:eastAsia="宋体" w:cs="宋体"/>
          <w:b/>
          <w:bCs/>
          <w:i w:val="0"/>
          <w:iCs w:val="0"/>
          <w:caps w:val="0"/>
          <w:color w:val="333333"/>
          <w:spacing w:val="0"/>
          <w:sz w:val="24"/>
          <w:szCs w:val="24"/>
          <w:shd w:val="clear" w:fill="FFFFFF"/>
        </w:rPr>
        <w:t>（一）存在问题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454545"/>
          <w:spacing w:val="0"/>
          <w:kern w:val="0"/>
          <w:sz w:val="24"/>
          <w:szCs w:val="24"/>
          <w:shd w:val="clear" w:fill="FFFFFF"/>
          <w:lang w:val="en-US" w:eastAsia="zh-CN" w:bidi="ar"/>
        </w:rPr>
        <w:t>    2019年，我镇虽然在推进政务公开工作中取得了一些成绩，但也存在问题。一是部分站所对实行政务公开的重要意义认识不足，对政务信息公开理解还存在偏差政务公开的供给与公众信息获取需求之间仍然存在着差距、二是监督制度不健全、三是信息公开内容不够规范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宋体" w:hAnsi="宋体" w:eastAsia="宋体" w:cs="宋体"/>
          <w:b/>
          <w:bCs/>
          <w:i w:val="0"/>
          <w:iCs w:val="0"/>
          <w:caps w:val="0"/>
          <w:color w:val="333333"/>
          <w:spacing w:val="0"/>
          <w:sz w:val="24"/>
          <w:szCs w:val="24"/>
          <w:shd w:val="clear" w:fill="FFFFFF"/>
        </w:rPr>
        <w:t>（二）改进措施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454545"/>
          <w:spacing w:val="0"/>
          <w:sz w:val="24"/>
          <w:szCs w:val="24"/>
          <w:shd w:val="clear" w:fill="FFFFFF"/>
        </w:rPr>
        <w:t>一是要加大政府信息采集和发布力度，提高信息质量，丰富公开内容。广泛听取群众的意见和建议，重点公开人民群众普遍关心的热点、焦点问题。努力在形成各级干部认真抓好政府信息公开、群众积极关心政府信息公开的良好社会氛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454545"/>
          <w:spacing w:val="0"/>
          <w:sz w:val="24"/>
          <w:szCs w:val="24"/>
          <w:shd w:val="clear" w:fill="FFFFFF"/>
        </w:rPr>
        <w:t>二是要进一步创新工作方式，拓宽公开渠道。整合各部门信息资源，努力探索信息公开的新路子，因地制宜选取形式多样的信息公开方式，畅通公开渠道。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宋体" w:hAnsi="宋体" w:eastAsia="宋体" w:cs="宋体"/>
          <w:b/>
          <w:bCs/>
          <w:i w:val="0"/>
          <w:iCs w:val="0"/>
          <w:caps w:val="0"/>
          <w:color w:val="333333"/>
          <w:spacing w:val="0"/>
          <w:sz w:val="24"/>
          <w:szCs w:val="24"/>
          <w:shd w:val="clear" w:fill="FFFFFF"/>
        </w:rPr>
        <w:t>六、其他需要报告的事项</w:t>
      </w:r>
    </w:p>
    <w:p>
      <w:pPr>
        <w:rPr>
          <w:rFonts w:hint="eastAsia" w:eastAsiaTheme="minorEastAsia"/>
          <w:lang w:val="en-US" w:eastAsia="zh-CN"/>
        </w:rPr>
      </w:pPr>
      <w:r>
        <w:rPr>
          <w:rFonts w:hint="eastAsia"/>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A235B"/>
    <w:rsid w:val="133E2184"/>
    <w:rsid w:val="19B11721"/>
    <w:rsid w:val="6E4A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2022-01-10T00:33:00Z</dcterms:created>
  <dc:creator>忧从缕胶林</dc:creator>
  <cp:lastModifiedBy>忧从缕胶林</cp:lastModifiedBy>
  <dcterms:modified xsi:type="dcterms:W3CDTF">2022-01-27T02:09:14Z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7C3F0B57278D478AA1BEC2B85A094D89</vt:lpwstr>
  </property>
</Properties>
</file>