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sz w:val="36"/>
          <w:szCs w:val="36"/>
          <w:bdr w:val="none" w:color="auto" w:sz="0" w:space="0"/>
          <w:shd w:val="clear" w:fill="FFFFFF"/>
        </w:rPr>
        <w:t>舒城县阙店乡2020年政府信息公开工作年度报告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ascii="等线" w:hAnsi="等线" w:eastAsia="等线" w:cs="等线"/>
          <w:i w:val="0"/>
          <w:iCs w:val="0"/>
          <w:caps w:val="0"/>
          <w:color w:val="333333"/>
          <w:spacing w:val="0"/>
          <w:sz w:val="24"/>
          <w:szCs w:val="24"/>
          <w:bdr w:val="none" w:color="auto" w:sz="0" w:space="0"/>
          <w:shd w:val="clear" w:fill="F8F8F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本报告按照《中华人民共和国政府信息公开条例》（以下简称《条 例》）、《安徽省政务公开办公室关于做好政府信息公开工作年度报 告编制及统计数据报送工作的通知》（皖政务办秘„2020‟344 号） 和《六安市人民政府办公室关于做好政府信息公开工作年度报告 编制工作的通知》（六政办秘„2020‟161 号）要求编制而成。全文包括总体情况、主动公开政府信息情况、收到和处理政府信息公开申请情况、政府信息公开行政复议、行政诉讼情况、存在的主要问题及改进情况和其他需要报告的事项。本年度报告中使用数据统计期限为2020年1月1日至2020年12月31日，本年度报告电子版可在舒城县阙店乡信息公开平台下载。如对本报告有任何疑问，请与舒城县阙店乡人民政府联系（地址：阙店乡阙店街道；邮编：231363；联系电话：0564-8587966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432" w:right="0" w:hanging="432"/>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一、</w:t>
      </w:r>
      <w:r>
        <w:rPr>
          <w:rFonts w:hint="default" w:ascii="Times New Roman" w:hAnsi="Times New Roman" w:eastAsia="微软雅黑" w:cs="Times New Roman"/>
          <w:i w:val="0"/>
          <w:iCs w:val="0"/>
          <w:caps w:val="0"/>
          <w:color w:val="333333"/>
          <w:spacing w:val="0"/>
          <w:sz w:val="14"/>
          <w:szCs w:val="14"/>
          <w:bdr w:val="none" w:color="auto" w:sz="0" w:space="0"/>
          <w:shd w:val="clear" w:fill="F8F8F8"/>
        </w:rPr>
        <w:t>          </w:t>
      </w:r>
      <w:r>
        <w:rPr>
          <w:rFonts w:hint="default" w:ascii="等线" w:hAnsi="等线" w:eastAsia="等线" w:cs="等线"/>
          <w:i w:val="0"/>
          <w:iCs w:val="0"/>
          <w:caps w:val="0"/>
          <w:color w:val="333333"/>
          <w:spacing w:val="0"/>
          <w:sz w:val="24"/>
          <w:szCs w:val="24"/>
          <w:bdr w:val="none" w:color="auto" w:sz="0" w:space="0"/>
          <w:shd w:val="clear" w:fill="F8F8F8"/>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2020年以来，我乡政务公开工作在县政务公开办的正确指导下，严格规范性公开，公开的积极性、主动性进一步提高，公开的领域进一步拓展、公开的有效性进一步增强。公开特点表现为聚焦主题主线，突出重点工作，健全公开机制，创新公开形式，丰富公开载体，拓展信息公开范围，坚持常态化及时公开，切实保障群众的知情权、参与权、监督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1、主动公开。逐步完善基层政务公开标准化规范化公开信息，深化社会公益事业重点民生领域和重大建设项目批准实施领域信息公开</w:t>
      </w:r>
      <w:r>
        <w:rPr>
          <w:rFonts w:hint="eastAsia" w:ascii="微软雅黑" w:hAnsi="微软雅黑" w:eastAsia="微软雅黑" w:cs="微软雅黑"/>
          <w:i w:val="0"/>
          <w:iCs w:val="0"/>
          <w:caps w:val="0"/>
          <w:color w:val="000000"/>
          <w:spacing w:val="0"/>
          <w:sz w:val="21"/>
          <w:szCs w:val="21"/>
          <w:bdr w:val="none" w:color="auto" w:sz="0" w:space="0"/>
          <w:shd w:val="clear" w:fill="FFFFFF"/>
        </w:rPr>
        <w:t> 。</w:t>
      </w:r>
      <w:r>
        <w:rPr>
          <w:rFonts w:hint="default" w:ascii="等线" w:hAnsi="等线" w:eastAsia="等线" w:cs="等线"/>
          <w:i w:val="0"/>
          <w:iCs w:val="0"/>
          <w:caps w:val="0"/>
          <w:color w:val="333333"/>
          <w:spacing w:val="0"/>
          <w:sz w:val="24"/>
          <w:szCs w:val="24"/>
          <w:bdr w:val="none" w:color="auto" w:sz="0" w:space="0"/>
          <w:shd w:val="clear" w:fill="F8F8F8"/>
        </w:rPr>
        <w:t>2020年1-12月份，全乡主动公开信息1208条，公开财政专项资金306条，政策解读61篇，及时回应社会关切 22件 , 切实保障了群众的知情权、参与权、监督权。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2、依申请公开。 阙店乡目前没有接到公众、法人或其他组织要求公开政府信息的申请。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3、政府信息管理。严格按照上级部署，对政府信息进行严格化规范要求，督促指导各村各单位完善各自政务公开制度；做好政府部门权责清单动态调整和公开工作，要求各部门将调整后的权力清单目录在政府门户网站公开，强化对行政权力运行全流程监督和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4、平台建设。创新推进政府公开方式，积极加强政府公开的历史数据库建设和移动端展示工作，在电子版、纸质版、“两微一端”同步发行的基础上，实现政府公开的可查询、可检索，可下载。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5、监督保障。积极配合省市县三级，认真做好政务公开落实情况的跟踪督办，做好监测问题的反馈，对存在的问题及时提出解决办法，抓好反馈问题的整改落实，提升工作效果，推动政务公开工作落实到实处；在日常工作中，注意自查自纠，对以往发布信息进行系统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b/>
          <w:bCs/>
          <w:i w:val="0"/>
          <w:iCs w:val="0"/>
          <w:caps w:val="0"/>
          <w:color w:val="333333"/>
          <w:spacing w:val="0"/>
          <w:sz w:val="24"/>
          <w:szCs w:val="24"/>
          <w:bdr w:val="none" w:color="auto" w:sz="0" w:space="0"/>
          <w:shd w:val="clear" w:fill="F8F8F8"/>
        </w:rPr>
        <w:t>二、主动公开政府信息</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20"/>
        <w:gridCol w:w="1875"/>
        <w:gridCol w:w="240"/>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ascii="仿宋" w:hAnsi="仿宋" w:eastAsia="仿宋" w:cs="仿宋"/>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信息内容</w:t>
            </w:r>
          </w:p>
        </w:tc>
        <w:tc>
          <w:tcPr>
            <w:tcW w:w="18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本年新</w:t>
            </w:r>
            <w:r>
              <w:rPr>
                <w:rFonts w:hint="default" w:ascii="Times New Roman" w:hAnsi="Times New Roman" w:cs="Times New Roman"/>
                <w:color w:val="000000"/>
                <w:sz w:val="20"/>
                <w:szCs w:val="20"/>
                <w:bdr w:val="none" w:color="auto" w:sz="0" w:space="0"/>
              </w:rPr>
              <w:br w:type="textWrapping"/>
            </w:r>
            <w:r>
              <w:rPr>
                <w:rFonts w:hint="eastAsia" w:ascii="仿宋" w:hAnsi="仿宋" w:eastAsia="仿宋" w:cs="仿宋"/>
                <w:sz w:val="20"/>
                <w:szCs w:val="20"/>
                <w:bdr w:val="none" w:color="auto" w:sz="0" w:space="0"/>
              </w:rPr>
              <w:t>制作数量</w:t>
            </w:r>
          </w:p>
        </w:tc>
        <w:tc>
          <w:tcPr>
            <w:tcW w:w="127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本年新</w:t>
            </w:r>
            <w:r>
              <w:rPr>
                <w:rFonts w:hint="default" w:ascii="Times New Roman" w:hAnsi="Times New Roman" w:cs="Times New Roman"/>
                <w:color w:val="000000"/>
                <w:sz w:val="20"/>
                <w:szCs w:val="20"/>
                <w:bdr w:val="none" w:color="auto" w:sz="0" w:space="0"/>
              </w:rPr>
              <w:br w:type="textWrapping"/>
            </w:r>
            <w:r>
              <w:rPr>
                <w:rFonts w:hint="eastAsia" w:ascii="仿宋" w:hAnsi="仿宋" w:eastAsia="仿宋" w:cs="仿宋"/>
                <w:sz w:val="20"/>
                <w:szCs w:val="20"/>
                <w:bdr w:val="none" w:color="auto" w:sz="0" w:space="0"/>
              </w:rPr>
              <w:t>公开数量</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规章</w:t>
            </w:r>
          </w:p>
        </w:tc>
        <w:tc>
          <w:tcPr>
            <w:tcW w:w="18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127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ascii="Calibri" w:hAnsi="Calibri" w:cs="Calibri"/>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规范性文件</w:t>
            </w:r>
          </w:p>
        </w:tc>
        <w:tc>
          <w:tcPr>
            <w:tcW w:w="18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127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信息内容</w:t>
            </w:r>
          </w:p>
        </w:tc>
        <w:tc>
          <w:tcPr>
            <w:tcW w:w="18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上一年项目数量</w:t>
            </w:r>
          </w:p>
        </w:tc>
        <w:tc>
          <w:tcPr>
            <w:tcW w:w="127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本年增</w:t>
            </w:r>
            <w:r>
              <w:rPr>
                <w:rFonts w:hint="default" w:ascii="Times New Roman" w:hAnsi="Times New Roman" w:cs="Times New Roman"/>
                <w:color w:val="000000"/>
                <w:sz w:val="20"/>
                <w:szCs w:val="20"/>
                <w:bdr w:val="none" w:color="auto" w:sz="0" w:space="0"/>
              </w:rPr>
              <w:t>/</w:t>
            </w:r>
            <w:r>
              <w:rPr>
                <w:rFonts w:hint="eastAsia" w:ascii="仿宋" w:hAnsi="仿宋" w:eastAsia="仿宋" w:cs="仿宋"/>
                <w:color w:val="000000"/>
                <w:sz w:val="20"/>
                <w:szCs w:val="20"/>
                <w:bdr w:val="none" w:color="auto" w:sz="0" w:space="0"/>
              </w:rPr>
              <w:t>减</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行政许可</w:t>
            </w:r>
          </w:p>
        </w:tc>
        <w:tc>
          <w:tcPr>
            <w:tcW w:w="188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eastAsia="等线" w:cs="Times New Roman"/>
                <w:color w:val="000000"/>
                <w:sz w:val="20"/>
                <w:szCs w:val="20"/>
                <w:bdr w:val="none" w:color="auto" w:sz="0" w:space="0"/>
              </w:rPr>
              <w:t>4</w:t>
            </w:r>
          </w:p>
        </w:tc>
        <w:tc>
          <w:tcPr>
            <w:tcW w:w="12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其他对外管理服务事项</w:t>
            </w:r>
          </w:p>
        </w:tc>
        <w:tc>
          <w:tcPr>
            <w:tcW w:w="188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151</w:t>
            </w:r>
          </w:p>
        </w:tc>
        <w:tc>
          <w:tcPr>
            <w:tcW w:w="12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11256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信息内容</w:t>
            </w:r>
          </w:p>
        </w:tc>
        <w:tc>
          <w:tcPr>
            <w:tcW w:w="18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上一年项目数量</w:t>
            </w:r>
          </w:p>
        </w:tc>
        <w:tc>
          <w:tcPr>
            <w:tcW w:w="127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本年增</w:t>
            </w:r>
            <w:r>
              <w:rPr>
                <w:rFonts w:hint="default" w:ascii="Times New Roman" w:hAnsi="Times New Roman" w:cs="Times New Roman"/>
                <w:color w:val="000000"/>
                <w:sz w:val="20"/>
                <w:szCs w:val="20"/>
                <w:bdr w:val="none" w:color="auto" w:sz="0" w:space="0"/>
              </w:rPr>
              <w:t>/</w:t>
            </w:r>
            <w:r>
              <w:rPr>
                <w:rFonts w:hint="eastAsia" w:ascii="仿宋" w:hAnsi="仿宋" w:eastAsia="仿宋" w:cs="仿宋"/>
                <w:color w:val="000000"/>
                <w:sz w:val="20"/>
                <w:szCs w:val="20"/>
                <w:bdr w:val="none" w:color="auto" w:sz="0" w:space="0"/>
              </w:rPr>
              <w:t>减</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行政处罚</w:t>
            </w:r>
          </w:p>
        </w:tc>
        <w:tc>
          <w:tcPr>
            <w:tcW w:w="188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eastAsia="等线" w:cs="Times New Roman"/>
                <w:color w:val="000000"/>
                <w:sz w:val="20"/>
                <w:szCs w:val="20"/>
                <w:bdr w:val="none" w:color="auto" w:sz="0" w:space="0"/>
              </w:rPr>
              <w:t>3</w:t>
            </w:r>
          </w:p>
        </w:tc>
        <w:tc>
          <w:tcPr>
            <w:tcW w:w="12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行政强制</w:t>
            </w:r>
          </w:p>
        </w:tc>
        <w:tc>
          <w:tcPr>
            <w:tcW w:w="188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00"/>
              <w:jc w:val="both"/>
            </w:pPr>
            <w:r>
              <w:rPr>
                <w:rFonts w:hint="eastAsia" w:ascii="仿宋" w:hAnsi="仿宋" w:eastAsia="仿宋" w:cs="仿宋"/>
                <w:color w:val="000000"/>
                <w:sz w:val="20"/>
                <w:szCs w:val="20"/>
                <w:bdr w:val="none" w:color="auto" w:sz="0" w:space="0"/>
              </w:rPr>
              <w:t>7</w:t>
            </w:r>
          </w:p>
        </w:tc>
        <w:tc>
          <w:tcPr>
            <w:tcW w:w="12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18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信息内容</w:t>
            </w:r>
          </w:p>
        </w:tc>
        <w:tc>
          <w:tcPr>
            <w:tcW w:w="188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上一年项目数量</w:t>
            </w:r>
          </w:p>
        </w:tc>
        <w:tc>
          <w:tcPr>
            <w:tcW w:w="3146" w:type="dxa"/>
            <w:gridSpan w:val="2"/>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本年增</w:t>
            </w:r>
            <w:r>
              <w:rPr>
                <w:rFonts w:hint="default" w:ascii="Times New Roman" w:hAnsi="Times New Roman" w:cs="Times New Roman"/>
                <w:color w:val="000000"/>
                <w:sz w:val="20"/>
                <w:szCs w:val="20"/>
                <w:bdr w:val="none" w:color="auto" w:sz="0" w:space="0"/>
              </w:rPr>
              <w:t>/</w:t>
            </w:r>
            <w:r>
              <w:rPr>
                <w:rFonts w:hint="eastAsia" w:ascii="仿宋" w:hAnsi="仿宋" w:eastAsia="仿宋" w:cs="仿宋"/>
                <w:color w:val="000000"/>
                <w:sz w:val="20"/>
                <w:szCs w:val="20"/>
                <w:bdr w:val="none" w:color="auto" w:sz="0" w:space="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行政事业性收费</w:t>
            </w:r>
          </w:p>
        </w:tc>
        <w:tc>
          <w:tcPr>
            <w:tcW w:w="188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3146" w:type="dxa"/>
            <w:gridSpan w:val="2"/>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信息内容</w:t>
            </w:r>
          </w:p>
        </w:tc>
        <w:tc>
          <w:tcPr>
            <w:tcW w:w="188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采购项目数量</w:t>
            </w:r>
          </w:p>
        </w:tc>
        <w:tc>
          <w:tcPr>
            <w:tcW w:w="3146" w:type="dxa"/>
            <w:gridSpan w:val="2"/>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政府集中采购</w:t>
            </w:r>
          </w:p>
        </w:tc>
        <w:tc>
          <w:tcPr>
            <w:tcW w:w="188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　</w:t>
            </w:r>
            <w:r>
              <w:rPr>
                <w:rFonts w:hint="default" w:ascii="Times New Roman" w:hAnsi="Times New Roman" w:cs="Times New Roman"/>
                <w:color w:val="000000"/>
                <w:sz w:val="20"/>
                <w:szCs w:val="20"/>
                <w:bdr w:val="none" w:color="auto" w:sz="0" w:space="0"/>
              </w:rPr>
              <w:t>12</w:t>
            </w:r>
          </w:p>
        </w:tc>
        <w:tc>
          <w:tcPr>
            <w:tcW w:w="3146" w:type="dxa"/>
            <w:gridSpan w:val="2"/>
            <w:tcBorders>
              <w:top w:val="nil"/>
              <w:left w:val="nil"/>
              <w:bottom w:val="single" w:color="auto" w:sz="8" w:space="0"/>
              <w:right w:val="single" w:color="000000"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4"/>
                <w:szCs w:val="24"/>
                <w:bdr w:val="none" w:color="auto" w:sz="0" w:space="0"/>
              </w:rPr>
              <w:t>28.19</w:t>
            </w:r>
            <w:r>
              <w:rPr>
                <w:rFonts w:hint="eastAsia" w:ascii="仿宋" w:hAnsi="仿宋" w:eastAsia="仿宋" w:cs="仿宋"/>
                <w:sz w:val="24"/>
                <w:szCs w:val="24"/>
                <w:bdr w:val="none" w:color="auto" w:sz="0" w:space="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2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87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6"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260"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87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b/>
          <w:bCs/>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b/>
          <w:bCs/>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b/>
          <w:bCs/>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b/>
          <w:bCs/>
          <w:i w:val="0"/>
          <w:iCs w:val="0"/>
          <w:caps w:val="0"/>
          <w:color w:val="333333"/>
          <w:spacing w:val="0"/>
          <w:sz w:val="24"/>
          <w:szCs w:val="24"/>
          <w:bdr w:val="none" w:color="auto" w:sz="0" w:space="0"/>
          <w:shd w:val="clear" w:fill="FFFFFF"/>
        </w:rPr>
        <w:t>三、收到和处理政府信息公开申请情况</w:t>
      </w:r>
    </w:p>
    <w:tbl>
      <w:tblPr>
        <w:tblW w:w="9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17"/>
        <w:gridCol w:w="854"/>
        <w:gridCol w:w="2301"/>
        <w:gridCol w:w="599"/>
        <w:gridCol w:w="755"/>
        <w:gridCol w:w="755"/>
        <w:gridCol w:w="813"/>
        <w:gridCol w:w="974"/>
        <w:gridCol w:w="712"/>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771"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（本列数据的勾稽关系为：第一项加第二项之和，等于第三项加第四项之和）</w:t>
            </w:r>
          </w:p>
        </w:tc>
        <w:tc>
          <w:tcPr>
            <w:tcW w:w="5300"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771"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9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自然人</w:t>
            </w:r>
          </w:p>
        </w:tc>
        <w:tc>
          <w:tcPr>
            <w:tcW w:w="4007"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法人或其他组织</w:t>
            </w:r>
          </w:p>
        </w:tc>
        <w:tc>
          <w:tcPr>
            <w:tcW w:w="69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1" w:hRule="atLeast"/>
          <w:jc w:val="center"/>
        </w:trPr>
        <w:tc>
          <w:tcPr>
            <w:tcW w:w="3771"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9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商业企业</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科研机构</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社会公益组织</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法律服务机构</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其他</w:t>
            </w:r>
          </w:p>
        </w:tc>
        <w:tc>
          <w:tcPr>
            <w:tcW w:w="69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一、本年新收政府信息公开申请数量</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二、上年结转政府信息公开申请数量</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三、本年度办理结果</w:t>
            </w:r>
          </w:p>
        </w:tc>
        <w:tc>
          <w:tcPr>
            <w:tcW w:w="315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ascii="楷体" w:hAnsi="楷体" w:eastAsia="楷体" w:cs="楷体"/>
                <w:sz w:val="20"/>
                <w:szCs w:val="20"/>
                <w:bdr w:val="none" w:color="auto" w:sz="0" w:space="0"/>
              </w:rPr>
              <w:t>（一）予以公开</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15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楷体" w:hAnsi="楷体" w:eastAsia="楷体" w:cs="楷体"/>
                <w:sz w:val="20"/>
                <w:szCs w:val="20"/>
                <w:bdr w:val="none" w:color="auto" w:sz="0" w:space="0"/>
              </w:rPr>
              <w:t>（二）部分公开（区分处理的，只计这一情形，不计其他情形）</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楷体" w:hAnsi="楷体" w:eastAsia="楷体" w:cs="楷体"/>
                <w:sz w:val="20"/>
                <w:szCs w:val="20"/>
                <w:bdr w:val="none" w:color="auto" w:sz="0" w:space="0"/>
              </w:rPr>
              <w:t>（三）不予公开</w:t>
            </w: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1.</w:t>
            </w:r>
            <w:r>
              <w:rPr>
                <w:rFonts w:hint="eastAsia" w:ascii="楷体" w:hAnsi="楷体" w:eastAsia="楷体" w:cs="楷体"/>
                <w:sz w:val="20"/>
                <w:szCs w:val="20"/>
                <w:bdr w:val="none" w:color="auto" w:sz="0" w:space="0"/>
              </w:rPr>
              <w:t>属于国家秘密</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2.</w:t>
            </w:r>
            <w:r>
              <w:rPr>
                <w:rFonts w:hint="eastAsia" w:ascii="楷体" w:hAnsi="楷体" w:eastAsia="楷体" w:cs="楷体"/>
                <w:sz w:val="20"/>
                <w:szCs w:val="20"/>
                <w:bdr w:val="none" w:color="auto" w:sz="0" w:space="0"/>
              </w:rPr>
              <w:t>其他法律行政法规禁止公开</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0</w:t>
            </w:r>
            <w:r>
              <w:rPr>
                <w:rFonts w:hint="default" w:ascii="Calibri" w:hAnsi="Calibri" w:cs="Calibri"/>
                <w:sz w:val="20"/>
                <w:szCs w:val="20"/>
                <w:bdr w:val="none" w:color="auto" w:sz="0" w:space="0"/>
              </w:rPr>
              <w:t> </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3.</w:t>
            </w:r>
            <w:r>
              <w:rPr>
                <w:rFonts w:hint="eastAsia" w:ascii="楷体" w:hAnsi="楷体" w:eastAsia="楷体" w:cs="楷体"/>
                <w:sz w:val="20"/>
                <w:szCs w:val="20"/>
                <w:bdr w:val="none" w:color="auto" w:sz="0" w:space="0"/>
              </w:rPr>
              <w:t>危及</w:t>
            </w:r>
            <w:r>
              <w:rPr>
                <w:rFonts w:hint="default" w:ascii="Calibri" w:hAnsi="Calibri" w:cs="Calibri"/>
                <w:sz w:val="20"/>
                <w:szCs w:val="20"/>
                <w:bdr w:val="none" w:color="auto" w:sz="0" w:space="0"/>
              </w:rPr>
              <w:t>“</w:t>
            </w:r>
            <w:r>
              <w:rPr>
                <w:rFonts w:hint="eastAsia" w:ascii="楷体" w:hAnsi="楷体" w:eastAsia="楷体" w:cs="楷体"/>
                <w:sz w:val="20"/>
                <w:szCs w:val="20"/>
                <w:bdr w:val="none" w:color="auto" w:sz="0" w:space="0"/>
              </w:rPr>
              <w:t>三安全一稳定</w:t>
            </w:r>
            <w:r>
              <w:rPr>
                <w:rFonts w:hint="default" w:ascii="Calibri" w:hAnsi="Calibri" w:cs="Calibri"/>
                <w:sz w:val="20"/>
                <w:szCs w:val="20"/>
                <w:bdr w:val="none" w:color="auto" w:sz="0" w:space="0"/>
              </w:rPr>
              <w:t>”</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4.</w:t>
            </w:r>
            <w:r>
              <w:rPr>
                <w:rFonts w:hint="eastAsia" w:ascii="楷体" w:hAnsi="楷体" w:eastAsia="楷体" w:cs="楷体"/>
                <w:sz w:val="20"/>
                <w:szCs w:val="20"/>
                <w:bdr w:val="none" w:color="auto" w:sz="0" w:space="0"/>
              </w:rPr>
              <w:t>保护第三方合法权益</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5.</w:t>
            </w:r>
            <w:r>
              <w:rPr>
                <w:rFonts w:hint="eastAsia" w:ascii="楷体" w:hAnsi="楷体" w:eastAsia="楷体" w:cs="楷体"/>
                <w:sz w:val="20"/>
                <w:szCs w:val="20"/>
                <w:bdr w:val="none" w:color="auto" w:sz="0" w:space="0"/>
              </w:rPr>
              <w:t>属于三类内部事务信息</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6.</w:t>
            </w:r>
            <w:r>
              <w:rPr>
                <w:rFonts w:hint="eastAsia" w:ascii="楷体" w:hAnsi="楷体" w:eastAsia="楷体" w:cs="楷体"/>
                <w:sz w:val="20"/>
                <w:szCs w:val="20"/>
                <w:bdr w:val="none" w:color="auto" w:sz="0" w:space="0"/>
              </w:rPr>
              <w:t>属于四类过程性信息</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4"/>
                <w:szCs w:val="24"/>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7.</w:t>
            </w:r>
            <w:r>
              <w:rPr>
                <w:rFonts w:hint="eastAsia" w:ascii="楷体" w:hAnsi="楷体" w:eastAsia="楷体" w:cs="楷体"/>
                <w:sz w:val="20"/>
                <w:szCs w:val="20"/>
                <w:bdr w:val="none" w:color="auto" w:sz="0" w:space="0"/>
              </w:rPr>
              <w:t>属于行政执法案卷</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8.</w:t>
            </w:r>
            <w:r>
              <w:rPr>
                <w:rFonts w:hint="eastAsia" w:ascii="楷体" w:hAnsi="楷体" w:eastAsia="楷体" w:cs="楷体"/>
                <w:sz w:val="20"/>
                <w:szCs w:val="20"/>
                <w:bdr w:val="none" w:color="auto" w:sz="0" w:space="0"/>
              </w:rPr>
              <w:t>属于行政查询事项</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楷体" w:hAnsi="楷体" w:eastAsia="楷体" w:cs="楷体"/>
                <w:sz w:val="20"/>
                <w:szCs w:val="20"/>
                <w:bdr w:val="none" w:color="auto" w:sz="0" w:space="0"/>
              </w:rPr>
              <w:t>（四）无法提供</w:t>
            </w: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1.</w:t>
            </w:r>
            <w:r>
              <w:rPr>
                <w:rFonts w:hint="eastAsia" w:ascii="楷体" w:hAnsi="楷体" w:eastAsia="楷体" w:cs="楷体"/>
                <w:sz w:val="20"/>
                <w:szCs w:val="20"/>
                <w:bdr w:val="none" w:color="auto" w:sz="0" w:space="0"/>
              </w:rPr>
              <w:t>本机关不掌握相关政府信息</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2.</w:t>
            </w:r>
            <w:r>
              <w:rPr>
                <w:rFonts w:hint="eastAsia" w:ascii="楷体" w:hAnsi="楷体" w:eastAsia="楷体" w:cs="楷体"/>
                <w:sz w:val="20"/>
                <w:szCs w:val="20"/>
                <w:bdr w:val="none" w:color="auto" w:sz="0" w:space="0"/>
              </w:rPr>
              <w:t>没有现成信息需要另行制作</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3.</w:t>
            </w:r>
            <w:r>
              <w:rPr>
                <w:rFonts w:hint="eastAsia" w:ascii="楷体" w:hAnsi="楷体" w:eastAsia="楷体" w:cs="楷体"/>
                <w:sz w:val="20"/>
                <w:szCs w:val="20"/>
                <w:bdr w:val="none" w:color="auto" w:sz="0" w:space="0"/>
              </w:rPr>
              <w:t>补正后申请内容仍不明确</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0</w:t>
            </w:r>
            <w:r>
              <w:rPr>
                <w:rFonts w:hint="default" w:ascii="Calibri" w:hAnsi="Calibri" w:cs="Calibri"/>
                <w:sz w:val="20"/>
                <w:szCs w:val="20"/>
                <w:bdr w:val="none" w:color="auto" w:sz="0" w:space="0"/>
              </w:rPr>
              <w:t> </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楷体" w:hAnsi="楷体" w:eastAsia="楷体" w:cs="楷体"/>
                <w:sz w:val="20"/>
                <w:szCs w:val="20"/>
                <w:bdr w:val="none" w:color="auto" w:sz="0" w:space="0"/>
              </w:rPr>
              <w:t>（五）不予处理</w:t>
            </w: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1.</w:t>
            </w:r>
            <w:r>
              <w:rPr>
                <w:rFonts w:hint="eastAsia" w:ascii="楷体" w:hAnsi="楷体" w:eastAsia="楷体" w:cs="楷体"/>
                <w:sz w:val="20"/>
                <w:szCs w:val="20"/>
                <w:bdr w:val="none" w:color="auto" w:sz="0" w:space="0"/>
              </w:rPr>
              <w:t>信访举报投诉类申请</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2.</w:t>
            </w:r>
            <w:r>
              <w:rPr>
                <w:rFonts w:hint="eastAsia" w:ascii="楷体" w:hAnsi="楷体" w:eastAsia="楷体" w:cs="楷体"/>
                <w:sz w:val="20"/>
                <w:szCs w:val="20"/>
                <w:bdr w:val="none" w:color="auto" w:sz="0" w:space="0"/>
              </w:rPr>
              <w:t>重复申请</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3.</w:t>
            </w:r>
            <w:r>
              <w:rPr>
                <w:rFonts w:hint="eastAsia" w:ascii="楷体" w:hAnsi="楷体" w:eastAsia="楷体" w:cs="楷体"/>
                <w:sz w:val="20"/>
                <w:szCs w:val="20"/>
                <w:bdr w:val="none" w:color="auto" w:sz="0" w:space="0"/>
              </w:rPr>
              <w:t>要求提供公开出版物</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4.</w:t>
            </w:r>
            <w:r>
              <w:rPr>
                <w:rFonts w:hint="eastAsia" w:ascii="楷体" w:hAnsi="楷体" w:eastAsia="楷体" w:cs="楷体"/>
                <w:sz w:val="20"/>
                <w:szCs w:val="20"/>
                <w:bdr w:val="none" w:color="auto" w:sz="0" w:space="0"/>
              </w:rPr>
              <w:t>无正当理由大量反复申请</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0</w:t>
            </w:r>
            <w:r>
              <w:rPr>
                <w:rFonts w:hint="default" w:ascii="Calibri" w:hAnsi="Calibri" w:cs="Calibri"/>
                <w:sz w:val="20"/>
                <w:szCs w:val="20"/>
                <w:bdr w:val="none" w:color="auto" w:sz="0" w:space="0"/>
              </w:rPr>
              <w:t> </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5.</w:t>
            </w:r>
            <w:r>
              <w:rPr>
                <w:rFonts w:hint="eastAsia" w:ascii="楷体" w:hAnsi="楷体" w:eastAsia="楷体" w:cs="楷体"/>
                <w:sz w:val="20"/>
                <w:szCs w:val="20"/>
                <w:bdr w:val="none" w:color="auto" w:sz="0" w:space="0"/>
              </w:rPr>
              <w:t>要求行政机关确认或重新出具已获取信息</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0</w:t>
            </w:r>
            <w:r>
              <w:rPr>
                <w:rFonts w:hint="default" w:ascii="Calibri" w:hAnsi="Calibri" w:cs="Calibri"/>
                <w:sz w:val="20"/>
                <w:szCs w:val="20"/>
                <w:bdr w:val="none" w:color="auto" w:sz="0" w:space="0"/>
              </w:rPr>
              <w:t> </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15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楷体" w:hAnsi="楷体" w:eastAsia="楷体" w:cs="楷体"/>
                <w:sz w:val="20"/>
                <w:szCs w:val="20"/>
                <w:bdr w:val="none" w:color="auto" w:sz="0" w:space="0"/>
              </w:rPr>
              <w:t>（六）其他处理</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15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楷体" w:hAnsi="楷体" w:eastAsia="楷体" w:cs="楷体"/>
                <w:sz w:val="20"/>
                <w:szCs w:val="20"/>
                <w:bdr w:val="none" w:color="auto" w:sz="0" w:space="0"/>
              </w:rPr>
              <w:t>（七）总计</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四、结转下年度继续办理</w:t>
            </w:r>
          </w:p>
        </w:tc>
        <w:tc>
          <w:tcPr>
            <w:tcW w:w="5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1"/>
                <w:szCs w:val="21"/>
                <w:bdr w:val="none" w:color="auto" w:sz="0" w:space="0"/>
              </w:rPr>
              <w:t> </w:t>
            </w:r>
            <w:r>
              <w:rPr>
                <w:rFonts w:hint="default" w:ascii="Times New Roman" w:hAnsi="Times New Roman" w:cs="Times New Roman"/>
                <w:sz w:val="21"/>
                <w:szCs w:val="21"/>
                <w:bdr w:val="none" w:color="auto" w:sz="0" w:space="0"/>
              </w:rPr>
              <w:t>0</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9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b/>
          <w:bCs/>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b/>
          <w:bCs/>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b/>
          <w:bCs/>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b/>
          <w:bCs/>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b/>
          <w:bCs/>
          <w:i w:val="0"/>
          <w:iCs w:val="0"/>
          <w:caps w:val="0"/>
          <w:color w:val="333333"/>
          <w:spacing w:val="0"/>
          <w:sz w:val="24"/>
          <w:szCs w:val="24"/>
          <w:bdr w:val="none" w:color="auto" w:sz="0" w:space="0"/>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8"/>
        <w:gridCol w:w="568"/>
        <w:gridCol w:w="568"/>
        <w:gridCol w:w="568"/>
        <w:gridCol w:w="611"/>
        <w:gridCol w:w="524"/>
        <w:gridCol w:w="568"/>
        <w:gridCol w:w="568"/>
        <w:gridCol w:w="568"/>
        <w:gridCol w:w="568"/>
        <w:gridCol w:w="568"/>
        <w:gridCol w:w="568"/>
        <w:gridCol w:w="568"/>
        <w:gridCol w:w="569"/>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行政复议</w:t>
            </w:r>
          </w:p>
        </w:tc>
        <w:tc>
          <w:tcPr>
            <w:tcW w:w="5997"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结果维持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结果纠正</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其他结果</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尚未审结</w:t>
            </w:r>
          </w:p>
        </w:tc>
        <w:tc>
          <w:tcPr>
            <w:tcW w:w="65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总计</w:t>
            </w:r>
          </w:p>
        </w:tc>
        <w:tc>
          <w:tcPr>
            <w:tcW w:w="2970"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未经复议直接起诉</w:t>
            </w:r>
          </w:p>
        </w:tc>
        <w:tc>
          <w:tcPr>
            <w:tcW w:w="3027"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60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5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结果纠正</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其他结果</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尚未审结</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总计</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结果纠正</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其他结果</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sz w:val="20"/>
                <w:szCs w:val="20"/>
                <w:bdr w:val="none" w:color="auto" w:sz="0" w:space="0"/>
              </w:rPr>
              <w:t>尚未审结</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仿宋" w:hAnsi="仿宋" w:eastAsia="仿宋" w:cs="仿宋"/>
                <w:color w:val="000000"/>
                <w:sz w:val="20"/>
                <w:szCs w:val="20"/>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60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0</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0"/>
                <w:szCs w:val="2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color w:val="000000"/>
                <w:sz w:val="20"/>
                <w:szCs w:val="20"/>
                <w:bdr w:val="none" w:color="auto" w:sz="0" w:space="0"/>
              </w:rPr>
              <w:t> </w:t>
            </w:r>
            <w:r>
              <w:rPr>
                <w:rFonts w:hint="default" w:ascii="Times New Roman" w:hAnsi="Times New Roman" w:cs="Times New Roman"/>
                <w:color w:val="000000"/>
                <w:sz w:val="20"/>
                <w:szCs w:val="20"/>
                <w:bdr w:val="none" w:color="auto" w:sz="0" w:space="0"/>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Calibri" w:hAnsi="Calibri" w:cs="Calibri"/>
                <w:sz w:val="20"/>
                <w:szCs w:val="20"/>
                <w:bdr w:val="none" w:color="auto" w:sz="0" w:space="0"/>
              </w:rPr>
              <w:t> </w:t>
            </w:r>
            <w:r>
              <w:rPr>
                <w:rFonts w:hint="default" w:ascii="Times New Roman" w:hAnsi="Times New Roman" w:cs="Times New Roman"/>
                <w:sz w:val="20"/>
                <w:szCs w:val="20"/>
                <w:bdr w:val="none" w:color="auto" w:sz="0" w:space="0"/>
              </w:rPr>
              <w:t>0</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default" w:ascii="Times New Roman" w:hAnsi="Times New Roman" w:cs="Times New Roman"/>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b/>
          <w:bCs/>
          <w:i w:val="0"/>
          <w:iCs w:val="0"/>
          <w:caps w:val="0"/>
          <w:color w:val="333333"/>
          <w:spacing w:val="0"/>
          <w:sz w:val="24"/>
          <w:szCs w:val="24"/>
          <w:bdr w:val="none" w:color="auto" w:sz="0" w:space="0"/>
          <w:shd w:val="clear" w:fill="F8F8F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default" w:ascii="等线" w:hAnsi="等线" w:eastAsia="等线" w:cs="等线"/>
          <w:i w:val="0"/>
          <w:iCs w:val="0"/>
          <w:caps w:val="0"/>
          <w:color w:val="333333"/>
          <w:spacing w:val="0"/>
          <w:sz w:val="24"/>
          <w:szCs w:val="24"/>
          <w:bdr w:val="none" w:color="auto" w:sz="0" w:space="0"/>
          <w:shd w:val="clear" w:fill="F8F8F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ascii="黑体" w:hAnsi="宋体" w:eastAsia="黑体" w:cs="黑体"/>
          <w:b/>
          <w:bCs/>
          <w:i w:val="0"/>
          <w:iCs w:val="0"/>
          <w:caps w:val="0"/>
          <w:color w:val="000000"/>
          <w:spacing w:val="0"/>
          <w:sz w:val="24"/>
          <w:szCs w:val="24"/>
          <w:bdr w:val="none" w:color="auto" w:sz="0" w:space="0"/>
          <w:shd w:val="clear" w:fill="FFFFFF"/>
        </w:rPr>
        <w:t>五、存在的主要问题及改进情况</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2020年，我乡政务信息公开工作虽然取得了一些成绩，但也存在一些不足，主要表现在：1、主动公开深度不足2、对依申请公开疑难问题研究和分类指导亟需加强3、政策解读质量有待提高且解读方式单一化4、由于人事频繁变动导致的公开信息不及时5、其他实际因素导致的公开不全面等。下一步，我乡将重点做好以下几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360" w:right="0" w:hanging="36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1、</w:t>
      </w:r>
      <w:r>
        <w:rPr>
          <w:rFonts w:hint="default" w:ascii="Times New Roman" w:hAnsi="Times New Roman" w:eastAsia="微软雅黑" w:cs="Times New Roman"/>
          <w:i w:val="0"/>
          <w:iCs w:val="0"/>
          <w:caps w:val="0"/>
          <w:color w:val="000000"/>
          <w:spacing w:val="0"/>
          <w:sz w:val="14"/>
          <w:szCs w:val="1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rPr>
        <w:t>增加主动公开的广度和深度。加大群众特别关心、社会高度关注的行政权力运行、财政资金使用、公共资源配置、公共服务和公共监管等重点领域信息的公开力度，扩大公开范围，细化公开内容，提高更新速率，让公众及时获取政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2、加大对政策解读的多样化。及时对政府公开信息进行各种方式的简易化解读，让百姓能够精准读懂各项政策，及时传递到位。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学习提升依申请公开疑难问题研究。学习上级指导意见和思想，指导督促各村各部门发挥本单位业务，加强与司法行政部门的沟通协作，确保依申请公开工作规范开展，避免未在法定期限内进行答复、答复内容违法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4、强化指导，专人专办。定期对业务人员进行培训和指导，切实推动政府信息公开工作上水平。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sz w:val="24"/>
          <w:szCs w:val="24"/>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A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2022-01-27T02:29:19Z</dcterms:created>
  <dc:creator>Administrator</dc:creator>
  <cp:lastModifiedBy>夜深人未静ゅ</cp:lastModifiedBy>
  <dcterms:modified xsi:type="dcterms:W3CDTF">2022-01-27T02:29:39Z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531D1488F69F4073A638CC3A109A49E4</vt:lpwstr>
  </property>
</Properties>
</file>