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方正小标宋简体" w:eastAsia="方正小标宋简体"/>
          <w:color w:val="000000" w:themeColor="text1"/>
          <w:kern w:val="0"/>
          <w:sz w:val="44"/>
          <w:szCs w:val="44"/>
        </w:rPr>
      </w:pPr>
      <w:bookmarkStart w:id="0" w:name="OLE_LINK5"/>
      <w:r>
        <w:rPr>
          <w:rFonts w:hint="eastAsia" w:ascii="方正小标宋简体" w:eastAsia="方正小标宋简体"/>
          <w:color w:val="000000" w:themeColor="text1"/>
          <w:kern w:val="0"/>
          <w:sz w:val="44"/>
          <w:szCs w:val="44"/>
        </w:rPr>
        <w:t>舒城县人民政府2020年政府信息公开工作年度报告</w:t>
      </w:r>
    </w:p>
    <w:p>
      <w:pPr>
        <w:spacing w:line="640" w:lineRule="exact"/>
        <w:ind w:firstLine="640" w:firstLineChars="200"/>
        <w:rPr>
          <w:rFonts w:ascii="Times New Roman" w:hAnsi="Times New Roman"/>
          <w:color w:val="000000" w:themeColor="text1"/>
        </w:rPr>
      </w:pPr>
      <w:bookmarkStart w:id="1" w:name="OLE_LINK1"/>
      <w:bookmarkStart w:id="2" w:name="OLE_LINK7"/>
      <w:bookmarkStart w:id="3" w:name="OLE_LINK8"/>
      <w:bookmarkStart w:id="4" w:name="OLE_LINK6"/>
      <w:bookmarkStart w:id="5" w:name="OLE_LINK9"/>
      <w:r>
        <w:rPr>
          <w:rFonts w:hint="eastAsia" w:hAnsi="微软雅黑" w:cs="Arial"/>
          <w:color w:val="000000" w:themeColor="text1"/>
        </w:rPr>
        <w:t>本报告依据《中华人民共和国政府信息公开条例》（国务院令第711号）、《国务院办公厅政府信息与政务公开办公室关于政府信息公开工作年度报告有关事项的通知》（国办公开办函〔2019〕60号）和《六安市人民政府办公室关于做好政府信息公开年度报告编制工作的通知》</w:t>
      </w:r>
      <w:bookmarkStart w:id="6" w:name="文号"/>
      <w:r>
        <w:rPr>
          <w:rFonts w:hint="eastAsia" w:hAnsi="微软雅黑" w:cs="Arial"/>
          <w:color w:val="000000" w:themeColor="text1"/>
        </w:rPr>
        <w:t>（</w:t>
      </w:r>
      <w:r>
        <w:rPr>
          <w:rFonts w:ascii="Times New Roman" w:hAnsi="Times New Roman"/>
          <w:color w:val="000000" w:themeColor="text1"/>
        </w:rPr>
        <w:t>六政办秘〔2020〕161号</w:t>
      </w:r>
      <w:r>
        <w:rPr>
          <w:rFonts w:hint="eastAsia" w:hAnsi="微软雅黑" w:cs="Arial"/>
          <w:color w:val="000000" w:themeColor="text1"/>
        </w:rPr>
        <w:t>）</w:t>
      </w:r>
      <w:bookmarkEnd w:id="6"/>
      <w:r>
        <w:rPr>
          <w:rFonts w:hint="eastAsia" w:hAnsi="微软雅黑" w:cs="Arial"/>
          <w:color w:val="000000" w:themeColor="text1"/>
        </w:rPr>
        <w:t>要求，结合我县政府信息公开工作有关统计数据撰写。报告全文包括：2020年度总体情况、主动公开政府信息情况、收到和处理政府信息公开申请情况、政府信息公开行政复议行政诉讼情况、存在的主要问题和改进情况、其他需要报告的事项。本年度报告中使用数据统计期限为2020年1月1日至2020年12月31日，本年度报告电子版可在舒城县人民政府信息公开平台下载。如对本报告有任何疑问，请与舒城县人民政府办公室联系（地址：舒城县梅河路403号；邮编：231300；联系电话：0564-8680081）。</w:t>
      </w:r>
    </w:p>
    <w:p>
      <w:pPr>
        <w:ind w:firstLine="640" w:firstLineChars="200"/>
        <w:rPr>
          <w:rFonts w:ascii="黑体" w:hAnsi="黑体" w:eastAsia="黑体"/>
          <w:color w:val="000000" w:themeColor="text1"/>
        </w:rPr>
      </w:pPr>
      <w:r>
        <w:rPr>
          <w:rFonts w:hint="eastAsia" w:ascii="黑体" w:hAnsi="黑体" w:eastAsia="黑体"/>
          <w:color w:val="000000" w:themeColor="text1"/>
        </w:rPr>
        <w:t>一、总体情况</w:t>
      </w:r>
    </w:p>
    <w:p>
      <w:pPr>
        <w:ind w:firstLine="640" w:firstLineChars="200"/>
        <w:rPr>
          <w:color w:val="000000" w:themeColor="text1"/>
        </w:rPr>
      </w:pPr>
      <w:r>
        <w:rPr>
          <w:rFonts w:hint="eastAsia"/>
          <w:color w:val="000000" w:themeColor="text1"/>
        </w:rPr>
        <w:t>2020年，舒城县人民政府坚持以习近平新时代中国特色社会主义思想为指导，全面贯彻落实党的十九大和十九届三中、四中、五中全会精神，严格落实新修订的《中华人民共和国政府信息公开条例》，在省市政务公开办指导下，扎实开展“六提六促”专项行动，聚焦做好“六稳”工作、落实“六保”任务，着眼深化“放管服”改革，优化营商环境，积极应对突发事件，加强重点领域信息公开，全面推进基层政务公开标准化规范化，全县政务公开工作质量和实效不断提升。</w:t>
      </w:r>
    </w:p>
    <w:p>
      <w:pPr>
        <w:ind w:firstLine="642" w:firstLineChars="200"/>
        <w:rPr>
          <w:color w:val="000000" w:themeColor="text1"/>
        </w:rPr>
      </w:pPr>
      <w:r>
        <w:rPr>
          <w:rFonts w:hint="eastAsia" w:ascii="楷体_GB2312" w:eastAsia="楷体_GB2312"/>
          <w:b/>
          <w:color w:val="000000" w:themeColor="text1"/>
        </w:rPr>
        <w:t>（一）主动公开情况。</w:t>
      </w:r>
      <w:r>
        <w:rPr>
          <w:rFonts w:hint="eastAsia"/>
          <w:color w:val="000000" w:themeColor="text1"/>
        </w:rPr>
        <w:t>2020年度我县根据《安徽省人民政府办公厅关于印发2020年政务公开重点工作任务分工的通知》（皖政办秘〔2020〕66号）要求，强化主动公开力度，丰富主动公开内容，全年主动公开信息111600条，其中县本级公开信息7834条，政府部门公开信息19667条，乡镇（开发区）政府公开信息25423条，基层政务公开标准化规范化公开信息58676条。</w:t>
      </w:r>
    </w:p>
    <w:p>
      <w:pPr>
        <w:ind w:firstLine="642" w:firstLineChars="200"/>
        <w:rPr>
          <w:color w:val="000000" w:themeColor="text1"/>
        </w:rPr>
      </w:pPr>
      <w:r>
        <w:rPr>
          <w:rFonts w:hint="eastAsia"/>
          <w:b/>
          <w:color w:val="000000" w:themeColor="text1"/>
        </w:rPr>
        <w:t>围绕权责透明，全面加强用权公开。</w:t>
      </w:r>
      <w:r>
        <w:rPr>
          <w:rFonts w:hint="eastAsia"/>
          <w:color w:val="000000" w:themeColor="text1"/>
        </w:rPr>
        <w:t>系统梳理全县印发的规范性文件，及时更新发布清理结果。组织落实全县43个县直部门和22个乡镇对机构职能、机构设置、办公地址、办公时间、负责人姓名、联系方式等信息的发布进行核查整改，开设机构职能目录专题，督促各部门按规范编制发布机构职能目录表。严格落实《重大行政决策程序暂行条例》，通过听证会、意见征集、会议开放等方式扩大公众参与。建立意见征集库专题，规范重大决策预公开流程。县第三十七次常务会议邀请公众代表、企业代表列席相关议题，全年召开29场新闻发布会，主动回应社会关切865条信息, 按月度公开2020年政府重点工作任务执行和落实情况,充分保障了社会公众的知情权、参与权、表达权。</w:t>
      </w:r>
    </w:p>
    <w:p>
      <w:pPr>
        <w:ind w:firstLine="642" w:firstLineChars="200"/>
        <w:rPr>
          <w:color w:val="000000" w:themeColor="text1"/>
        </w:rPr>
      </w:pPr>
      <w:r>
        <w:rPr>
          <w:rFonts w:hint="eastAsia"/>
          <w:b/>
          <w:color w:val="000000" w:themeColor="text1"/>
        </w:rPr>
        <w:t>围绕“六稳”“六保”，规范政策解读。</w:t>
      </w:r>
      <w:r>
        <w:rPr>
          <w:rFonts w:hint="eastAsia"/>
          <w:color w:val="000000" w:themeColor="text1"/>
        </w:rPr>
        <w:t>建立“六稳”“六保”专题，发布和转载各项政策信息共316条。围绕“六稳”“六保”工作，进一步提高政策解读质量，严格按照制定背景和依据、制定意义和总体考虑、研判和起草过程、工作目标、主要内容、创新举措、保障措施和下一步工作考虑等实质性文字解读的七要素要求，丰富政策解读形式，配齐政策文件的高质量解读材料，方便公众查阅，拓宽政策知晓度。</w:t>
      </w:r>
    </w:p>
    <w:p>
      <w:pPr>
        <w:ind w:firstLine="642" w:firstLineChars="200"/>
        <w:rPr>
          <w:color w:val="000000" w:themeColor="text1"/>
        </w:rPr>
      </w:pPr>
      <w:r>
        <w:rPr>
          <w:rFonts w:hint="eastAsia"/>
          <w:b/>
          <w:color w:val="000000" w:themeColor="text1"/>
        </w:rPr>
        <w:t>围绕优化营商环境，推动政务信息公开。</w:t>
      </w:r>
      <w:r>
        <w:rPr>
          <w:rFonts w:hint="eastAsia"/>
          <w:color w:val="000000" w:themeColor="text1"/>
        </w:rPr>
        <w:t>围绕“放管服”改革新任务新举措，持续深化“双随机、一公开”监管，及时更新并公开政务服务和证明事项清单，强化窗口服务，优化办事流程，全县关联电子材料事项占比63.8%，政务服务网办率达99.2%，及时发布相关政策、方案及政策解读情况信息150余条，最大限度提升了办事便利度。</w:t>
      </w:r>
    </w:p>
    <w:p>
      <w:pPr>
        <w:ind w:firstLine="642" w:firstLineChars="200"/>
        <w:rPr>
          <w:color w:val="000000" w:themeColor="text1"/>
        </w:rPr>
      </w:pPr>
      <w:r>
        <w:rPr>
          <w:rFonts w:hint="eastAsia"/>
          <w:b/>
          <w:color w:val="000000" w:themeColor="text1"/>
        </w:rPr>
        <w:t>围绕突发事件应对，及时发布</w:t>
      </w:r>
      <w:r>
        <w:rPr>
          <w:b/>
          <w:color w:val="000000" w:themeColor="text1"/>
        </w:rPr>
        <w:t>公共卫生信息</w:t>
      </w:r>
      <w:r>
        <w:rPr>
          <w:rFonts w:hint="eastAsia"/>
          <w:b/>
          <w:color w:val="000000" w:themeColor="text1"/>
        </w:rPr>
        <w:t>。</w:t>
      </w:r>
      <w:r>
        <w:rPr>
          <w:rFonts w:hint="eastAsia"/>
          <w:color w:val="000000" w:themeColor="text1"/>
        </w:rPr>
        <w:t>及时开设“统筹推进疫情防控和经济社会发展”专题，第一时间公开政策文件、工作动态、县红十字会接收社会捐款金额及物资数量等信息，累计发布疫情相关信息157条。</w:t>
      </w:r>
      <w:r>
        <w:rPr>
          <w:color w:val="000000" w:themeColor="text1"/>
        </w:rPr>
        <w:t>通过政务公开网回应关切</w:t>
      </w:r>
      <w:r>
        <w:rPr>
          <w:rFonts w:hint="eastAsia"/>
          <w:color w:val="000000" w:themeColor="text1"/>
        </w:rPr>
        <w:t>-新冠肺炎疫情防控专项目录</w:t>
      </w:r>
      <w:r>
        <w:rPr>
          <w:color w:val="000000" w:themeColor="text1"/>
        </w:rPr>
        <w:t>及时转发国家、省</w:t>
      </w:r>
      <w:r>
        <w:rPr>
          <w:rFonts w:hint="eastAsia"/>
          <w:color w:val="000000" w:themeColor="text1"/>
        </w:rPr>
        <w:t>、市</w:t>
      </w:r>
      <w:r>
        <w:rPr>
          <w:color w:val="000000" w:themeColor="text1"/>
        </w:rPr>
        <w:t>卫健委有关公共卫生知识的科普作品，提高公众对传染病的防治意识和应对能力</w:t>
      </w:r>
      <w:r>
        <w:rPr>
          <w:rFonts w:hint="eastAsia"/>
          <w:color w:val="000000" w:themeColor="text1"/>
        </w:rPr>
        <w:t>，</w:t>
      </w:r>
      <w:r>
        <w:rPr>
          <w:color w:val="000000" w:themeColor="text1"/>
        </w:rPr>
        <w:t>回应群众关注的疫情防控热点问题</w:t>
      </w:r>
      <w:r>
        <w:rPr>
          <w:rFonts w:hint="eastAsia"/>
          <w:color w:val="000000" w:themeColor="text1"/>
        </w:rPr>
        <w:t>，</w:t>
      </w:r>
      <w:r>
        <w:rPr>
          <w:color w:val="000000" w:themeColor="text1"/>
        </w:rPr>
        <w:t>积极引导社会舆论</w:t>
      </w:r>
      <w:r>
        <w:rPr>
          <w:rFonts w:hint="eastAsia"/>
          <w:color w:val="000000" w:themeColor="text1"/>
        </w:rPr>
        <w:t>。</w:t>
      </w:r>
    </w:p>
    <w:p>
      <w:pPr>
        <w:ind w:firstLine="642" w:firstLineChars="200"/>
        <w:rPr>
          <w:color w:val="000000" w:themeColor="text1"/>
        </w:rPr>
      </w:pPr>
      <w:r>
        <w:rPr>
          <w:rFonts w:hint="eastAsia"/>
          <w:b/>
          <w:color w:val="000000" w:themeColor="text1"/>
        </w:rPr>
        <w:t>围绕“三大”攻坚战，深化重点领域信息公开。</w:t>
      </w:r>
      <w:r>
        <w:rPr>
          <w:rFonts w:hint="eastAsia"/>
          <w:color w:val="000000" w:themeColor="text1"/>
        </w:rPr>
        <w:t>深化“三大攻坚战”信息公开，全年累计公开</w:t>
      </w:r>
      <w:r>
        <w:rPr>
          <w:color w:val="000000" w:themeColor="text1"/>
        </w:rPr>
        <w:t>防范化解重大风险、精准脱贫、污染防治</w:t>
      </w:r>
      <w:r>
        <w:rPr>
          <w:rFonts w:hint="eastAsia"/>
          <w:color w:val="000000" w:themeColor="text1"/>
        </w:rPr>
        <w:t>相关政策举措及执行落实情况信息700余条。突出做好就业、教育、医疗、养老、征地、公共文化等社会公益事业及重点民生领域信息公开工作,重大建设项目批准和实施信息公开551条。完善重大建设项目批准和实施、公共资源配置领域信息公开，推进重大建设项目批准和实施“全生命周期”公开，以项目为单位加强信息发布，提高公开效果，社会公益事业及重点民生领域信息1441条。</w:t>
      </w:r>
    </w:p>
    <w:p>
      <w:pPr>
        <w:ind w:firstLine="642" w:firstLineChars="200"/>
        <w:rPr>
          <w:color w:val="000000" w:themeColor="text1"/>
        </w:rPr>
      </w:pPr>
      <w:r>
        <w:rPr>
          <w:rFonts w:hint="eastAsia"/>
          <w:b/>
          <w:color w:val="000000" w:themeColor="text1"/>
        </w:rPr>
        <w:t>围绕提升政府治理能力，全面推进基层政务公开标准化规范化。</w:t>
      </w:r>
      <w:r>
        <w:rPr>
          <w:rFonts w:hint="eastAsia"/>
          <w:color w:val="000000" w:themeColor="text1"/>
        </w:rPr>
        <w:t>结合县本级政府权责清单和公共服务事项清单进行全面梳理，采取由县统筹，集中建设、分级维护方式，加强</w:t>
      </w:r>
      <w:r>
        <w:rPr>
          <w:color w:val="000000" w:themeColor="text1"/>
        </w:rPr>
        <w:t>对</w:t>
      </w:r>
      <w:r>
        <w:rPr>
          <w:rFonts w:hint="eastAsia"/>
          <w:color w:val="000000" w:themeColor="text1"/>
        </w:rPr>
        <w:t>各单位</w:t>
      </w:r>
      <w:r>
        <w:rPr>
          <w:color w:val="000000" w:themeColor="text1"/>
        </w:rPr>
        <w:t>基层政务公开标准化规范化工作推进情况进行指导协调、监督检查</w:t>
      </w:r>
      <w:r>
        <w:rPr>
          <w:rFonts w:hint="eastAsia"/>
          <w:color w:val="000000" w:themeColor="text1"/>
        </w:rPr>
        <w:t>，编制县、乡两级基层政务公开事项目录，建立基层政务公开标准化规范化工作专题，全面完成“两化”专题建设及上线工作，发布各类信息58676条。</w:t>
      </w:r>
    </w:p>
    <w:p>
      <w:pPr>
        <w:ind w:firstLine="642" w:firstLineChars="200"/>
        <w:rPr>
          <w:color w:val="000000" w:themeColor="text1"/>
        </w:rPr>
      </w:pPr>
      <w:r>
        <w:rPr>
          <w:rFonts w:hint="eastAsia" w:ascii="楷体_GB2312" w:eastAsia="楷体_GB2312"/>
          <w:b/>
          <w:color w:val="000000" w:themeColor="text1"/>
        </w:rPr>
        <w:t>（二）依申请公开情况。</w:t>
      </w:r>
      <w:bookmarkStart w:id="7" w:name="OLE_LINK4"/>
      <w:r>
        <w:rPr>
          <w:rFonts w:hint="eastAsia"/>
          <w:color w:val="000000" w:themeColor="text1"/>
        </w:rPr>
        <w:t>严格按照《安徽省政府信息公开申请办理答复规范的通知》（皖政务办秘〔2020〕5号）文件要求，建立完善依申请公开的登记、审核、办理、答复、归档等工作制度，召开专题培训会提升政务公开工作人员依申请公开的办理水平。统一规范政府信息公开答复文书格式，</w:t>
      </w:r>
      <w:r>
        <w:rPr>
          <w:rFonts w:hint="eastAsia" w:hAnsi="仿宋_GB2312" w:cs="仿宋_GB2312"/>
        </w:rPr>
        <w:t>围绕疑难申请事项，加强部门协作研究，不断提高依申请公开答复专业化、法治化水平，</w:t>
      </w:r>
      <w:r>
        <w:rPr>
          <w:rFonts w:hint="eastAsia"/>
          <w:color w:val="000000" w:themeColor="text1"/>
        </w:rPr>
        <w:t>按时完成依申请公开的办结和统计公开任务，</w:t>
      </w:r>
      <w:r>
        <w:rPr>
          <w:rFonts w:hint="eastAsia" w:hAnsi="仿宋_GB2312" w:cs="仿宋_GB2312"/>
        </w:rPr>
        <w:t>依法保障公众合理信息需求。全县</w:t>
      </w:r>
      <w:r>
        <w:rPr>
          <w:rFonts w:hint="eastAsia"/>
          <w:color w:val="000000" w:themeColor="text1"/>
        </w:rPr>
        <w:t>全年规范办理依申请公开32件（上年结转1件），其中线上办理25件，线下办理7件。</w:t>
      </w:r>
      <w:bookmarkEnd w:id="7"/>
      <w:r>
        <w:rPr>
          <w:rFonts w:hint="eastAsia"/>
          <w:color w:val="000000" w:themeColor="text1"/>
        </w:rPr>
        <w:t>在办理政府信息依申请公开时，未向申请人收取任何依申请公开费用。全年未发生涉政府信息公开的行政复议、行政诉讼、举报投诉案件。</w:t>
      </w:r>
    </w:p>
    <w:p>
      <w:pPr>
        <w:ind w:firstLine="642" w:firstLineChars="200"/>
        <w:rPr>
          <w:color w:val="000000" w:themeColor="text1"/>
        </w:rPr>
      </w:pPr>
      <w:r>
        <w:rPr>
          <w:rFonts w:hint="eastAsia" w:ascii="楷体_GB2312" w:eastAsia="楷体_GB2312"/>
          <w:b/>
          <w:color w:val="000000" w:themeColor="text1"/>
        </w:rPr>
        <w:t>（三）政府信息管理。</w:t>
      </w:r>
      <w:r>
        <w:rPr>
          <w:rFonts w:hint="eastAsia"/>
          <w:color w:val="000000" w:themeColor="text1"/>
        </w:rPr>
        <w:t>印发《舒城县人民政府办公室关于加强政府信息公开内容审核的通知》（舒政办秘〔2020〕64号），明确主动公开范围，实行信息公开发布三级审查制度，严格要求各乡镇成立由党委副书记分管、党政办主任具体负责、党政办工作人员具体经办的政务公开队伍，健全信息发布、审核、登记、备案等工作机制，形成一级抓一级，一级对一级负责的工作责任体系，进一步规范政府信息公开内容管理。印发《舒城县人民政府办公室关于全面开展涉及个人隐私政府信息排查工作的通知》，明确排查重点和工作要求，全面排查整改涉及个人隐私政府信息，确保个人信息保护常态化。</w:t>
      </w:r>
    </w:p>
    <w:p>
      <w:pPr>
        <w:ind w:firstLine="642" w:firstLineChars="200"/>
        <w:rPr>
          <w:color w:val="000000" w:themeColor="text1"/>
        </w:rPr>
      </w:pPr>
      <w:r>
        <w:rPr>
          <w:rFonts w:hint="eastAsia" w:ascii="楷体_GB2312" w:eastAsia="楷体_GB2312"/>
          <w:b/>
          <w:color w:val="000000" w:themeColor="text1"/>
        </w:rPr>
        <w:t>（四）平台建设情况。</w:t>
      </w:r>
      <w:bookmarkStart w:id="8" w:name="OLE_LINK3"/>
      <w:r>
        <w:rPr>
          <w:rFonts w:hint="eastAsia"/>
          <w:color w:val="000000" w:themeColor="text1"/>
        </w:rPr>
        <w:t>严格按照国办公开办函〔2019〕61</w:t>
      </w:r>
      <w:r>
        <w:rPr>
          <w:color w:val="000000" w:themeColor="text1"/>
        </w:rPr>
        <w:t>号</w:t>
      </w:r>
      <w:r>
        <w:rPr>
          <w:rFonts w:hint="eastAsia"/>
          <w:color w:val="000000" w:themeColor="text1"/>
        </w:rPr>
        <w:t>文件推荐的版面设计格式，完成网页改版升级。全面梳理制定相应领域基层政务公开事项目录，完成县本级30个领域、22个乡镇（开发区）政府30个领域目录编制和信息上传发布工作，开设基层政务公开标准化规范化专题专栏集中展示。建成部门项目、“六稳”“六保”、政策解读、意见征集库、政府公报、权力清单和责任清单、机构职能目录、规范性文件数据库等专题，及时完成信息的上传和专题专栏上线工作，集中展示群众所关心的热点信息。</w:t>
      </w:r>
    </w:p>
    <w:bookmarkEnd w:id="8"/>
    <w:p>
      <w:pPr>
        <w:ind w:firstLine="642" w:firstLineChars="200"/>
        <w:rPr>
          <w:color w:val="000000" w:themeColor="text1"/>
        </w:rPr>
      </w:pPr>
      <w:r>
        <w:rPr>
          <w:rFonts w:hint="eastAsia" w:ascii="楷体_GB2312" w:eastAsia="楷体_GB2312"/>
          <w:b/>
          <w:color w:val="000000" w:themeColor="text1"/>
        </w:rPr>
        <w:t>（五）</w:t>
      </w:r>
      <w:r>
        <w:rPr>
          <w:rFonts w:ascii="楷体_GB2312" w:eastAsia="楷体_GB2312"/>
          <w:b/>
          <w:color w:val="000000" w:themeColor="text1"/>
        </w:rPr>
        <w:t>政府信息公开监督保障</w:t>
      </w:r>
      <w:r>
        <w:rPr>
          <w:rFonts w:hint="eastAsia" w:ascii="楷体_GB2312" w:eastAsia="楷体_GB2312"/>
          <w:b/>
          <w:color w:val="000000" w:themeColor="text1"/>
        </w:rPr>
        <w:t>。</w:t>
      </w:r>
      <w:r>
        <w:rPr>
          <w:rFonts w:hint="eastAsia"/>
          <w:b/>
          <w:color w:val="000000" w:themeColor="text1"/>
        </w:rPr>
        <w:t>一是</w:t>
      </w:r>
      <w:r>
        <w:rPr>
          <w:rFonts w:hint="eastAsia"/>
          <w:color w:val="000000" w:themeColor="text1"/>
        </w:rPr>
        <w:t>强化组织领导，明确工作任务。</w:t>
      </w:r>
      <w:r>
        <w:rPr>
          <w:rFonts w:hint="eastAsia" w:ascii="仿宋" w:hAnsi="仿宋" w:eastAsia="仿宋"/>
          <w:color w:val="000000"/>
          <w:sz w:val="31"/>
          <w:szCs w:val="31"/>
          <w:shd w:val="clear" w:color="auto" w:fill="FFFFFF"/>
        </w:rPr>
        <w:t>县政府高度重视公开工作，主要负责同志、分管负责同志多次就政务公开工作做出批示、提出要求。</w:t>
      </w:r>
      <w:r>
        <w:rPr>
          <w:rFonts w:hint="eastAsia"/>
          <w:color w:val="000000" w:themeColor="text1"/>
        </w:rPr>
        <w:t>成立正科级事业单位-政务公开服务指导中心，强化人员配置。及时印发《舒城县人民政府办公室关于印发2020年政务公开重点工作任务分工的通知》，压实各项工作责任，明确各单位工作任务。完善社会评议制度和责任追究制度，认真收集、听取群众评议监督的意见和建议，我县全年未发生因政务公开工作受到责任追究的案件。</w:t>
      </w:r>
      <w:r>
        <w:rPr>
          <w:rFonts w:hint="eastAsia"/>
          <w:b/>
          <w:color w:val="000000" w:themeColor="text1"/>
        </w:rPr>
        <w:t>二是</w:t>
      </w:r>
      <w:r>
        <w:rPr>
          <w:rFonts w:hint="eastAsia"/>
          <w:color w:val="000000" w:themeColor="text1"/>
        </w:rPr>
        <w:t>加大督导力度，狠抓问题落实。</w:t>
      </w:r>
      <w:r>
        <w:rPr>
          <w:rFonts w:hint="eastAsia" w:ascii="仿宋" w:hAnsi="仿宋" w:eastAsia="仿宋"/>
          <w:color w:val="000000"/>
          <w:sz w:val="31"/>
          <w:szCs w:val="31"/>
          <w:shd w:val="clear" w:color="auto" w:fill="FFFFFF"/>
        </w:rPr>
        <w:t>扎实开展政务公开“六提六促”专项行动，全面排查已公开的政府信息，对查摆的问题及时完成整改。</w:t>
      </w:r>
      <w:r>
        <w:rPr>
          <w:rFonts w:hint="eastAsia"/>
          <w:color w:val="000000" w:themeColor="text1"/>
        </w:rPr>
        <w:t>认真做好政府信息公开网日常管理及季度监测和管理工作，及时通报测评结果，明确存在的问题，督促整改落实。为提高整改实效，开展了两次政务公开工作专项督查，发布督查通报。安排后进单位进行脱岗式跟班学习，确保反馈问题一个一个过，问题整改出长效。</w:t>
      </w:r>
      <w:r>
        <w:rPr>
          <w:rFonts w:hint="eastAsia"/>
          <w:b/>
          <w:color w:val="000000" w:themeColor="text1"/>
        </w:rPr>
        <w:t>三是</w:t>
      </w:r>
      <w:r>
        <w:rPr>
          <w:rFonts w:hint="eastAsia"/>
          <w:color w:val="000000" w:themeColor="text1"/>
        </w:rPr>
        <w:t>实行以会代训，加强业务指导。先后组织召开了7次会议，组织全县承担重点领域信息公开的单位，全面梳理县级重点领域信息公开目录，细化工作任务，明确公开职责。组织召开全县政务公开工作会议，围绕基层政务公开标准化规范化专题和年度重点任务分解，全面部署政务公开工作，开展专题业务培训，切实提高经办人员业务水平。</w:t>
      </w:r>
    </w:p>
    <w:p>
      <w:pPr>
        <w:widowControl/>
        <w:shd w:val="clear" w:color="auto" w:fill="FFFFFF"/>
        <w:ind w:firstLine="480"/>
        <w:rPr>
          <w:rFonts w:ascii="黑体" w:hAnsi="黑体" w:eastAsia="黑体"/>
          <w:bCs/>
          <w:color w:val="000000" w:themeColor="text1"/>
          <w:kern w:val="0"/>
        </w:rPr>
      </w:pPr>
      <w:r>
        <w:rPr>
          <w:rFonts w:hint="eastAsia" w:ascii="黑体" w:hAnsi="黑体" w:eastAsia="黑体"/>
          <w:bCs/>
          <w:color w:val="000000" w:themeColor="text1"/>
          <w:kern w:val="0"/>
        </w:rPr>
        <w:t>二、主动公开政府信息情况</w:t>
      </w:r>
    </w:p>
    <w:tbl>
      <w:tblPr>
        <w:tblStyle w:val="5"/>
        <w:tblW w:w="0" w:type="auto"/>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本年新</w:t>
            </w:r>
            <w:r>
              <w:rPr>
                <w:rFonts w:hint="eastAsia"/>
                <w:color w:val="000000" w:themeColor="text1"/>
                <w:kern w:val="0"/>
                <w:sz w:val="20"/>
                <w:szCs w:val="20"/>
              </w:rPr>
              <w:br w:type="textWrapping"/>
            </w:r>
            <w:r>
              <w:rPr>
                <w:rFonts w:hint="eastAsia"/>
                <w:color w:val="000000" w:themeColor="text1"/>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本年新</w:t>
            </w:r>
            <w:r>
              <w:rPr>
                <w:rFonts w:hint="eastAsia"/>
                <w:color w:val="000000" w:themeColor="text1"/>
                <w:kern w:val="0"/>
                <w:sz w:val="20"/>
                <w:szCs w:val="20"/>
              </w:rPr>
              <w:br w:type="textWrapping"/>
            </w:r>
            <w:r>
              <w:rPr>
                <w:rFonts w:hint="eastAsia"/>
                <w:color w:val="000000" w:themeColor="text1"/>
                <w:kern w:val="0"/>
                <w:sz w:val="20"/>
                <w:szCs w:val="20"/>
              </w:rPr>
              <w:t>公开数量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规章</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规范性文件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38</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38</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default" w:eastAsia="仿宋_GB2312"/>
                <w:color w:val="000000" w:themeColor="text1"/>
                <w:kern w:val="0"/>
                <w:sz w:val="24"/>
                <w:lang w:val="en-US" w:eastAsia="zh-CN"/>
              </w:rPr>
            </w:pPr>
            <w:r>
              <w:rPr>
                <w:rFonts w:hint="eastAsia"/>
                <w:color w:val="000000" w:themeColor="text1"/>
                <w:kern w:val="0"/>
                <w:sz w:val="20"/>
                <w:szCs w:val="20"/>
              </w:rPr>
              <w:t>　</w:t>
            </w:r>
            <w:r>
              <w:rPr>
                <w:rFonts w:hint="eastAsia"/>
                <w:color w:val="000000" w:themeColor="text1"/>
                <w:kern w:val="0"/>
                <w:sz w:val="20"/>
                <w:szCs w:val="20"/>
                <w:lang w:val="en-US" w:eastAsia="zh-CN"/>
              </w:rPr>
              <w:t>420</w:t>
            </w:r>
            <w:bookmarkStart w:id="10" w:name="_GoBack"/>
            <w:bookmarkEnd w:id="10"/>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行政许可</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279</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减3</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39570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其他对外管理服务事项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3500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增10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348782</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行政处罚</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2195</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增118</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187208</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行政强制</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179</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增20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8950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行政事业性收费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29</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减1</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政府集中采购</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867</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4"/>
              </w:rPr>
              <w:t>15922.04万元</w:t>
            </w:r>
          </w:p>
        </w:tc>
      </w:tr>
    </w:tbl>
    <w:p>
      <w:pPr>
        <w:widowControl/>
        <w:shd w:val="clear" w:color="auto" w:fill="FFFFFF"/>
        <w:spacing w:after="240"/>
        <w:rPr>
          <w:b/>
          <w:bCs/>
          <w:color w:val="000000" w:themeColor="text1"/>
          <w:kern w:val="0"/>
          <w:sz w:val="24"/>
        </w:rPr>
      </w:pPr>
    </w:p>
    <w:p>
      <w:pPr>
        <w:widowControl/>
        <w:shd w:val="clear" w:color="auto" w:fill="FFFFFF"/>
        <w:ind w:firstLine="480"/>
        <w:rPr>
          <w:rFonts w:hint="eastAsia" w:ascii="黑体" w:hAnsi="黑体" w:eastAsia="黑体"/>
          <w:bCs/>
          <w:color w:val="000000" w:themeColor="text1"/>
          <w:kern w:val="0"/>
        </w:rPr>
      </w:pPr>
    </w:p>
    <w:p>
      <w:pPr>
        <w:widowControl/>
        <w:shd w:val="clear" w:color="auto" w:fill="FFFFFF"/>
        <w:ind w:firstLine="480"/>
        <w:rPr>
          <w:rFonts w:ascii="黑体" w:hAnsi="黑体" w:eastAsia="黑体"/>
          <w:bCs/>
          <w:color w:val="000000" w:themeColor="text1"/>
          <w:kern w:val="0"/>
        </w:rPr>
      </w:pPr>
      <w:r>
        <w:rPr>
          <w:rFonts w:hint="eastAsia" w:ascii="黑体" w:hAnsi="黑体" w:eastAsia="黑体"/>
          <w:bCs/>
          <w:color w:val="000000" w:themeColor="text1"/>
          <w:kern w:val="0"/>
        </w:rPr>
        <w:t>三、收到和处理政府信息公开申请情况</w:t>
      </w:r>
    </w:p>
    <w:tbl>
      <w:tblPr>
        <w:tblStyle w:val="5"/>
        <w:tblW w:w="0" w:type="auto"/>
        <w:jc w:val="center"/>
        <w:tblLayout w:type="fixed"/>
        <w:tblCellMar>
          <w:top w:w="0" w:type="dxa"/>
          <w:left w:w="0" w:type="dxa"/>
          <w:bottom w:w="0" w:type="dxa"/>
          <w:right w:w="0" w:type="dxa"/>
        </w:tblCellMar>
      </w:tblPr>
      <w:tblGrid>
        <w:gridCol w:w="617"/>
        <w:gridCol w:w="854"/>
        <w:gridCol w:w="2300"/>
        <w:gridCol w:w="599"/>
        <w:gridCol w:w="755"/>
        <w:gridCol w:w="755"/>
        <w:gridCol w:w="813"/>
        <w:gridCol w:w="973"/>
        <w:gridCol w:w="711"/>
        <w:gridCol w:w="694"/>
      </w:tblGrid>
      <w:tr>
        <w:tblPrEx>
          <w:tblCellMar>
            <w:top w:w="0" w:type="dxa"/>
            <w:left w:w="0" w:type="dxa"/>
            <w:bottom w:w="0" w:type="dxa"/>
            <w:right w:w="0" w:type="dxa"/>
          </w:tblCellMar>
        </w:tblPrEx>
        <w:trPr>
          <w:jc w:val="center"/>
        </w:trPr>
        <w:tc>
          <w:tcPr>
            <w:tcW w:w="3771"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（本列数据的勾稽关系为：第一项加第二项之和，等于第三项加第四项之和）</w:t>
            </w:r>
          </w:p>
        </w:tc>
        <w:tc>
          <w:tcPr>
            <w:tcW w:w="530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申请人情况</w:t>
            </w:r>
          </w:p>
        </w:tc>
      </w:tr>
      <w:tr>
        <w:tblPrEx>
          <w:tblCellMar>
            <w:top w:w="0" w:type="dxa"/>
            <w:left w:w="0" w:type="dxa"/>
            <w:bottom w:w="0" w:type="dxa"/>
            <w:right w:w="0" w:type="dxa"/>
          </w:tblCellMar>
        </w:tblPrEx>
        <w:trPr>
          <w:jc w:val="center"/>
        </w:trPr>
        <w:tc>
          <w:tcPr>
            <w:tcW w:w="3771"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总计</w:t>
            </w:r>
          </w:p>
        </w:tc>
      </w:tr>
      <w:tr>
        <w:tblPrEx>
          <w:tblCellMar>
            <w:top w:w="0" w:type="dxa"/>
            <w:left w:w="0" w:type="dxa"/>
            <w:bottom w:w="0" w:type="dxa"/>
            <w:right w:w="0" w:type="dxa"/>
          </w:tblCellMar>
        </w:tblPrEx>
        <w:trPr>
          <w:trHeight w:val="751" w:hRule="atLeast"/>
          <w:jc w:val="center"/>
        </w:trPr>
        <w:tc>
          <w:tcPr>
            <w:tcW w:w="3771"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599"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其他</w:t>
            </w:r>
          </w:p>
        </w:tc>
        <w:tc>
          <w:tcPr>
            <w:tcW w:w="694" w:type="dxa"/>
            <w:vMerge w:val="continue"/>
            <w:tcBorders>
              <w:top w:val="single" w:color="auto" w:sz="8" w:space="0"/>
              <w:left w:val="nil"/>
              <w:bottom w:val="single" w:color="auto" w:sz="8" w:space="0"/>
              <w:right w:val="single" w:color="auto" w:sz="8" w:space="0"/>
            </w:tcBorders>
            <w:vAlign w:val="center"/>
          </w:tcPr>
          <w:p>
            <w:pPr>
              <w:widowControl/>
              <w:rPr>
                <w:color w:val="000000" w:themeColor="text1"/>
                <w:kern w:val="0"/>
                <w:sz w:val="24"/>
              </w:rPr>
            </w:pPr>
          </w:p>
        </w:tc>
      </w:tr>
      <w:tr>
        <w:tblPrEx>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一、本年新收政府信息公开申请数量</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29</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2</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31</w:t>
            </w:r>
          </w:p>
        </w:tc>
      </w:tr>
      <w:tr>
        <w:tblPrEx>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二、上年结转政府信息公开申请数量</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r>
      <w:tr>
        <w:tblPrEx>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三、本年度办理结果</w:t>
            </w:r>
          </w:p>
        </w:tc>
        <w:tc>
          <w:tcPr>
            <w:tcW w:w="315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（一）予以公开</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14</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15</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315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（二）部分公开（区分处理的，只计这一情形，不计其他情形）</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3</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3</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（三）不予公开</w:t>
            </w: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1.属于国家秘密</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2.其他法律行政法规禁止公开</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3.危及“三安全一稳定”</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4.保护第三方合法权益</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5.属于三类内部事务信息</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6.属于四类过程性信息</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7.属于行政执法案卷</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8.属于行政查询事项</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2</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（四）无法提供</w:t>
            </w: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1.本机关不掌握相关政府信息</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7</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7</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2.没有现成信息需要另行制作</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3.补正后申请内容仍不明确</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（五）不予处理</w:t>
            </w: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1.信访举报投诉类申请</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2.重复申请</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3.要求提供公开出版物</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4.无正当理由大量反复申请</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85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5.要求行政机关确认或重新出具已获取信息</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315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（六）其他处理</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1</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315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（七）总计</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30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2</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32</w:t>
            </w:r>
          </w:p>
        </w:tc>
      </w:tr>
      <w:tr>
        <w:tblPrEx>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四、结转下年度继续办理</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r>
    </w:tbl>
    <w:p>
      <w:pPr>
        <w:widowControl/>
        <w:shd w:val="clear" w:color="auto" w:fill="FFFFFF"/>
        <w:rPr>
          <w:b/>
          <w:bCs/>
          <w:color w:val="000000" w:themeColor="text1"/>
          <w:kern w:val="0"/>
          <w:sz w:val="24"/>
        </w:rPr>
      </w:pPr>
    </w:p>
    <w:p>
      <w:pPr>
        <w:widowControl/>
        <w:shd w:val="clear" w:color="auto" w:fill="FFFFFF"/>
        <w:ind w:firstLine="480"/>
        <w:rPr>
          <w:rFonts w:ascii="黑体" w:hAnsi="黑体" w:eastAsia="黑体"/>
          <w:bCs/>
          <w:color w:val="000000" w:themeColor="text1"/>
          <w:kern w:val="0"/>
        </w:rPr>
      </w:pPr>
    </w:p>
    <w:p>
      <w:pPr>
        <w:widowControl/>
        <w:shd w:val="clear" w:color="auto" w:fill="FFFFFF"/>
        <w:ind w:firstLine="480"/>
        <w:rPr>
          <w:rFonts w:ascii="黑体" w:hAnsi="黑体" w:eastAsia="黑体"/>
          <w:bCs/>
          <w:color w:val="000000" w:themeColor="text1"/>
          <w:kern w:val="0"/>
        </w:rPr>
      </w:pPr>
    </w:p>
    <w:p>
      <w:pPr>
        <w:widowControl/>
        <w:shd w:val="clear" w:color="auto" w:fill="FFFFFF"/>
        <w:ind w:firstLine="480"/>
        <w:rPr>
          <w:rFonts w:ascii="黑体" w:hAnsi="黑体" w:eastAsia="黑体"/>
          <w:bCs/>
          <w:color w:val="000000" w:themeColor="text1"/>
          <w:kern w:val="0"/>
        </w:rPr>
      </w:pPr>
      <w:r>
        <w:rPr>
          <w:rFonts w:hint="eastAsia" w:ascii="黑体" w:hAnsi="黑体" w:eastAsia="黑体"/>
          <w:bCs/>
          <w:color w:val="000000" w:themeColor="text1"/>
          <w:kern w:val="0"/>
        </w:rPr>
        <w:t>四、政府信息公开行政复议、行政诉讼情况</w:t>
      </w:r>
    </w:p>
    <w:tbl>
      <w:tblPr>
        <w:tblStyle w:val="5"/>
        <w:tblW w:w="0" w:type="auto"/>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rPr>
                <w:color w:val="000000" w:themeColor="text1"/>
                <w:kern w:val="0"/>
                <w:sz w:val="24"/>
              </w:rPr>
            </w:pPr>
          </w:p>
        </w:tc>
        <w:tc>
          <w:tcPr>
            <w:tcW w:w="604" w:type="dxa"/>
            <w:vMerge w:val="continue"/>
            <w:tcBorders>
              <w:top w:val="nil"/>
              <w:left w:val="nil"/>
              <w:bottom w:val="single" w:color="auto" w:sz="8" w:space="0"/>
              <w:right w:val="single" w:color="auto" w:sz="8" w:space="0"/>
            </w:tcBorders>
            <w:vAlign w:val="center"/>
          </w:tcPr>
          <w:p>
            <w:pPr>
              <w:widowControl/>
              <w:rPr>
                <w:color w:val="000000" w:themeColor="text1"/>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rPr>
                <w:color w:val="000000" w:themeColor="text1"/>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rPr>
                <w:color w:val="000000" w:themeColor="text1"/>
                <w:kern w:val="0"/>
                <w:sz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rPr>
                <w:color w:val="000000" w:themeColor="text1"/>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color w:val="000000" w:themeColor="text1"/>
                <w:kern w:val="0"/>
                <w:sz w:val="24"/>
              </w:rPr>
            </w:pPr>
            <w:r>
              <w:rPr>
                <w:rFonts w:hint="eastAsia"/>
                <w:color w:val="000000" w:themeColor="text1"/>
                <w:kern w:val="0"/>
                <w:sz w:val="24"/>
              </w:rPr>
              <w:t>0</w:t>
            </w:r>
          </w:p>
        </w:tc>
      </w:tr>
    </w:tbl>
    <w:p>
      <w:pPr>
        <w:widowControl/>
        <w:shd w:val="clear" w:color="auto" w:fill="FFFFFF"/>
        <w:rPr>
          <w:color w:val="000000" w:themeColor="text1"/>
          <w:kern w:val="0"/>
          <w:sz w:val="24"/>
        </w:rPr>
      </w:pPr>
    </w:p>
    <w:p>
      <w:pPr>
        <w:widowControl/>
        <w:shd w:val="clear" w:color="auto" w:fill="FFFFFF"/>
        <w:ind w:firstLine="640" w:firstLineChars="200"/>
        <w:rPr>
          <w:rFonts w:ascii="黑体" w:hAnsi="黑体" w:eastAsia="黑体"/>
          <w:bCs/>
          <w:color w:val="000000" w:themeColor="text1"/>
          <w:kern w:val="0"/>
        </w:rPr>
      </w:pPr>
      <w:r>
        <w:rPr>
          <w:rFonts w:hint="eastAsia" w:ascii="黑体" w:hAnsi="黑体" w:eastAsia="黑体"/>
          <w:bCs/>
          <w:color w:val="000000" w:themeColor="text1"/>
          <w:kern w:val="0"/>
        </w:rPr>
        <w:t>五、存在的主要问题及改进情况</w:t>
      </w:r>
    </w:p>
    <w:p>
      <w:pPr>
        <w:pStyle w:val="13"/>
        <w:shd w:val="clear" w:color="auto" w:fill="FFFFFF"/>
        <w:spacing w:line="480" w:lineRule="auto"/>
        <w:ind w:firstLine="640" w:firstLineChars="200"/>
        <w:jc w:val="both"/>
        <w:rPr>
          <w:rFonts w:ascii="仿宋_GB2312" w:hAnsi="仿宋" w:eastAsia="仿宋_GB2312"/>
          <w:color w:val="000000" w:themeColor="text1"/>
          <w:sz w:val="32"/>
          <w:szCs w:val="32"/>
        </w:rPr>
      </w:pPr>
      <w:r>
        <w:rPr>
          <w:rFonts w:hint="eastAsia" w:ascii="仿宋_GB2312" w:eastAsia="仿宋_GB2312"/>
          <w:color w:val="000000" w:themeColor="text1"/>
          <w:sz w:val="32"/>
          <w:szCs w:val="32"/>
          <w:shd w:val="clear" w:color="auto" w:fill="FFFFFF"/>
        </w:rPr>
        <w:t>2020年，我县政务公开工作虽有序有效开展，但根据日常监测以及省市政务公开办反馈情况来看，仍然存在问题，</w:t>
      </w:r>
      <w:r>
        <w:rPr>
          <w:rFonts w:hint="eastAsia" w:ascii="仿宋_GB2312" w:eastAsia="仿宋_GB2312"/>
          <w:b/>
          <w:color w:val="000000" w:themeColor="text1"/>
          <w:sz w:val="32"/>
          <w:szCs w:val="32"/>
          <w:shd w:val="clear" w:color="auto" w:fill="FFFFFF"/>
        </w:rPr>
        <w:t>一是</w:t>
      </w:r>
      <w:r>
        <w:rPr>
          <w:rFonts w:hint="eastAsia" w:ascii="仿宋_GB2312" w:hAnsi="仿宋" w:eastAsia="仿宋_GB2312"/>
          <w:color w:val="000000" w:themeColor="text1"/>
          <w:sz w:val="32"/>
          <w:szCs w:val="32"/>
        </w:rPr>
        <w:t>政府信息公开信息质量亟待提升。主动公开政府信息与公众的需求还存在一定差距，公开信息较少，有“重形式、轻内容”现象；</w:t>
      </w:r>
      <w:r>
        <w:rPr>
          <w:rFonts w:hint="eastAsia" w:ascii="仿宋_GB2312" w:eastAsia="仿宋_GB2312"/>
          <w:b/>
          <w:color w:val="000000" w:themeColor="text1"/>
          <w:sz w:val="32"/>
          <w:szCs w:val="32"/>
          <w:shd w:val="clear" w:color="auto" w:fill="FFFFFF"/>
        </w:rPr>
        <w:t>二是</w:t>
      </w:r>
      <w:r>
        <w:rPr>
          <w:rFonts w:hint="eastAsia" w:ascii="仿宋_GB2312" w:hAnsi="仿宋" w:eastAsia="仿宋_GB2312"/>
          <w:color w:val="000000" w:themeColor="text1"/>
          <w:sz w:val="32"/>
          <w:szCs w:val="32"/>
        </w:rPr>
        <w:t>经办人员专业技能不强。</w:t>
      </w:r>
      <w:r>
        <w:rPr>
          <w:rFonts w:hint="eastAsia" w:ascii="仿宋_GB2312" w:eastAsia="仿宋_GB2312"/>
          <w:color w:val="000000" w:themeColor="text1"/>
          <w:sz w:val="32"/>
          <w:szCs w:val="32"/>
          <w:shd w:val="clear" w:color="auto" w:fill="FFFFFF"/>
        </w:rPr>
        <w:t>对于政务公开工作不够钻研，对本单位的全面工作信息不够了解，还存在工作衔接不畅、业务生疏等情况；</w:t>
      </w:r>
      <w:r>
        <w:rPr>
          <w:rFonts w:hint="eastAsia" w:ascii="仿宋_GB2312" w:eastAsia="仿宋_GB2312"/>
          <w:b/>
          <w:color w:val="000000" w:themeColor="text1"/>
          <w:sz w:val="32"/>
          <w:szCs w:val="32"/>
          <w:shd w:val="clear" w:color="auto" w:fill="FFFFFF"/>
        </w:rPr>
        <w:t>三</w:t>
      </w:r>
      <w:r>
        <w:rPr>
          <w:rFonts w:ascii="仿宋_GB2312" w:eastAsia="仿宋_GB2312"/>
          <w:b/>
          <w:color w:val="000000" w:themeColor="text1"/>
          <w:sz w:val="32"/>
          <w:szCs w:val="32"/>
          <w:shd w:val="clear" w:color="auto" w:fill="FFFFFF"/>
        </w:rPr>
        <w:t>是</w:t>
      </w:r>
      <w:r>
        <w:rPr>
          <w:rFonts w:ascii="仿宋_GB2312" w:hAnsi="仿宋" w:eastAsia="仿宋_GB2312"/>
          <w:color w:val="000000" w:themeColor="text1"/>
          <w:sz w:val="32"/>
          <w:szCs w:val="32"/>
        </w:rPr>
        <w:t>信息公开监督指导力度还不够，</w:t>
      </w:r>
      <w:r>
        <w:rPr>
          <w:rFonts w:ascii="仿宋_GB2312" w:hAnsi="Times New Roman" w:eastAsia="仿宋_GB2312" w:cs="Times New Roman"/>
          <w:color w:val="000000" w:themeColor="text1"/>
          <w:sz w:val="32"/>
          <w:szCs w:val="32"/>
          <w:shd w:val="clear" w:color="auto" w:fill="FFFFFF"/>
        </w:rPr>
        <w:t>特别是针对</w:t>
      </w:r>
      <w:r>
        <w:rPr>
          <w:rFonts w:hint="eastAsia" w:ascii="仿宋_GB2312" w:hAnsi="Times New Roman" w:eastAsia="仿宋_GB2312" w:cs="Times New Roman"/>
          <w:color w:val="000000" w:themeColor="text1"/>
          <w:sz w:val="32"/>
          <w:szCs w:val="32"/>
          <w:shd w:val="clear" w:color="auto" w:fill="FFFFFF"/>
        </w:rPr>
        <w:t>乡镇</w:t>
      </w:r>
      <w:r>
        <w:rPr>
          <w:rFonts w:ascii="仿宋_GB2312" w:hAnsi="Times New Roman" w:eastAsia="仿宋_GB2312" w:cs="Times New Roman"/>
          <w:color w:val="000000" w:themeColor="text1"/>
          <w:sz w:val="32"/>
          <w:szCs w:val="32"/>
          <w:shd w:val="clear" w:color="auto" w:fill="FFFFFF"/>
        </w:rPr>
        <w:t>政务公开工作的指导、监督较少，存在重</w:t>
      </w:r>
      <w:r>
        <w:rPr>
          <w:rFonts w:hint="eastAsia" w:ascii="仿宋_GB2312" w:hAnsi="Times New Roman" w:eastAsia="仿宋_GB2312" w:cs="Times New Roman"/>
          <w:color w:val="000000" w:themeColor="text1"/>
          <w:sz w:val="32"/>
          <w:szCs w:val="32"/>
          <w:shd w:val="clear" w:color="auto" w:fill="FFFFFF"/>
        </w:rPr>
        <w:t>县直</w:t>
      </w:r>
      <w:r>
        <w:rPr>
          <w:rFonts w:ascii="仿宋_GB2312" w:hAnsi="Times New Roman" w:eastAsia="仿宋_GB2312" w:cs="Times New Roman"/>
          <w:color w:val="000000" w:themeColor="text1"/>
          <w:sz w:val="32"/>
          <w:szCs w:val="32"/>
          <w:shd w:val="clear" w:color="auto" w:fill="FFFFFF"/>
        </w:rPr>
        <w:t>、轻乡镇的情况，在监测检查中也未做到全覆盖、</w:t>
      </w:r>
      <w:r>
        <w:rPr>
          <w:rFonts w:ascii="仿宋_GB2312" w:hAnsi="仿宋" w:eastAsia="仿宋_GB2312"/>
          <w:color w:val="000000" w:themeColor="text1"/>
          <w:sz w:val="32"/>
          <w:szCs w:val="32"/>
        </w:rPr>
        <w:t>无盲区。</w:t>
      </w:r>
    </w:p>
    <w:p>
      <w:pPr>
        <w:widowControl/>
        <w:shd w:val="clear" w:color="auto" w:fill="FFFFFF"/>
        <w:ind w:firstLine="640" w:firstLineChars="200"/>
        <w:rPr>
          <w:rFonts w:hAnsi="仿宋" w:cs="宋体"/>
          <w:color w:val="000000" w:themeColor="text1"/>
          <w:kern w:val="0"/>
        </w:rPr>
      </w:pPr>
      <w:r>
        <w:rPr>
          <w:rFonts w:hint="eastAsia" w:hAnsi="仿宋" w:cs="宋体"/>
          <w:color w:val="000000" w:themeColor="text1"/>
          <w:kern w:val="0"/>
        </w:rPr>
        <w:t>2021，我县将从以下几方面改进工作：</w:t>
      </w:r>
      <w:r>
        <w:rPr>
          <w:rFonts w:hint="eastAsia" w:hAnsi="仿宋" w:cs="宋体"/>
          <w:b/>
          <w:color w:val="000000" w:themeColor="text1"/>
          <w:kern w:val="0"/>
        </w:rPr>
        <w:t>一是</w:t>
      </w:r>
      <w:r>
        <w:rPr>
          <w:rFonts w:hint="eastAsia" w:hAnsi="仿宋" w:cs="宋体"/>
          <w:color w:val="000000" w:themeColor="text1"/>
          <w:kern w:val="0"/>
        </w:rPr>
        <w:t>深入推进基层政务公开标准化规范化建设。严格按照省市要求，</w:t>
      </w:r>
      <w:r>
        <w:rPr>
          <w:rFonts w:hAnsi="仿宋" w:cs="宋体"/>
          <w:color w:val="000000" w:themeColor="text1"/>
          <w:kern w:val="0"/>
        </w:rPr>
        <w:t>不断巩固、提升，继续做好基层政务公开标准化规范化工作，</w:t>
      </w:r>
      <w:r>
        <w:rPr>
          <w:rFonts w:hint="eastAsia" w:hAnsi="仿宋" w:cs="宋体"/>
          <w:color w:val="000000" w:themeColor="text1"/>
          <w:kern w:val="0"/>
        </w:rPr>
        <w:t>加快探索建设政务公开专区，</w:t>
      </w:r>
      <w:r>
        <w:rPr>
          <w:rFonts w:hAnsi="仿宋" w:cs="宋体"/>
          <w:color w:val="000000" w:themeColor="text1"/>
          <w:kern w:val="0"/>
        </w:rPr>
        <w:t>开展信息公开服务，实现信息精准推送，提供互动交流、在线办事入口，进一步利企便民</w:t>
      </w:r>
      <w:r>
        <w:rPr>
          <w:rFonts w:hint="eastAsia" w:hAnsi="仿宋" w:cs="宋体"/>
          <w:color w:val="000000" w:themeColor="text1"/>
          <w:kern w:val="0"/>
        </w:rPr>
        <w:t>。</w:t>
      </w:r>
      <w:r>
        <w:rPr>
          <w:rFonts w:hint="eastAsia" w:hAnsi="宋体" w:cs="宋体"/>
          <w:b/>
          <w:color w:val="000000" w:themeColor="text1"/>
          <w:kern w:val="0"/>
          <w:shd w:val="clear" w:color="auto" w:fill="FFFFFF"/>
        </w:rPr>
        <w:t>二是</w:t>
      </w:r>
      <w:r>
        <w:rPr>
          <w:rFonts w:hint="eastAsia" w:hAnsi="仿宋" w:cs="宋体"/>
          <w:color w:val="000000" w:themeColor="text1"/>
          <w:kern w:val="0"/>
        </w:rPr>
        <w:t>强化人员专业能力建设</w:t>
      </w:r>
      <w:r>
        <w:rPr>
          <w:rFonts w:hAnsi="仿宋" w:cs="宋体"/>
          <w:color w:val="000000" w:themeColor="text1"/>
          <w:kern w:val="0"/>
        </w:rPr>
        <w:t>。以学习贯彻新《条例》为核心，定期组织召开政务公开培训会，提升工作人员</w:t>
      </w:r>
      <w:r>
        <w:rPr>
          <w:rFonts w:hint="eastAsia" w:hAnsi="仿宋" w:cs="宋体"/>
          <w:color w:val="000000" w:themeColor="text1"/>
          <w:kern w:val="0"/>
        </w:rPr>
        <w:t>各项</w:t>
      </w:r>
      <w:r>
        <w:rPr>
          <w:rFonts w:hAnsi="仿宋" w:cs="宋体"/>
          <w:color w:val="000000" w:themeColor="text1"/>
          <w:kern w:val="0"/>
        </w:rPr>
        <w:t>业务能力</w:t>
      </w:r>
      <w:r>
        <w:rPr>
          <w:rFonts w:hint="eastAsia" w:hAnsi="仿宋" w:cs="宋体"/>
          <w:color w:val="000000" w:themeColor="text1"/>
          <w:kern w:val="0"/>
        </w:rPr>
        <w:t>，</w:t>
      </w:r>
      <w:r>
        <w:rPr>
          <w:rFonts w:hAnsi="仿宋" w:cs="宋体"/>
          <w:color w:val="000000" w:themeColor="text1"/>
          <w:kern w:val="0"/>
        </w:rPr>
        <w:t>通过实地调研走访的方式，</w:t>
      </w:r>
      <w:r>
        <w:rPr>
          <w:rFonts w:hint="eastAsia" w:hAnsi="仿宋" w:cs="宋体"/>
          <w:color w:val="000000" w:themeColor="text1"/>
          <w:kern w:val="0"/>
        </w:rPr>
        <w:t>有计划地安排后进单位进行脱岗式跟班学习，</w:t>
      </w:r>
      <w:r>
        <w:rPr>
          <w:rFonts w:hAnsi="仿宋" w:cs="宋体"/>
          <w:color w:val="000000" w:themeColor="text1"/>
          <w:kern w:val="0"/>
        </w:rPr>
        <w:t>加强与各单位政务公开工作人员的沟通交流，</w:t>
      </w:r>
      <w:r>
        <w:rPr>
          <w:rFonts w:hint="eastAsia" w:hAnsi="仿宋" w:cs="宋体"/>
          <w:color w:val="000000" w:themeColor="text1"/>
          <w:kern w:val="0"/>
        </w:rPr>
        <w:t>不断提高业务人员的能力水平</w:t>
      </w:r>
      <w:r>
        <w:rPr>
          <w:rFonts w:hAnsi="仿宋" w:cs="宋体"/>
          <w:color w:val="000000" w:themeColor="text1"/>
          <w:kern w:val="0"/>
        </w:rPr>
        <w:t>。</w:t>
      </w:r>
      <w:r>
        <w:rPr>
          <w:rFonts w:hint="eastAsia" w:hAnsi="宋体" w:cs="宋体"/>
          <w:b/>
          <w:color w:val="000000" w:themeColor="text1"/>
          <w:kern w:val="0"/>
          <w:shd w:val="clear" w:color="auto" w:fill="FFFFFF"/>
        </w:rPr>
        <w:t>三是</w:t>
      </w:r>
      <w:r>
        <w:rPr>
          <w:rFonts w:hint="eastAsia" w:hAnsi="仿宋" w:cs="宋体"/>
          <w:color w:val="000000" w:themeColor="text1"/>
          <w:kern w:val="0"/>
        </w:rPr>
        <w:t>完善政务公开监督考核机制。加大督促力度，优化工作流程，实现监管工作常态化、制度化，推动全县政务公开工作水平整体提升。</w:t>
      </w:r>
    </w:p>
    <w:p>
      <w:pPr>
        <w:widowControl/>
        <w:shd w:val="clear" w:color="auto" w:fill="FFFFFF"/>
        <w:ind w:firstLine="640" w:firstLineChars="200"/>
        <w:rPr>
          <w:rFonts w:ascii="黑体" w:hAnsi="黑体" w:eastAsia="黑体" w:cs="Arial"/>
          <w:color w:val="000000" w:themeColor="text1"/>
        </w:rPr>
      </w:pPr>
      <w:bookmarkStart w:id="9" w:name="OLE_LINK2"/>
      <w:r>
        <w:rPr>
          <w:rFonts w:hint="eastAsia" w:ascii="黑体" w:hAnsi="黑体" w:eastAsia="黑体" w:cs="Arial"/>
          <w:color w:val="000000" w:themeColor="text1"/>
        </w:rPr>
        <w:t>六、其他需要报告的事项</w:t>
      </w:r>
    </w:p>
    <w:bookmarkEnd w:id="0"/>
    <w:bookmarkEnd w:id="1"/>
    <w:bookmarkEnd w:id="9"/>
    <w:p>
      <w:pPr>
        <w:ind w:firstLine="642" w:firstLineChars="200"/>
        <w:rPr>
          <w:color w:val="000000" w:themeColor="text1"/>
          <w:shd w:val="clear" w:color="auto" w:fill="FFFFFF"/>
        </w:rPr>
      </w:pPr>
      <w:r>
        <w:rPr>
          <w:rFonts w:hint="eastAsia" w:hAnsi="宋体" w:cs="宋体"/>
          <w:b/>
          <w:color w:val="000000" w:themeColor="text1"/>
          <w:kern w:val="0"/>
          <w:shd w:val="clear" w:color="auto" w:fill="FFFFFF"/>
        </w:rPr>
        <w:t>一是</w:t>
      </w:r>
      <w:r>
        <w:rPr>
          <w:rFonts w:hint="eastAsia"/>
          <w:color w:val="000000" w:themeColor="text1"/>
        </w:rPr>
        <w:t>扎实开展优秀政策解读。</w:t>
      </w:r>
      <w:r>
        <w:rPr>
          <w:rFonts w:hint="eastAsia"/>
          <w:color w:val="000000" w:themeColor="text1"/>
          <w:shd w:val="clear" w:color="auto" w:fill="FFFFFF"/>
        </w:rPr>
        <w:t>着眼提升政策解读的质量和水平，组织开展全县优秀政策解读材料评选活动，评选出4篇解读质量高的作品参加市级优秀政策评选。</w:t>
      </w:r>
    </w:p>
    <w:p>
      <w:pPr>
        <w:ind w:firstLine="642" w:firstLineChars="200"/>
        <w:rPr>
          <w:color w:val="000000" w:themeColor="text1"/>
        </w:rPr>
      </w:pPr>
      <w:r>
        <w:rPr>
          <w:rFonts w:hint="eastAsia" w:hAnsi="宋体" w:cs="宋体"/>
          <w:b/>
          <w:color w:val="000000" w:themeColor="text1"/>
          <w:kern w:val="0"/>
          <w:shd w:val="clear" w:color="auto" w:fill="FFFFFF"/>
        </w:rPr>
        <w:t>二是</w:t>
      </w:r>
      <w:r>
        <w:rPr>
          <w:rFonts w:hint="eastAsia"/>
          <w:color w:val="000000" w:themeColor="text1"/>
        </w:rPr>
        <w:t>积极报送政务公开交流稿件。严格按照《六安市人民政府办公室关于做好全市政务公开信息报送工作的通知》，要求，鼓励各单位深入挖掘政务公开特色工作，总结经验，上报政务公开交流稿件。其中，由县文旅体局供稿的《“政务公开+城市阅读空间”》被市办采用。</w:t>
      </w:r>
    </w:p>
    <w:p>
      <w:pPr>
        <w:ind w:firstLine="642" w:firstLineChars="200"/>
        <w:rPr>
          <w:color w:val="000000" w:themeColor="text1"/>
          <w:shd w:val="clear" w:color="auto" w:fill="FFFFFF"/>
        </w:rPr>
      </w:pPr>
      <w:r>
        <w:rPr>
          <w:rFonts w:hint="eastAsia" w:hAnsi="宋体" w:cs="宋体"/>
          <w:b/>
          <w:color w:val="000000" w:themeColor="text1"/>
          <w:kern w:val="0"/>
          <w:shd w:val="clear" w:color="auto" w:fill="FFFFFF"/>
        </w:rPr>
        <w:t>三是</w:t>
      </w:r>
      <w:r>
        <w:rPr>
          <w:rFonts w:hint="eastAsia"/>
          <w:color w:val="000000" w:themeColor="text1"/>
        </w:rPr>
        <w:t>高效推动政务公开示范点建设。印发《舒城县人民政府关于做好政务公开与办事公开示范点建设工作的通知》，将示范点建设纳入年度综合考评，全县通报表扬，给予相应加分，充分</w:t>
      </w:r>
      <w:r>
        <w:rPr>
          <w:rFonts w:hint="eastAsia"/>
          <w:color w:val="000000" w:themeColor="text1"/>
          <w:shd w:val="clear" w:color="auto" w:fill="FFFFFF"/>
        </w:rPr>
        <w:t>发挥典型示范引领作用。</w:t>
      </w:r>
      <w:bookmarkEnd w:id="2"/>
      <w:bookmarkEnd w:id="3"/>
      <w:bookmarkEnd w:id="4"/>
    </w:p>
    <w:bookmarkEnd w:id="5"/>
    <w:p>
      <w:pPr>
        <w:ind w:firstLine="640" w:firstLineChars="200"/>
        <w:rPr>
          <w:color w:val="000000" w:themeColor="text1"/>
          <w:shd w:val="clear" w:color="auto" w:fill="FFFFFF"/>
        </w:rPr>
      </w:pPr>
    </w:p>
    <w:p>
      <w:pPr>
        <w:rPr>
          <w:color w:val="000000" w:themeColor="text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Times New Roman"/>
    <w:panose1 w:val="020B0604020202020204"/>
    <w:charset w:val="00"/>
    <w:family w:val="swiss"/>
    <w:pitch w:val="default"/>
    <w:sig w:usb0="00000000" w:usb1="00000000" w:usb2="00000009" w:usb3="00000000" w:csb0="000001FF"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69BC"/>
    <w:rsid w:val="000038ED"/>
    <w:rsid w:val="00036321"/>
    <w:rsid w:val="00054F18"/>
    <w:rsid w:val="00074C29"/>
    <w:rsid w:val="0007789C"/>
    <w:rsid w:val="000818D8"/>
    <w:rsid w:val="0008269E"/>
    <w:rsid w:val="00083D2E"/>
    <w:rsid w:val="0009038E"/>
    <w:rsid w:val="00091D7A"/>
    <w:rsid w:val="000A0338"/>
    <w:rsid w:val="000A05C7"/>
    <w:rsid w:val="000B1BAD"/>
    <w:rsid w:val="000D15AA"/>
    <w:rsid w:val="000D5A84"/>
    <w:rsid w:val="000E1E10"/>
    <w:rsid w:val="001072D2"/>
    <w:rsid w:val="00114D10"/>
    <w:rsid w:val="00117FB6"/>
    <w:rsid w:val="00121B31"/>
    <w:rsid w:val="001319B3"/>
    <w:rsid w:val="00152C53"/>
    <w:rsid w:val="00156F4E"/>
    <w:rsid w:val="00165F5E"/>
    <w:rsid w:val="00175EE7"/>
    <w:rsid w:val="001966C2"/>
    <w:rsid w:val="00197295"/>
    <w:rsid w:val="001B6589"/>
    <w:rsid w:val="001D2A18"/>
    <w:rsid w:val="001E2EFC"/>
    <w:rsid w:val="001E5595"/>
    <w:rsid w:val="001F0BC2"/>
    <w:rsid w:val="00206B03"/>
    <w:rsid w:val="00213816"/>
    <w:rsid w:val="00214F9A"/>
    <w:rsid w:val="00223ABE"/>
    <w:rsid w:val="002416FF"/>
    <w:rsid w:val="00244BAF"/>
    <w:rsid w:val="0025387D"/>
    <w:rsid w:val="00260DD1"/>
    <w:rsid w:val="00272558"/>
    <w:rsid w:val="00273728"/>
    <w:rsid w:val="00274B40"/>
    <w:rsid w:val="00283868"/>
    <w:rsid w:val="002C1616"/>
    <w:rsid w:val="002C3A4E"/>
    <w:rsid w:val="002D286F"/>
    <w:rsid w:val="002D5856"/>
    <w:rsid w:val="002E0680"/>
    <w:rsid w:val="002E65F6"/>
    <w:rsid w:val="00327B9C"/>
    <w:rsid w:val="00351BEC"/>
    <w:rsid w:val="00353A2E"/>
    <w:rsid w:val="0038075F"/>
    <w:rsid w:val="00381C26"/>
    <w:rsid w:val="00383BDE"/>
    <w:rsid w:val="00391ED7"/>
    <w:rsid w:val="003A089F"/>
    <w:rsid w:val="003A21A8"/>
    <w:rsid w:val="003A4BFB"/>
    <w:rsid w:val="003A4C9C"/>
    <w:rsid w:val="003A6B23"/>
    <w:rsid w:val="003A7FE0"/>
    <w:rsid w:val="003C35F5"/>
    <w:rsid w:val="003D49F8"/>
    <w:rsid w:val="003D5781"/>
    <w:rsid w:val="003E5C3D"/>
    <w:rsid w:val="003F133C"/>
    <w:rsid w:val="003F623D"/>
    <w:rsid w:val="00413DAE"/>
    <w:rsid w:val="004242D7"/>
    <w:rsid w:val="0043169A"/>
    <w:rsid w:val="0044755C"/>
    <w:rsid w:val="0045329D"/>
    <w:rsid w:val="00466C29"/>
    <w:rsid w:val="0047164B"/>
    <w:rsid w:val="0047341E"/>
    <w:rsid w:val="0047713D"/>
    <w:rsid w:val="004A7D60"/>
    <w:rsid w:val="004B4CE4"/>
    <w:rsid w:val="004B5152"/>
    <w:rsid w:val="004C36CF"/>
    <w:rsid w:val="004C5768"/>
    <w:rsid w:val="004D0AD6"/>
    <w:rsid w:val="004E33EE"/>
    <w:rsid w:val="004E621D"/>
    <w:rsid w:val="004F5568"/>
    <w:rsid w:val="00511D08"/>
    <w:rsid w:val="00512686"/>
    <w:rsid w:val="0052366B"/>
    <w:rsid w:val="005276F8"/>
    <w:rsid w:val="005423B4"/>
    <w:rsid w:val="00542AC5"/>
    <w:rsid w:val="00544D06"/>
    <w:rsid w:val="00545FAE"/>
    <w:rsid w:val="00562E1A"/>
    <w:rsid w:val="00565F4A"/>
    <w:rsid w:val="00575478"/>
    <w:rsid w:val="0058116F"/>
    <w:rsid w:val="0058200F"/>
    <w:rsid w:val="005A26DE"/>
    <w:rsid w:val="005B33E8"/>
    <w:rsid w:val="005C55C7"/>
    <w:rsid w:val="005E11CE"/>
    <w:rsid w:val="005F5EBC"/>
    <w:rsid w:val="0060487F"/>
    <w:rsid w:val="0061696B"/>
    <w:rsid w:val="006174A3"/>
    <w:rsid w:val="0063204E"/>
    <w:rsid w:val="00636D4B"/>
    <w:rsid w:val="00637CEA"/>
    <w:rsid w:val="006533FA"/>
    <w:rsid w:val="00656F07"/>
    <w:rsid w:val="006647FB"/>
    <w:rsid w:val="00665858"/>
    <w:rsid w:val="006750A6"/>
    <w:rsid w:val="006849FB"/>
    <w:rsid w:val="00694654"/>
    <w:rsid w:val="00694D7D"/>
    <w:rsid w:val="006A06A2"/>
    <w:rsid w:val="006B5D19"/>
    <w:rsid w:val="006C3A28"/>
    <w:rsid w:val="006C5591"/>
    <w:rsid w:val="006D3B2B"/>
    <w:rsid w:val="006E2D67"/>
    <w:rsid w:val="006E7020"/>
    <w:rsid w:val="006E713C"/>
    <w:rsid w:val="006E757E"/>
    <w:rsid w:val="006F25CF"/>
    <w:rsid w:val="006F3A2A"/>
    <w:rsid w:val="00702ADC"/>
    <w:rsid w:val="0070396D"/>
    <w:rsid w:val="00712555"/>
    <w:rsid w:val="00722B8F"/>
    <w:rsid w:val="00723168"/>
    <w:rsid w:val="00735AD2"/>
    <w:rsid w:val="00762D06"/>
    <w:rsid w:val="007A1625"/>
    <w:rsid w:val="007C07E9"/>
    <w:rsid w:val="007D2C54"/>
    <w:rsid w:val="007E3E92"/>
    <w:rsid w:val="007E6F1F"/>
    <w:rsid w:val="00811CD0"/>
    <w:rsid w:val="00823478"/>
    <w:rsid w:val="00832619"/>
    <w:rsid w:val="00851D9F"/>
    <w:rsid w:val="00852521"/>
    <w:rsid w:val="00855F18"/>
    <w:rsid w:val="00871C72"/>
    <w:rsid w:val="00874787"/>
    <w:rsid w:val="008803A9"/>
    <w:rsid w:val="00883BDA"/>
    <w:rsid w:val="00885378"/>
    <w:rsid w:val="008B2B7B"/>
    <w:rsid w:val="008D2C55"/>
    <w:rsid w:val="008E4701"/>
    <w:rsid w:val="009058E4"/>
    <w:rsid w:val="0091074F"/>
    <w:rsid w:val="00913DB9"/>
    <w:rsid w:val="00920EC6"/>
    <w:rsid w:val="00935C2B"/>
    <w:rsid w:val="009573E3"/>
    <w:rsid w:val="00964E6C"/>
    <w:rsid w:val="00966AD5"/>
    <w:rsid w:val="00977F02"/>
    <w:rsid w:val="009A10F7"/>
    <w:rsid w:val="009A29CC"/>
    <w:rsid w:val="009A4BDA"/>
    <w:rsid w:val="009B2298"/>
    <w:rsid w:val="009D2695"/>
    <w:rsid w:val="009D51F6"/>
    <w:rsid w:val="00A0083E"/>
    <w:rsid w:val="00A039DA"/>
    <w:rsid w:val="00A26ACB"/>
    <w:rsid w:val="00A36C85"/>
    <w:rsid w:val="00A37300"/>
    <w:rsid w:val="00A37F0E"/>
    <w:rsid w:val="00A46C13"/>
    <w:rsid w:val="00A543FE"/>
    <w:rsid w:val="00A64C18"/>
    <w:rsid w:val="00A744D5"/>
    <w:rsid w:val="00A74CDD"/>
    <w:rsid w:val="00A75517"/>
    <w:rsid w:val="00A829BC"/>
    <w:rsid w:val="00A85E08"/>
    <w:rsid w:val="00AA2DF7"/>
    <w:rsid w:val="00AD0DB7"/>
    <w:rsid w:val="00AD1C44"/>
    <w:rsid w:val="00AD471C"/>
    <w:rsid w:val="00AD5802"/>
    <w:rsid w:val="00B02529"/>
    <w:rsid w:val="00B04854"/>
    <w:rsid w:val="00B2539D"/>
    <w:rsid w:val="00B3241B"/>
    <w:rsid w:val="00B406AE"/>
    <w:rsid w:val="00B649C8"/>
    <w:rsid w:val="00B6759B"/>
    <w:rsid w:val="00B72254"/>
    <w:rsid w:val="00B7422E"/>
    <w:rsid w:val="00B81BB6"/>
    <w:rsid w:val="00B84F32"/>
    <w:rsid w:val="00B86887"/>
    <w:rsid w:val="00B91FEB"/>
    <w:rsid w:val="00BA06D4"/>
    <w:rsid w:val="00BC13C6"/>
    <w:rsid w:val="00BD1076"/>
    <w:rsid w:val="00BF3C0F"/>
    <w:rsid w:val="00C06881"/>
    <w:rsid w:val="00C22D58"/>
    <w:rsid w:val="00C26B0B"/>
    <w:rsid w:val="00C42916"/>
    <w:rsid w:val="00C454E6"/>
    <w:rsid w:val="00C65B2F"/>
    <w:rsid w:val="00C703C3"/>
    <w:rsid w:val="00C76F5C"/>
    <w:rsid w:val="00C82AB4"/>
    <w:rsid w:val="00C908EC"/>
    <w:rsid w:val="00C93826"/>
    <w:rsid w:val="00CD41E0"/>
    <w:rsid w:val="00CE411F"/>
    <w:rsid w:val="00CF0750"/>
    <w:rsid w:val="00D01B71"/>
    <w:rsid w:val="00D42CEB"/>
    <w:rsid w:val="00D47F25"/>
    <w:rsid w:val="00D50B25"/>
    <w:rsid w:val="00D54352"/>
    <w:rsid w:val="00D57DB3"/>
    <w:rsid w:val="00D61631"/>
    <w:rsid w:val="00D617D5"/>
    <w:rsid w:val="00D6739B"/>
    <w:rsid w:val="00D81EF1"/>
    <w:rsid w:val="00D87EA2"/>
    <w:rsid w:val="00DA303C"/>
    <w:rsid w:val="00DA3592"/>
    <w:rsid w:val="00DB25C2"/>
    <w:rsid w:val="00DB69BC"/>
    <w:rsid w:val="00DC5556"/>
    <w:rsid w:val="00DD3C99"/>
    <w:rsid w:val="00DD5B59"/>
    <w:rsid w:val="00DE7502"/>
    <w:rsid w:val="00DE7B80"/>
    <w:rsid w:val="00DF4ED0"/>
    <w:rsid w:val="00E0103F"/>
    <w:rsid w:val="00E04765"/>
    <w:rsid w:val="00E16422"/>
    <w:rsid w:val="00E33DD6"/>
    <w:rsid w:val="00E340FF"/>
    <w:rsid w:val="00E56B7A"/>
    <w:rsid w:val="00E67F89"/>
    <w:rsid w:val="00E8148D"/>
    <w:rsid w:val="00E86F41"/>
    <w:rsid w:val="00E90103"/>
    <w:rsid w:val="00E90615"/>
    <w:rsid w:val="00E93C67"/>
    <w:rsid w:val="00EE7DB2"/>
    <w:rsid w:val="00F0483F"/>
    <w:rsid w:val="00F06C7B"/>
    <w:rsid w:val="00F27CCE"/>
    <w:rsid w:val="00F45C16"/>
    <w:rsid w:val="00F4672A"/>
    <w:rsid w:val="00F503C3"/>
    <w:rsid w:val="00F62993"/>
    <w:rsid w:val="00F84655"/>
    <w:rsid w:val="00F91ABF"/>
    <w:rsid w:val="00FB14FA"/>
    <w:rsid w:val="00FC7A22"/>
    <w:rsid w:val="00FE28C7"/>
    <w:rsid w:val="00FF45F6"/>
    <w:rsid w:val="7DB5D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标题 1 Char"/>
    <w:basedOn w:val="6"/>
    <w:link w:val="2"/>
    <w:qFormat/>
    <w:uiPriority w:val="9"/>
    <w:rPr>
      <w:rFonts w:ascii="仿宋_GB2312" w:hAnsi="Calibri" w:eastAsia="仿宋_GB2312" w:cs="Times New Roman"/>
      <w:b/>
      <w:bCs/>
      <w:kern w:val="44"/>
      <w:sz w:val="44"/>
      <w:szCs w:val="44"/>
    </w:rPr>
  </w:style>
  <w:style w:type="character" w:customStyle="1" w:styleId="12">
    <w:name w:val="15"/>
    <w:basedOn w:val="6"/>
    <w:qFormat/>
    <w:uiPriority w:val="0"/>
  </w:style>
  <w:style w:type="paragraph" w:customStyle="1" w:styleId="13">
    <w:name w:val="p"/>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844</Words>
  <Characters>4815</Characters>
  <Lines>40</Lines>
  <Paragraphs>11</Paragraphs>
  <TotalTime>66</TotalTime>
  <ScaleCrop>false</ScaleCrop>
  <LinksUpToDate>false</LinksUpToDate>
  <CharactersWithSpaces>5648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2021-02-20T09:59:00Z</dcterms:created>
  <dc:creator>肖悦</dc:creator>
  <cp:lastModifiedBy>administrator</cp:lastModifiedBy>
  <cp:lastPrinted>2021-01-20T09:04:00Z</cp:lastPrinted>
  <dcterms:modified xsi:type="dcterms:W3CDTF">2022-02-14T11:07:55Z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