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6"/>
          <w:tab w:val="left" w:pos="8208"/>
          <w:tab w:val="left" w:pos="8532"/>
        </w:tabs>
        <w:rPr>
          <w:rFonts w:hint="eastAsia"/>
        </w:rPr>
      </w:pPr>
      <w:r>
        <w:rPr>
          <w:rFonts w:hint="eastAsia"/>
          <w:lang/>
        </w:rPr>
        <mc:AlternateContent>
          <mc:Choice Requires="wps">
            <w:drawing>
              <wp:anchor distT="0" distB="0" distL="114300" distR="114300" simplePos="0" relativeHeight="251664384" behindDoc="0" locked="0" layoutInCell="0" hidden="true" allowOverlap="1">
                <wp:simplePos x="0" y="0"/>
                <wp:positionH relativeFrom="page">
                  <wp:posOffset>-127000</wp:posOffset>
                </wp:positionH>
                <wp:positionV relativeFrom="page">
                  <wp:posOffset>127000</wp:posOffset>
                </wp:positionV>
                <wp:extent cx="63500" cy="63500"/>
                <wp:effectExtent l="0" t="0" r="0" b="0"/>
                <wp:wrapNone/>
                <wp:docPr id="5" name="KGD_Gobal1" descr="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" hidden="tru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rect id="KGD_Gobal1" o:spid="_x0000_s1026" o:spt="1" alt="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" style="position:absolute;left:0pt;margin-left:-10pt;margin-top:10pt;height:5pt;width:5pt;mso-position-horizontal-relative:page;mso-position-vertical-relative:page;visibility:hidden;z-index:251664384;mso-width-relative:page;mso-height-relative:page;" fillcolor="#FFFFFF" filled="t" stroked="t" coordsize="21600,21600" o:allowincell="f" o:gfxdata="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lang/>
        </w:rPr>
        <mc:AlternateContent>
          <mc:Choice Requires="wps">
            <w:drawing>
              <wp:anchor distT="0" distB="0" distL="114300" distR="114300" simplePos="0" relativeHeight="251658240" behindDoc="1" locked="0" layoutInCell="1" hidden="true" allowOverlap="1">
                <wp:simplePos x="0" y="0"/>
                <wp:positionH relativeFrom="column">
                  <wp:posOffset>-3780155</wp:posOffset>
                </wp:positionH>
                <wp:positionV relativeFrom="paragraph">
                  <wp:posOffset>-5346700</wp:posOffset>
                </wp:positionV>
                <wp:extent cx="15121890" cy="20116800"/>
                <wp:effectExtent l="0" t="0" r="0" b="0"/>
                <wp:wrapNone/>
                <wp:docPr id="1" name="KG_Shd_1" hidden="tru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1890" cy="20116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>
                          <a:solidFill>
                            <a:srgbClr val="FFFFFF">
                              <a:alpha val="0"/>
                            </a:srgb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rect id="KG_Shd_1" o:spid="_x0000_s1026" o:spt="1" style="position:absolute;left:0pt;margin-left:-297.65pt;margin-top:-421pt;height:1584pt;width:1190.7pt;visibility:hidden;z-index:-251658240;mso-width-relative:page;mso-height-relative:page;" fillcolor="#FFFFFF" filled="t" stroked="t" coordsize="21600,21600" o:gfxdata="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FgAAAGRycy9QSwECFAAUAAAACACHTuJAs1mNF9sAAAAPAQAADwAAAAAAAAABACAAAAA4&#10;AAAAZHJzL2Rvd25yZXYueG1sUEsBAhQAFAAAAAgAh07iQH2sCALxAQAALAQAAA4AAAAAAAAAAQAg&#10;AAAAQAEAAGRycy9lMm9Eb2MueG1sUEsFBgAAAAAGAAYAWQEAAKMFAAAAAA==&#10;">
                <v:fill on="t" opacity="0f" focussize="0,0"/>
                <v:stroke color="#FFFFFF" opacity="0f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rFonts w:hint="eastAsia" w:ascii="仿宋_GB2312"/>
        </w:rPr>
      </w:pPr>
    </w:p>
    <w:p>
      <w:pPr>
        <w:rPr>
          <w:rFonts w:hint="eastAsia"/>
        </w:rPr>
      </w:pPr>
    </w:p>
    <w:p>
      <w:pPr>
        <w:spacing w:line="560" w:lineRule="exact"/>
        <w:jc w:val="center"/>
        <w:rPr>
          <w:rFonts w:hint="eastAsia"/>
        </w:rPr>
      </w:pPr>
    </w:p>
    <w:p>
      <w:pPr>
        <w:spacing w:before="579" w:beforeLines="100" w:line="560" w:lineRule="exact"/>
        <w:jc w:val="center"/>
        <w:rPr>
          <w:rFonts w:hint="eastAsia"/>
        </w:rPr>
      </w:pPr>
      <w:bookmarkStart w:id="0" w:name="文号"/>
      <w:r>
        <w:rPr>
          <w:rFonts w:hint="eastAsia"/>
        </w:rPr>
        <w:t>舒政〔2022〕22号</w:t>
      </w:r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  <w:bookmarkStart w:id="1" w:name="Content"/>
      <w:r>
        <w:rPr>
          <w:rFonts w:hint="eastAsia"/>
        </w:rPr>
        <w:t>舒城县人民政府关于印发《加强生态环境</w:t>
      </w:r>
    </w:p>
    <w:p>
      <w:pPr>
        <w:pStyle w:val="2"/>
        <w:rPr>
          <w:rFonts w:hint="eastAsia"/>
        </w:rPr>
      </w:pPr>
      <w:r>
        <w:rPr>
          <w:rFonts w:hint="eastAsia"/>
        </w:rPr>
        <w:t>要素支撑促进高质量发展的若干措施》的通知</w:t>
      </w:r>
    </w:p>
    <w:p>
      <w:pPr>
        <w:ind w:firstLine="640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各乡镇人民政府，开发区、万佛湖管委会，县政府各部门、直属事业单位，有关驻舒单位：</w:t>
      </w:r>
    </w:p>
    <w:p>
      <w:pPr>
        <w:ind w:firstLine="640"/>
        <w:rPr>
          <w:rFonts w:hint="eastAsia"/>
        </w:rPr>
      </w:pPr>
      <w:r>
        <w:rPr>
          <w:rFonts w:hint="eastAsia"/>
        </w:rPr>
        <w:t>《加强生态环境要素支撑促进高质量发展的若干措施》已经县政府常务会议审议通过，现印发给你们，请认真贯彻落实。</w:t>
      </w:r>
    </w:p>
    <w:p>
      <w:pPr>
        <w:ind w:firstLine="640"/>
        <w:rPr>
          <w:rFonts w:hint="eastAsia"/>
        </w:rPr>
      </w:pPr>
    </w:p>
    <w:p>
      <w:pPr>
        <w:rPr>
          <w:rFonts w:hint="eastAsia"/>
        </w:rPr>
      </w:pPr>
    </w:p>
    <w:p>
      <w:pPr>
        <w:wordWrap w:val="0"/>
        <w:ind w:right="632" w:firstLine="640"/>
        <w:jc w:val="right"/>
        <w:rPr>
          <w:rFonts w:hint="eastAsia"/>
        </w:rPr>
      </w:pPr>
      <w:r>
        <w:rPr>
          <w:rFonts w:hint="eastAsia"/>
        </w:rPr>
        <w:t xml:space="preserve">2022年3月28日    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  <w:bookmarkStart w:id="5" w:name="_GoBack"/>
      <w:bookmarkEnd w:id="5"/>
      <w:r>
        <w:rPr>
          <w:rFonts w:hint="eastAsia"/>
        </w:rPr>
        <w:t>加强生态环境要素支撑</w:t>
      </w:r>
    </w:p>
    <w:p>
      <w:pPr>
        <w:pStyle w:val="2"/>
        <w:rPr>
          <w:rFonts w:hint="eastAsia"/>
        </w:rPr>
      </w:pPr>
      <w:r>
        <w:rPr>
          <w:rFonts w:hint="eastAsia"/>
        </w:rPr>
        <w:t>促进高质量发展的若干措施</w:t>
      </w:r>
    </w:p>
    <w:p>
      <w:pPr>
        <w:ind w:firstLine="640"/>
        <w:rPr>
          <w:rFonts w:hint="eastAsia"/>
        </w:rPr>
      </w:pPr>
    </w:p>
    <w:p>
      <w:pPr>
        <w:spacing w:line="560" w:lineRule="exact"/>
        <w:ind w:firstLine="640"/>
        <w:rPr>
          <w:rFonts w:hint="eastAsia"/>
        </w:rPr>
      </w:pPr>
      <w:r>
        <w:rPr>
          <w:rFonts w:hint="eastAsia"/>
        </w:rPr>
        <w:t>为深入贯彻习近平生态文明思想，深化落实省市“一改两为”部署要求，发挥生态环境保护引领、优化和倒逼作用，促进亩均效益提升，推动产业绿色转型，助推经济高质量发展，结合我县实际，提出如下措施。</w:t>
      </w:r>
    </w:p>
    <w:p>
      <w:pPr>
        <w:spacing w:line="560" w:lineRule="exact"/>
        <w:ind w:firstLine="640"/>
        <w:rPr>
          <w:rFonts w:hint="eastAsia" w:eastAsia="黑体" w:cs="黑体"/>
        </w:rPr>
      </w:pPr>
      <w:r>
        <w:rPr>
          <w:rFonts w:hint="eastAsia" w:eastAsia="黑体" w:cs="黑体"/>
        </w:rPr>
        <w:t>一、补齐生态环保设施短板，满足经济稳增长需要</w:t>
      </w:r>
    </w:p>
    <w:p>
      <w:pPr>
        <w:spacing w:line="560" w:lineRule="exact"/>
        <w:ind w:firstLine="643"/>
        <w:rPr>
          <w:rFonts w:hint="eastAsia"/>
        </w:rPr>
      </w:pPr>
      <w:r>
        <w:rPr>
          <w:rFonts w:hint="eastAsia" w:eastAsia="楷体_GB2312" w:cs="楷体_GB2312"/>
          <w:bCs/>
        </w:rPr>
        <w:t>（一）加快污水处理厂及管网建设。</w:t>
      </w:r>
      <w:r>
        <w:rPr>
          <w:rFonts w:hint="eastAsia"/>
        </w:rPr>
        <w:t>实施城东污水处理厂、开发区污水处理厂提标升级工程，启动城南污水处理厂工程建设，新建一座日处理量2万吨的杭埠镇污水处理厂，开工一批城区雨污分流、截污纳管及乡镇污水处理厂管网延伸工程，推动城乡生活污水应收尽收。</w:t>
      </w:r>
      <w:r>
        <w:rPr>
          <w:rFonts w:hint="eastAsia" w:eastAsia="楷体_GB2312" w:cs="楷体_GB2312"/>
        </w:rPr>
        <w:t>（责任单位：县住建局、县城管局、县重点工程处、县生态环境分局、县城投公司，有关乡镇政府〈下同〉，完成时限：2023年6月）</w:t>
      </w:r>
    </w:p>
    <w:p>
      <w:pPr>
        <w:spacing w:line="560" w:lineRule="exact"/>
        <w:ind w:firstLine="643"/>
        <w:rPr>
          <w:rFonts w:hint="eastAsia"/>
        </w:rPr>
      </w:pPr>
      <w:r>
        <w:rPr>
          <w:rFonts w:hint="eastAsia" w:eastAsia="楷体_GB2312" w:cs="楷体_GB2312"/>
          <w:bCs/>
        </w:rPr>
        <w:t>（二）提高城乡生活垃圾处理能力。</w:t>
      </w:r>
      <w:r>
        <w:rPr>
          <w:rFonts w:hint="eastAsia"/>
        </w:rPr>
        <w:t>建成并投运海创生活垃圾发电厂，完善城乡环卫一体化机制，全面收集和处理园区、城区、乡镇生活垃圾。坚持市场化方式，鼓励多点布局“生态美超市”和再生资源兑换点。</w:t>
      </w:r>
      <w:r>
        <w:rPr>
          <w:rFonts w:hint="eastAsia" w:eastAsia="楷体_GB2312" w:cs="楷体_GB2312"/>
        </w:rPr>
        <w:t>（责任单位：县城管局、县商务局，完成时限：2023年6月）</w:t>
      </w:r>
    </w:p>
    <w:p>
      <w:pPr>
        <w:spacing w:line="560" w:lineRule="exact"/>
        <w:ind w:firstLine="643"/>
        <w:rPr>
          <w:rFonts w:hint="eastAsia"/>
        </w:rPr>
      </w:pPr>
      <w:r>
        <w:rPr>
          <w:rFonts w:hint="eastAsia" w:eastAsia="楷体_GB2312" w:cs="楷体_GB2312"/>
          <w:bCs/>
        </w:rPr>
        <w:t>（三）强化大气污染物收集治理。</w:t>
      </w:r>
      <w:r>
        <w:rPr>
          <w:rFonts w:hint="eastAsia"/>
        </w:rPr>
        <w:t>指导涉气企业加快配置和完善大气污染治理设备。积极推动涉VOCs重点排污企业安装挥发性有机物自动监测设备。加快建立县域大气监测中控平台。</w:t>
      </w:r>
      <w:r>
        <w:rPr>
          <w:rFonts w:hint="eastAsia" w:eastAsia="楷体_GB2312" w:cs="楷体_GB2312"/>
        </w:rPr>
        <w:t>（责任单位：县生态环境分局、县开发区管委，完成时限：2023年底、长期坚持）</w:t>
      </w:r>
    </w:p>
    <w:p>
      <w:pPr>
        <w:spacing w:line="560" w:lineRule="exact"/>
        <w:ind w:firstLine="643"/>
        <w:rPr>
          <w:rFonts w:hint="eastAsia"/>
        </w:rPr>
      </w:pPr>
      <w:r>
        <w:rPr>
          <w:rFonts w:hint="eastAsia" w:eastAsia="楷体_GB2312" w:cs="楷体_GB2312"/>
          <w:bCs/>
        </w:rPr>
        <w:t>（四）探索推动“绿岛”建设。</w:t>
      </w:r>
      <w:r>
        <w:rPr>
          <w:rFonts w:hint="eastAsia"/>
        </w:rPr>
        <w:t>对符合条件的污染治理设施逐步实施集中布局，集约污染处理设施用地。建立中小微企业危废收集暂存中心，解决年危废产生量10吨以下的中小微企业处置不及时、处置费用高等难题。</w:t>
      </w:r>
      <w:r>
        <w:rPr>
          <w:rFonts w:hint="eastAsia" w:eastAsia="楷体_GB2312" w:cs="楷体_GB2312"/>
        </w:rPr>
        <w:t>（责任单位：县开发区管委、县城管局、县生态环境分局，完成时限：2023年底）</w:t>
      </w:r>
    </w:p>
    <w:p>
      <w:pPr>
        <w:spacing w:line="560" w:lineRule="exact"/>
        <w:ind w:firstLine="640"/>
        <w:rPr>
          <w:rFonts w:hint="eastAsia" w:eastAsia="黑体" w:cs="黑体"/>
        </w:rPr>
      </w:pPr>
      <w:r>
        <w:rPr>
          <w:rFonts w:hint="eastAsia" w:eastAsia="黑体" w:cs="黑体"/>
        </w:rPr>
        <w:t>二、科学统筹总量控制，保障优质项目顺利实施</w:t>
      </w:r>
    </w:p>
    <w:p>
      <w:pPr>
        <w:spacing w:line="560" w:lineRule="exact"/>
        <w:ind w:firstLine="643"/>
        <w:rPr>
          <w:rFonts w:hint="eastAsia"/>
        </w:rPr>
      </w:pPr>
      <w:r>
        <w:rPr>
          <w:rFonts w:hint="eastAsia" w:eastAsia="楷体_GB2312" w:cs="楷体_GB2312"/>
          <w:bCs/>
        </w:rPr>
        <w:t>（五）准确把握政策要求。</w:t>
      </w:r>
      <w:r>
        <w:rPr>
          <w:rFonts w:hint="eastAsia"/>
        </w:rPr>
        <w:t>精准认定招商引资项目行业类别，实行分类管理服务，环境要素保障重点向电子信息、智能制造等产业项目倾斜。</w:t>
      </w:r>
      <w:r>
        <w:rPr>
          <w:rFonts w:hint="eastAsia" w:eastAsia="楷体_GB2312" w:cs="楷体_GB2312"/>
        </w:rPr>
        <w:t>（责任单位：县发改委、县经信局、县生态环境分局，完成时限：2022年底、长期坚持）</w:t>
      </w:r>
    </w:p>
    <w:p>
      <w:pPr>
        <w:spacing w:line="560" w:lineRule="exact"/>
        <w:ind w:firstLine="643"/>
        <w:rPr>
          <w:rFonts w:hint="eastAsia"/>
        </w:rPr>
      </w:pPr>
      <w:r>
        <w:rPr>
          <w:rFonts w:hint="eastAsia" w:eastAsia="楷体_GB2312" w:cs="楷体_GB2312"/>
          <w:bCs/>
        </w:rPr>
        <w:t>（六）积极争取指标支持。</w:t>
      </w:r>
      <w:r>
        <w:rPr>
          <w:rFonts w:hint="eastAsia"/>
        </w:rPr>
        <w:t>对于符合产业布局、重点支持的产业，在县内无法统筹能耗、主要污染物排放指标的，积极对上争取省市层面统筹帮助，为现有企业扩大产能和新增企业入驻提供“一对一”帮扶。</w:t>
      </w:r>
      <w:r>
        <w:rPr>
          <w:rFonts w:hint="eastAsia" w:eastAsia="楷体_GB2312" w:cs="楷体_GB2312"/>
        </w:rPr>
        <w:t>（责任单位：县发改委、县生态环境分局，完成时限：长期坚持）</w:t>
      </w:r>
    </w:p>
    <w:p>
      <w:pPr>
        <w:spacing w:line="560" w:lineRule="exact"/>
        <w:ind w:firstLine="643"/>
        <w:rPr>
          <w:rFonts w:hint="eastAsia"/>
        </w:rPr>
      </w:pPr>
      <w:r>
        <w:rPr>
          <w:rFonts w:hint="eastAsia" w:eastAsia="楷体_GB2312" w:cs="楷体_GB2312"/>
          <w:bCs/>
        </w:rPr>
        <w:t>（七）加大技术改造力度。</w:t>
      </w:r>
      <w:r>
        <w:rPr>
          <w:rFonts w:hint="eastAsia"/>
        </w:rPr>
        <w:t>对单位能耗高、单位污染物排放量大的项目列入清单管理，压减排污量，严控产能扩张，倒逼企业加快节能减排和清洁生产，推动新旧动能转换。</w:t>
      </w:r>
      <w:r>
        <w:rPr>
          <w:rFonts w:hint="eastAsia" w:eastAsia="楷体_GB2312" w:cs="楷体_GB2312"/>
        </w:rPr>
        <w:t>（责任单位：县发改委、县经信局、县生态环境分局，完成时限：长期坚持）</w:t>
      </w:r>
    </w:p>
    <w:p>
      <w:pPr>
        <w:spacing w:line="560" w:lineRule="exact"/>
        <w:ind w:firstLine="643"/>
        <w:rPr>
          <w:rFonts w:hint="eastAsia"/>
        </w:rPr>
      </w:pPr>
      <w:r>
        <w:rPr>
          <w:rFonts w:hint="eastAsia" w:eastAsia="楷体_GB2312" w:cs="楷体_GB2312"/>
          <w:bCs/>
        </w:rPr>
        <w:t>（八）合理调配总量控制指标。</w:t>
      </w:r>
      <w:r>
        <w:rPr>
          <w:rFonts w:hint="eastAsia"/>
        </w:rPr>
        <w:t>摸排现有企业污染物排放总量指标使用情况，对“十四五”以来批而未用、闲置、使用率低的总量指标实施统筹调配，为先进产能、优质项目腾出环境空间。对单位排放低、增加值高的项目，在主要污染物总量安排上优先保障。</w:t>
      </w:r>
      <w:r>
        <w:rPr>
          <w:rFonts w:hint="eastAsia" w:eastAsia="楷体_GB2312" w:cs="楷体_GB2312"/>
        </w:rPr>
        <w:t>（责任单位：县生态环境分局，完成时限：长期坚持）</w:t>
      </w:r>
    </w:p>
    <w:p>
      <w:pPr>
        <w:spacing w:line="560" w:lineRule="exact"/>
        <w:ind w:firstLine="643"/>
        <w:rPr>
          <w:rFonts w:hint="eastAsia"/>
        </w:rPr>
      </w:pPr>
      <w:r>
        <w:rPr>
          <w:rFonts w:hint="eastAsia" w:eastAsia="楷体_GB2312" w:cs="楷体_GB2312"/>
          <w:bCs/>
        </w:rPr>
        <w:t>（九）坚决淘汰落后产能。</w:t>
      </w:r>
      <w:r>
        <w:rPr>
          <w:rFonts w:hint="eastAsia"/>
        </w:rPr>
        <w:t>建立“散乱污”企业动态管理机制，持续开展专项整治行动，严防“散乱污”企业项目建设和已取缔的相关企业异地转移、死灰复燃。</w:t>
      </w:r>
      <w:r>
        <w:rPr>
          <w:rFonts w:hint="eastAsia" w:eastAsia="楷体_GB2312" w:cs="楷体_GB2312"/>
        </w:rPr>
        <w:t>（责任单位：县生态环境分局、县经信局，完成时限：长期坚持）</w:t>
      </w:r>
    </w:p>
    <w:p>
      <w:pPr>
        <w:spacing w:line="560" w:lineRule="exact"/>
        <w:ind w:firstLine="640"/>
        <w:rPr>
          <w:rFonts w:hint="eastAsia" w:eastAsia="黑体" w:cs="黑体"/>
        </w:rPr>
      </w:pPr>
      <w:r>
        <w:rPr>
          <w:rFonts w:hint="eastAsia" w:eastAsia="黑体" w:cs="黑体"/>
        </w:rPr>
        <w:t>三、强化正面清单引导，稳定提升企业发展能力</w:t>
      </w:r>
    </w:p>
    <w:p>
      <w:pPr>
        <w:spacing w:line="560" w:lineRule="exact"/>
        <w:ind w:firstLine="643"/>
        <w:rPr>
          <w:rFonts w:hint="eastAsia"/>
        </w:rPr>
      </w:pPr>
      <w:r>
        <w:rPr>
          <w:rFonts w:hint="eastAsia" w:eastAsia="楷体_GB2312" w:cs="楷体_GB2312"/>
          <w:bCs/>
        </w:rPr>
        <w:t>（十）完善“绿色通道”服务机制。</w:t>
      </w:r>
      <w:r>
        <w:rPr>
          <w:rFonts w:hint="eastAsia"/>
        </w:rPr>
        <w:t>对列入环境影响评价正面清单、环境污染较小的项目，简化审批程序，确保项目快落地、早见效。在舒城经济开发区实行“环境影响区域评估+环境标准”，加强规划环评宏观管理，对于符合园区主导产业环评的新进企业可减免相关手续。</w:t>
      </w:r>
      <w:r>
        <w:rPr>
          <w:rFonts w:hint="eastAsia" w:eastAsia="楷体_GB2312" w:cs="楷体_GB2312"/>
        </w:rPr>
        <w:t>（责任单位：县开发区管委、县生态环境分局，完成时限：2022年6月、长期坚持）</w:t>
      </w:r>
    </w:p>
    <w:p>
      <w:pPr>
        <w:spacing w:line="560" w:lineRule="exact"/>
        <w:ind w:firstLine="643"/>
        <w:rPr>
          <w:rFonts w:hint="eastAsia"/>
        </w:rPr>
      </w:pPr>
      <w:r>
        <w:rPr>
          <w:rFonts w:hint="eastAsia" w:eastAsia="楷体_GB2312" w:cs="楷体_GB2312"/>
          <w:bCs/>
        </w:rPr>
        <w:t>（十一）落实差异化执法监管。</w:t>
      </w:r>
      <w:r>
        <w:rPr>
          <w:rFonts w:hint="eastAsia"/>
        </w:rPr>
        <w:t>对环境管理规范、污染治理设施先进、三个年度内无环境违法行为等相关情形的企业纳入执法正面清单，以非现场检查为主，降低执法频次，提升企业生产效能。</w:t>
      </w:r>
      <w:r>
        <w:rPr>
          <w:rFonts w:hint="eastAsia" w:eastAsia="楷体_GB2312" w:cs="楷体_GB2312"/>
        </w:rPr>
        <w:t>（责任单位：县生态环境分局，完成时限：2022年6月、长期坚持）</w:t>
      </w:r>
    </w:p>
    <w:p>
      <w:pPr>
        <w:spacing w:line="560" w:lineRule="exact"/>
        <w:ind w:firstLine="643"/>
        <w:rPr>
          <w:rFonts w:hint="eastAsia"/>
        </w:rPr>
      </w:pPr>
      <w:r>
        <w:rPr>
          <w:rFonts w:hint="eastAsia" w:eastAsia="楷体_GB2312" w:cs="楷体_GB2312"/>
          <w:bCs/>
        </w:rPr>
        <w:t>（十二）优化实施精准管控。</w:t>
      </w:r>
      <w:r>
        <w:rPr>
          <w:rFonts w:hint="eastAsia"/>
        </w:rPr>
        <w:t>进一步完善应急减排措施，加大秋冬季污染天气期间工业企业生产调控力度，实施重点行业绩效管理，将建材、铸造、有色金属、化工等高排放企业错峰生产细化到生产线、工序和设备，杜绝“一刀切”。</w:t>
      </w:r>
      <w:r>
        <w:rPr>
          <w:rFonts w:hint="eastAsia" w:eastAsia="楷体_GB2312" w:cs="楷体_GB2312"/>
        </w:rPr>
        <w:t>（责任单位：县发改委、县经信局、县生态环境分局，完成时限：2022年9月、长期坚持）</w:t>
      </w:r>
    </w:p>
    <w:p>
      <w:pPr>
        <w:spacing w:line="560" w:lineRule="exact"/>
        <w:ind w:firstLine="643"/>
        <w:rPr>
          <w:rFonts w:hint="eastAsia"/>
        </w:rPr>
      </w:pPr>
      <w:r>
        <w:rPr>
          <w:rFonts w:hint="eastAsia" w:eastAsia="楷体_GB2312" w:cs="楷体_GB2312"/>
          <w:bCs/>
        </w:rPr>
        <w:t>（十三）加大工业企业节能力度。</w:t>
      </w:r>
      <w:r>
        <w:rPr>
          <w:rFonts w:hint="eastAsia"/>
        </w:rPr>
        <w:t>对2000吨以上、5000吨标准煤以下工业企业实施节能诊断“一企一策”，全面诊断企业工艺技术装备、能源利用效率、能源管理体系，推进工业企业能效对标，充分挖掘节能潜力。</w:t>
      </w:r>
      <w:r>
        <w:rPr>
          <w:rFonts w:hint="eastAsia" w:eastAsia="楷体_GB2312" w:cs="楷体_GB2312"/>
        </w:rPr>
        <w:t>（责任单位：县发改委、县经信局，完成时限：2022年底、长期坚持）</w:t>
      </w:r>
    </w:p>
    <w:p>
      <w:pPr>
        <w:spacing w:line="560" w:lineRule="exact"/>
        <w:ind w:firstLine="640"/>
        <w:rPr>
          <w:rFonts w:hint="eastAsia" w:eastAsia="黑体" w:cs="黑体"/>
        </w:rPr>
      </w:pPr>
      <w:r>
        <w:rPr>
          <w:rFonts w:hint="eastAsia" w:eastAsia="黑体" w:cs="黑体"/>
        </w:rPr>
        <w:t>四、强化环评服务效能，加快促进重点项目落地</w:t>
      </w:r>
    </w:p>
    <w:p>
      <w:pPr>
        <w:spacing w:line="560" w:lineRule="exact"/>
        <w:ind w:firstLine="643"/>
        <w:rPr>
          <w:rFonts w:hint="eastAsia"/>
        </w:rPr>
      </w:pPr>
      <w:r>
        <w:rPr>
          <w:rFonts w:hint="eastAsia" w:eastAsia="楷体_GB2312" w:cs="楷体_GB2312"/>
          <w:bCs/>
        </w:rPr>
        <w:t>（十四）建立重点项目环评跟踪服务。</w:t>
      </w:r>
      <w:r>
        <w:rPr>
          <w:rFonts w:hint="eastAsia"/>
        </w:rPr>
        <w:t>对亿元以上项目，提供环评“一站式”服务，提前介入，全程跟踪，动态调度，主动协调，确保项目及时开工。</w:t>
      </w:r>
      <w:r>
        <w:rPr>
          <w:rFonts w:hint="eastAsia" w:eastAsia="楷体_GB2312" w:cs="楷体_GB2312"/>
        </w:rPr>
        <w:t>（责任单位：县生态环境分局，完成时限：长期坚持）</w:t>
      </w:r>
    </w:p>
    <w:p>
      <w:pPr>
        <w:spacing w:line="560" w:lineRule="exact"/>
        <w:ind w:firstLine="643"/>
        <w:rPr>
          <w:rFonts w:hint="eastAsia"/>
        </w:rPr>
      </w:pPr>
      <w:r>
        <w:rPr>
          <w:rFonts w:hint="eastAsia" w:eastAsia="楷体_GB2312" w:cs="楷体_GB2312"/>
          <w:bCs/>
        </w:rPr>
        <w:t>（十五）加快项目审批时效。</w:t>
      </w:r>
      <w:r>
        <w:rPr>
          <w:rFonts w:hint="eastAsia"/>
        </w:rPr>
        <w:t>坚持“马上就办”，建设项目环境影响报告表6个工作日内完成审批。建设项目环境影响报告书15个工作日内完成初审报市级审批。生态红线、土地林地核查及报批等在规定时间内尽早完成。</w:t>
      </w:r>
      <w:r>
        <w:rPr>
          <w:rFonts w:hint="eastAsia" w:eastAsia="楷体_GB2312" w:cs="楷体_GB2312"/>
        </w:rPr>
        <w:t>（责任单位：县生态环境分局、县自然资源局、县林业局，完成时限：长期坚持）</w:t>
      </w:r>
    </w:p>
    <w:p>
      <w:pPr>
        <w:spacing w:line="560" w:lineRule="exact"/>
        <w:ind w:firstLine="643"/>
        <w:rPr>
          <w:rFonts w:hint="eastAsia"/>
        </w:rPr>
      </w:pPr>
      <w:r>
        <w:rPr>
          <w:rFonts w:hint="eastAsia" w:eastAsia="楷体_GB2312" w:cs="楷体_GB2312"/>
          <w:bCs/>
        </w:rPr>
        <w:t>（十六）推进容缺受理改革。</w:t>
      </w:r>
      <w:r>
        <w:rPr>
          <w:rFonts w:hint="eastAsia"/>
        </w:rPr>
        <w:t>在全县大建设、重大工业投资项目等重点领域，推行“缺件受理、审查、先办后补”的工作模式，实现多部门并联审批。</w:t>
      </w:r>
      <w:r>
        <w:rPr>
          <w:rFonts w:hint="eastAsia" w:eastAsia="楷体_GB2312" w:cs="楷体_GB2312"/>
        </w:rPr>
        <w:t>（责任单位：县生态环境分局、县发改委、县自然资源局、县应急局、县住建局等，完成时限：长期坚持）</w:t>
      </w:r>
    </w:p>
    <w:p>
      <w:pPr>
        <w:spacing w:line="560" w:lineRule="exact"/>
        <w:ind w:firstLine="640"/>
        <w:rPr>
          <w:rFonts w:hint="eastAsia" w:eastAsia="黑体" w:cs="黑体"/>
        </w:rPr>
      </w:pPr>
      <w:r>
        <w:rPr>
          <w:rFonts w:hint="eastAsia" w:eastAsia="黑体" w:cs="黑体"/>
        </w:rPr>
        <w:t>五、加强政策激励，助力经济社会绿色转型</w:t>
      </w:r>
    </w:p>
    <w:p>
      <w:pPr>
        <w:spacing w:line="560" w:lineRule="exact"/>
        <w:ind w:firstLine="643"/>
        <w:rPr>
          <w:rFonts w:hint="eastAsia"/>
        </w:rPr>
      </w:pPr>
      <w:r>
        <w:rPr>
          <w:rFonts w:hint="eastAsia" w:eastAsia="楷体_GB2312" w:cs="楷体_GB2312"/>
          <w:bCs/>
        </w:rPr>
        <w:t>（十七）积极争取项目支持。</w:t>
      </w:r>
      <w:r>
        <w:rPr>
          <w:rFonts w:hint="eastAsia"/>
        </w:rPr>
        <w:t>大力争取污染防治、节能降碳、生态补偿等项目资金，统筹项目安排，严格使用方向，反哺企业发展。结合自然保护地环境问题整改，谋划申报国家和省级EOD项目，推动生态环境导向的开发。</w:t>
      </w:r>
      <w:r>
        <w:rPr>
          <w:rFonts w:hint="eastAsia" w:eastAsia="楷体_GB2312" w:cs="楷体_GB2312"/>
        </w:rPr>
        <w:t>（责任单位：县生态环境分局、县发改委、县财政局、县城投公司，完成时限：长期坚持）</w:t>
      </w:r>
    </w:p>
    <w:p>
      <w:pPr>
        <w:spacing w:line="560" w:lineRule="exact"/>
        <w:ind w:firstLine="643"/>
        <w:rPr>
          <w:rFonts w:hint="eastAsia"/>
        </w:rPr>
      </w:pPr>
      <w:r>
        <w:rPr>
          <w:rFonts w:hint="eastAsia" w:eastAsia="楷体_GB2312" w:cs="楷体_GB2312"/>
          <w:bCs/>
        </w:rPr>
        <w:t>（十八）大力开展绿色创建。</w:t>
      </w:r>
      <w:r>
        <w:rPr>
          <w:rFonts w:hint="eastAsia"/>
        </w:rPr>
        <w:t>加强绿色园区创建，支持工业企业申报绿色工厂、绿色产品认证、政府质量奖及各类名牌产品、商标等。争创国家级“绿水青山就是金山银山”实践基地，推动环境质量和经济发展同步提升。</w:t>
      </w:r>
      <w:r>
        <w:rPr>
          <w:rFonts w:hint="eastAsia" w:eastAsia="楷体_GB2312" w:cs="楷体_GB2312"/>
        </w:rPr>
        <w:t>（责任单位：县开发区管委，县经信局、县市场监管局、县生态环境分局、县农业农村局、县自然资源局、县林业局等相关单位，完成时限:长期坚持）</w:t>
      </w:r>
    </w:p>
    <w:p>
      <w:pPr>
        <w:spacing w:line="560" w:lineRule="exact"/>
        <w:ind w:firstLine="643"/>
        <w:rPr>
          <w:rFonts w:hint="eastAsia"/>
        </w:rPr>
      </w:pPr>
      <w:r>
        <w:rPr>
          <w:rFonts w:hint="eastAsia" w:eastAsia="楷体_GB2312" w:cs="楷体_GB2312"/>
          <w:bCs/>
        </w:rPr>
        <w:t>（十九）推进生态优势加速转化。</w:t>
      </w:r>
      <w:r>
        <w:rPr>
          <w:rFonts w:hint="eastAsia"/>
        </w:rPr>
        <w:t>落实大别山生态补偿政策，推动建立龙河口引水工程生态补偿机制，探索开展县内主要河流上下游生态补偿。实施生态振兴示范试点，支持社会资本参与生态修复，多渠道转化生态产品价值。鼓励“绿三角”乡镇依托洁净水源、清洁空气等自然本底条件，在严格生态环境保护的前提下，可结合“三线”资源运用，适度发展数字经济、洁净医药等环境敏感性产业和康养项目。</w:t>
      </w:r>
      <w:r>
        <w:rPr>
          <w:rFonts w:hint="eastAsia" w:eastAsia="楷体_GB2312" w:cs="楷体_GB2312"/>
        </w:rPr>
        <w:t>（责任单位：县发改委、县经信局、县水利局、县生态环境分局，完成时限：2023年底、长期坚持）</w:t>
      </w:r>
    </w:p>
    <w:p>
      <w:pPr>
        <w:spacing w:line="560" w:lineRule="exact"/>
        <w:ind w:firstLine="643"/>
        <w:rPr>
          <w:rFonts w:hint="eastAsia"/>
        </w:rPr>
      </w:pPr>
      <w:r>
        <w:rPr>
          <w:rFonts w:hint="eastAsia" w:eastAsia="楷体_GB2312" w:cs="楷体_GB2312"/>
          <w:bCs/>
        </w:rPr>
        <w:t>（二十）优化落实财税金融政策。</w:t>
      </w:r>
      <w:r>
        <w:rPr>
          <w:rFonts w:hint="eastAsia"/>
        </w:rPr>
        <w:t>落实退税贴息、金融贷款、融资担保等政策，重点支持环境效益高、发展潜力大、符合县域产业发展定位的企业。适时组建绿色发展基金，支持节能环保产业做强做优。探索组建“两山”银行，提高碳汇能力和绿色收入。</w:t>
      </w:r>
      <w:r>
        <w:rPr>
          <w:rFonts w:hint="eastAsia" w:eastAsia="楷体_GB2312" w:cs="楷体_GB2312"/>
        </w:rPr>
        <w:t>（责任单位：县发改委、县经信局、县财政局、县生态环境分局、县税务局、县农业农村局、县金融服务中心，完成时限：2023年底、长期坚持）</w:t>
      </w:r>
    </w:p>
    <w:p>
      <w:pPr>
        <w:spacing w:line="560" w:lineRule="exact"/>
        <w:ind w:firstLine="640"/>
        <w:rPr>
          <w:rFonts w:hint="eastAsia"/>
        </w:rPr>
      </w:pPr>
      <w:r>
        <w:rPr>
          <w:rFonts w:hint="eastAsia"/>
        </w:rPr>
        <w:t>各地各相关单位要细化具体措施，倒排工期，狠抓落实，每季度向县环委办报送工作进展，县里将定期通报落实情况，确保以有力的生态环境要素支撑高质量发展，在为民办实事、为企优环境上提供更好服务。</w:t>
      </w:r>
    </w:p>
    <w:p>
      <w:pPr>
        <w:spacing w:line="560" w:lineRule="exact"/>
        <w:ind w:firstLine="640"/>
        <w:rPr>
          <w:rFonts w:hint="eastAsia"/>
        </w:rPr>
      </w:pPr>
    </w:p>
    <w:p>
      <w:pPr>
        <w:spacing w:line="560" w:lineRule="exact"/>
        <w:ind w:firstLine="640"/>
        <w:rPr>
          <w:rFonts w:hint="eastAsia"/>
        </w:rPr>
      </w:pPr>
      <w:r>
        <w:rPr>
          <w:rFonts w:hint="eastAsia"/>
        </w:rPr>
        <w:t>附件：名词解释</w:t>
      </w:r>
    </w:p>
    <w:p>
      <w:pPr>
        <w:ind w:firstLine="640"/>
        <w:rPr>
          <w:rFonts w:hint="eastAsia"/>
        </w:rPr>
      </w:pPr>
    </w:p>
    <w:p>
      <w:pPr>
        <w:ind w:firstLine="640"/>
        <w:rPr>
          <w:rFonts w:hint="eastAsia"/>
        </w:rPr>
      </w:pPr>
    </w:p>
    <w:p>
      <w:pPr>
        <w:ind w:firstLine="640"/>
        <w:rPr>
          <w:rFonts w:hint="eastAsia"/>
        </w:rPr>
      </w:pPr>
    </w:p>
    <w:p>
      <w:pPr>
        <w:ind w:firstLine="640"/>
        <w:rPr>
          <w:rFonts w:hint="eastAsia"/>
        </w:rPr>
      </w:pPr>
    </w:p>
    <w:p>
      <w:pPr>
        <w:ind w:firstLine="640"/>
        <w:rPr>
          <w:rFonts w:hint="eastAsia"/>
        </w:rPr>
      </w:pPr>
    </w:p>
    <w:p>
      <w:pPr>
        <w:ind w:firstLine="640"/>
        <w:rPr>
          <w:rFonts w:hint="eastAsia"/>
        </w:rPr>
      </w:pPr>
    </w:p>
    <w:p>
      <w:pPr>
        <w:ind w:firstLine="640"/>
        <w:rPr>
          <w:rFonts w:hint="eastAsia"/>
        </w:rPr>
      </w:pPr>
    </w:p>
    <w:p>
      <w:pPr>
        <w:ind w:firstLine="640"/>
        <w:rPr>
          <w:rFonts w:hint="eastAsia"/>
        </w:rPr>
      </w:pPr>
    </w:p>
    <w:p>
      <w:pPr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</w:p>
    <w:p>
      <w:pPr>
        <w:pStyle w:val="2"/>
        <w:rPr>
          <w:rFonts w:hint="eastAsia"/>
        </w:rPr>
      </w:pPr>
      <w:r>
        <w:rPr>
          <w:rFonts w:hint="eastAsia"/>
        </w:rPr>
        <w:t>名词解释</w:t>
      </w:r>
    </w:p>
    <w:p>
      <w:pPr>
        <w:spacing w:line="560" w:lineRule="exact"/>
        <w:ind w:firstLine="640"/>
        <w:rPr>
          <w:rFonts w:hint="eastAsia"/>
        </w:rPr>
      </w:pPr>
    </w:p>
    <w:p>
      <w:pPr>
        <w:spacing w:line="560" w:lineRule="exact"/>
        <w:ind w:firstLine="640"/>
        <w:rPr>
          <w:rFonts w:hint="eastAsia"/>
        </w:rPr>
      </w:pPr>
      <w:r>
        <w:rPr>
          <w:rFonts w:hint="eastAsia" w:ascii="楷体_GB2312" w:hAnsi="楷体_GB2312" w:eastAsia="楷体_GB2312" w:cs="楷体_GB2312"/>
        </w:rPr>
        <w:t>绿岛：</w:t>
      </w:r>
      <w:r>
        <w:rPr>
          <w:rFonts w:hint="eastAsia"/>
        </w:rPr>
        <w:t>是指由政府投资或政府组织多元投资，配套建有可供多个市场主体共享的环保公共基础设施，实现污染物统一收集、集中治理、稳定达标排放的集中点（片区）。集中点（片区）内的共享环境基础设施为“绿岛”项目。</w:t>
      </w:r>
    </w:p>
    <w:p>
      <w:pPr>
        <w:spacing w:line="560" w:lineRule="exact"/>
        <w:ind w:firstLine="640"/>
        <w:rPr>
          <w:rFonts w:hint="eastAsia"/>
        </w:rPr>
      </w:pPr>
      <w:r>
        <w:rPr>
          <w:rFonts w:hint="eastAsia"/>
        </w:rPr>
        <w:t>EOD：生态环境导向的开发模式，（Ecology-Oriented Development，简称EOD模式）。EOD模式是以生态文明思想为引领，以可持续发展为目标，以生态保护和环境治理为基础，以特色产业运营为支撑，以区域综合开发为载体，采取产业链延伸、联合经营、组合开发等方式，推动公益性较强、收益性差的生态环境治理项目与收益较好的关联产业有效融合，统筹推进，一体化实施，将生态环境治理带来的经济价值内部化，是一种创新性的项目组织实施方式。</w:t>
      </w:r>
    </w:p>
    <w:p>
      <w:pPr>
        <w:spacing w:line="560" w:lineRule="exact"/>
        <w:ind w:firstLine="640"/>
        <w:rPr>
          <w:rFonts w:hint="eastAsia"/>
        </w:rPr>
      </w:pPr>
      <w:r>
        <w:rPr>
          <w:rFonts w:hint="eastAsia" w:ascii="楷体_GB2312" w:hAnsi="楷体_GB2312" w:eastAsia="楷体_GB2312" w:cs="楷体_GB2312"/>
        </w:rPr>
        <w:t>碳汇：</w:t>
      </w:r>
      <w:r>
        <w:rPr>
          <w:rFonts w:hint="eastAsia"/>
        </w:rPr>
        <w:t>是指通过植树造林、森林管理、植被恢复等措施，利用植物光合作用吸收大气中的二氧化碳，并将其固定在植被和土壤中，从而减少温室气体在大气中浓度的过程、活动或机制。</w:t>
      </w:r>
    </w:p>
    <w:bookmarkEnd w:id="1"/>
    <w:p>
      <w:pPr>
        <w:spacing w:after="289" w:afterLines="50" w:line="520" w:lineRule="exact"/>
        <w:rPr>
          <w:rFonts w:hint="eastAsia"/>
        </w:rPr>
      </w:pPr>
    </w:p>
    <w:p>
      <w:pPr>
        <w:spacing w:line="480" w:lineRule="exact"/>
        <w:ind w:firstLine="276" w:firstLineChars="100"/>
        <w:rPr>
          <w:rFonts w:hint="eastAsia"/>
          <w:spacing w:val="-4"/>
          <w:sz w:val="28"/>
          <w:szCs w:val="28"/>
        </w:rPr>
      </w:pPr>
      <w:r>
        <w:rPr>
          <w:rFonts w:hint="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3810</wp:posOffset>
                </wp:positionV>
                <wp:extent cx="5615940" cy="3175"/>
                <wp:effectExtent l="0" t="9525" r="3810" b="15875"/>
                <wp:wrapNone/>
                <wp:docPr id="4" name="直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true">
                          <a:off x="0" y="0"/>
                          <a:ext cx="5615940" cy="317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9" o:spid="_x0000_s1026" o:spt="20" style="position:absolute;left:0pt;flip:y;margin-top:0.3pt;height:0.25pt;width:442.2pt;mso-position-horizontal:center;mso-position-horizontal-relative:margin;z-index:251661312;mso-width-relative:page;mso-height-relative:page;" filled="f" stroked="t" coordsize="21600,21600" o:gfxdata="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BYAAABkcnMvUEsBAhQAFAAAAAgAh07iQExm&#10;YmHSAAAAAwEAAA8AAAAAAAAAAQAgAAAAOAAAAGRycy9kb3ducmV2LnhtbFBLAQIUABQAAAAIAIdO&#10;4kBUGrQP2gEAAKIDAAAOAAAAAAAAAAEAIAAAADcBAABkcnMvZTJvRG9jLnhtbFBLBQYAAAAABgAG&#10;AFkBAACD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pacing w:val="-4"/>
          <w:sz w:val="28"/>
          <w:szCs w:val="28"/>
        </w:rPr>
        <w:t>抄送</w:t>
      </w:r>
      <w:bookmarkStart w:id="2" w:name="抄送"/>
      <w:bookmarkEnd w:id="2"/>
      <w:r>
        <w:rPr>
          <w:rFonts w:hint="eastAsia"/>
          <w:spacing w:val="-4"/>
          <w:sz w:val="28"/>
          <w:szCs w:val="28"/>
        </w:rPr>
        <w:t>：安徽省发展和改革委员会、省生态环境厅；中共六安市委办公室、</w:t>
      </w:r>
    </w:p>
    <w:p>
      <w:pPr>
        <w:spacing w:line="480" w:lineRule="exact"/>
        <w:ind w:firstLine="1072" w:firstLineChars="400"/>
        <w:rPr>
          <w:rFonts w:hint="eastAsia"/>
          <w:spacing w:val="-4"/>
          <w:sz w:val="28"/>
          <w:szCs w:val="28"/>
        </w:rPr>
      </w:pPr>
      <w:r>
        <w:rPr>
          <w:rFonts w:hint="eastAsia"/>
          <w:spacing w:val="-4"/>
          <w:sz w:val="28"/>
          <w:szCs w:val="28"/>
        </w:rPr>
        <w:t>市政府办公室；六安市环委办。</w:t>
      </w:r>
    </w:p>
    <w:p>
      <w:pPr>
        <w:tabs>
          <w:tab w:val="left" w:pos="8000"/>
        </w:tabs>
        <w:spacing w:before="115" w:beforeLines="20" w:line="440" w:lineRule="exact"/>
        <w:ind w:firstLine="276" w:firstLine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431800</wp:posOffset>
                </wp:positionV>
                <wp:extent cx="5615940" cy="0"/>
                <wp:effectExtent l="0" t="9525" r="3810" b="9525"/>
                <wp:wrapNone/>
                <wp:docPr id="3" name="直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8" o:spid="_x0000_s1026" o:spt="20" style="position:absolute;left:0pt;margin-top:34pt;height:0pt;width:442.2pt;mso-position-horizontal:center;mso-position-horizontal-relative:margin;z-index:251660288;mso-width-relative:page;mso-height-relative:page;" filled="f" stroked="t" coordsize="21600,21600" o:gfxdata="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BYAAABkcnMvUEsBAhQAFAAAAAgAh07iQCTgVFvTAAAABgEA&#10;AA8AAAAAAAAAAQAgAAAAOAAAAGRycy9kb3ducmV2LnhtbFBLAQIUABQAAAAIAIdO4kBTs3mR0AEA&#10;AJIDAAAOAAAAAAAAAAEAIAAAADgBAABkcnMvZTJvRG9jLnhtbFBLBQYAAAAABgAGAFkBAAB6BQAA&#10;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50800</wp:posOffset>
                </wp:positionV>
                <wp:extent cx="5615940" cy="0"/>
                <wp:effectExtent l="0" t="0" r="0" b="0"/>
                <wp:wrapNone/>
                <wp:docPr id="2" name="直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17" o:spid="_x0000_s1026" o:spt="20" style="position:absolute;left:0pt;margin-top:4pt;height:0pt;width:442.2pt;mso-position-horizontal:center;mso-position-horizontal-relative:margin;z-index:251659264;mso-width-relative:page;mso-height-relative:page;" filled="f" stroked="t" coordsize="21600,21600" o:gfxdata="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BYAAABkcnMvUEsBAhQAFAAAAAgAh07iQKPJrMvTAAAABAEA&#10;AA8AAAAAAAAAAQAgAAAAOAAAAGRycy9kb3ducmV2LnhtbFBLAQIUABQAAAAIAIdO4kB3Coij0AEA&#10;AJIDAAAOAAAAAAAAAAEAIAAAADgBAABkcnMvZTJvRG9jLnhtbFBLBQYAAAAABgAGAFkBAAB6BQAA&#10;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8"/>
          <w:szCs w:val="28"/>
        </w:rPr>
        <w:t>舒城县人民政府办公室</w:t>
      </w:r>
      <w:bookmarkStart w:id="3" w:name="印发时间"/>
      <w:r>
        <w:rPr>
          <w:rFonts w:hint="eastAsia"/>
          <w:sz w:val="28"/>
          <w:szCs w:val="28"/>
        </w:rPr>
        <w:t xml:space="preserve">                     </w:t>
      </w:r>
      <w:bookmarkEnd w:id="3"/>
      <w:bookmarkStart w:id="4" w:name="印发日期"/>
      <w:r>
        <w:rPr>
          <w:rFonts w:hint="eastAsia"/>
          <w:sz w:val="28"/>
          <w:szCs w:val="28"/>
        </w:rPr>
        <w:t>2022年3月28日</w:t>
      </w:r>
      <w:bookmarkEnd w:id="4"/>
      <w:r>
        <w:rPr>
          <w:rFonts w:hint="eastAsia"/>
          <w:sz w:val="28"/>
          <w:szCs w:val="28"/>
        </w:rPr>
        <w:t>印发</w:t>
      </w:r>
    </w:p>
    <w:sectPr>
      <w:footerReference r:id="rId3" w:type="default"/>
      <w:footerReference r:id="rId4" w:type="even"/>
      <w:pgSz w:w="11907" w:h="16840"/>
      <w:pgMar w:top="2098" w:right="1474" w:bottom="1985" w:left="1588" w:header="0" w:footer="1531" w:gutter="0"/>
      <w:cols w:space="425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1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00"/>
    <w:family w:val="modern"/>
    <w:pitch w:val="default"/>
    <w:sig w:usb0="00000001" w:usb1="080E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黑体">
    <w:altName w:val="方正黑体_GBK"/>
    <w:panose1 w:val="02010600030101010101"/>
    <w:charset w:val="00"/>
    <w:family w:val="auto"/>
    <w:pitch w:val="default"/>
    <w:sig w:usb0="800002BF" w:usb1="38CF7CFA" w:usb2="00000016" w:usb3="00000000" w:csb0="00040001" w:csb1="00000000"/>
  </w:font>
  <w:font w:name="楷体_GB2312">
    <w:altName w:val="方正楷体_GBK"/>
    <w:panose1 w:val="02010609030101010101"/>
    <w:charset w:val="00"/>
    <w:family w:val="modern"/>
    <w:pitch w:val="default"/>
    <w:sig w:usb0="00000001" w:usb1="080E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right" w:pos="8532"/>
        <w:tab w:val="clear" w:pos="8306"/>
      </w:tabs>
      <w:ind w:right="313" w:firstLine="360"/>
      <w:jc w:val="center"/>
      <w:rPr>
        <w:rFonts w:hint="eastAsia"/>
        <w:sz w:val="28"/>
        <w:szCs w:val="28"/>
      </w:rPr>
    </w:pPr>
    <w:r>
      <w:rPr>
        <w:rStyle w:val="8"/>
        <w:rFonts w:hint="eastAsia"/>
      </w:rPr>
      <w:t xml:space="preserve">                                           </w:t>
    </w:r>
    <w:r>
      <w:rPr>
        <w:rFonts w:hint="eastAsia"/>
        <w:kern w:val="0"/>
        <w:sz w:val="28"/>
        <w:szCs w:val="21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/>
      </w:rPr>
      <w:t>1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/>
        <w:kern w:val="0"/>
        <w:sz w:val="28"/>
        <w:szCs w:val="21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firstLine="320" w:firstLineChars="100"/>
      <w:rPr>
        <w:rStyle w:val="8"/>
      </w:rPr>
    </w:pPr>
    <w:r>
      <w:rPr>
        <w:rStyle w:val="8"/>
        <w:rFonts w:hint="eastAsia"/>
      </w:rPr>
      <w:t xml:space="preserve">— </w:t>
    </w:r>
    <w:r>
      <w:rPr>
        <w:rStyle w:val="8"/>
        <w:rFonts w:ascii="宋体" w:hAnsi="宋体" w:eastAsia="宋体"/>
        <w:sz w:val="28"/>
        <w:szCs w:val="28"/>
      </w:rPr>
      <w:fldChar w:fldCharType="begin"/>
    </w:r>
    <w:r>
      <w:rPr>
        <w:rStyle w:val="8"/>
        <w:rFonts w:ascii="宋体" w:hAnsi="宋体" w:eastAsia="宋体"/>
        <w:sz w:val="28"/>
        <w:szCs w:val="28"/>
      </w:rPr>
      <w:instrText xml:space="preserve">PAGE  </w:instrText>
    </w:r>
    <w:r>
      <w:rPr>
        <w:rStyle w:val="8"/>
        <w:rFonts w:ascii="宋体" w:hAnsi="宋体" w:eastAsia="宋体"/>
        <w:sz w:val="28"/>
        <w:szCs w:val="28"/>
      </w:rPr>
      <w:fldChar w:fldCharType="separate"/>
    </w:r>
    <w:r>
      <w:rPr>
        <w:rStyle w:val="8"/>
        <w:rFonts w:ascii="宋体" w:hAnsi="宋体" w:eastAsia="宋体"/>
        <w:sz w:val="28"/>
        <w:szCs w:val="28"/>
        <w:lang/>
      </w:rPr>
      <w:t>2</w:t>
    </w:r>
    <w:r>
      <w:rPr>
        <w:rStyle w:val="8"/>
        <w:rFonts w:ascii="宋体" w:hAnsi="宋体" w:eastAsia="宋体"/>
        <w:sz w:val="28"/>
        <w:szCs w:val="28"/>
      </w:rPr>
      <w:fldChar w:fldCharType="end"/>
    </w:r>
    <w:r>
      <w:rPr>
        <w:rStyle w:val="8"/>
        <w:rFonts w:hint="eastAsia"/>
        <w:sz w:val="28"/>
        <w:szCs w:val="28"/>
      </w:rPr>
      <w:t xml:space="preserve"> </w:t>
    </w:r>
    <w:r>
      <w:rPr>
        <w:rStyle w:val="8"/>
        <w:rFonts w:hint="eastAsia"/>
      </w:rPr>
      <w:t>—</w:t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true"/>
  <w:drawingGridHorizontalSpacing w:val="158"/>
  <w:drawingGridVerticalSpacing w:val="579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umentID" w:val="{2A7E692D-93DA-4448-861A-278D552730E9}"/>
    <w:docVar w:name="DocumentName" w:val="15488 中的文档"/>
  </w:docVars>
  <w:rsids>
    <w:rsidRoot w:val="006F3832"/>
    <w:rsid w:val="00004994"/>
    <w:rsid w:val="00011618"/>
    <w:rsid w:val="00016C79"/>
    <w:rsid w:val="000444F3"/>
    <w:rsid w:val="00052764"/>
    <w:rsid w:val="00055B0F"/>
    <w:rsid w:val="000674FC"/>
    <w:rsid w:val="000C082D"/>
    <w:rsid w:val="000D23FF"/>
    <w:rsid w:val="000F2072"/>
    <w:rsid w:val="0013686B"/>
    <w:rsid w:val="001371F1"/>
    <w:rsid w:val="00196685"/>
    <w:rsid w:val="001C5776"/>
    <w:rsid w:val="001D202C"/>
    <w:rsid w:val="00224671"/>
    <w:rsid w:val="002515B9"/>
    <w:rsid w:val="0027474A"/>
    <w:rsid w:val="00282BAF"/>
    <w:rsid w:val="002848EE"/>
    <w:rsid w:val="002A75F3"/>
    <w:rsid w:val="002B3692"/>
    <w:rsid w:val="002B389E"/>
    <w:rsid w:val="002B4BF9"/>
    <w:rsid w:val="002C6F41"/>
    <w:rsid w:val="002D5152"/>
    <w:rsid w:val="002F15E5"/>
    <w:rsid w:val="002F2BA0"/>
    <w:rsid w:val="00313D26"/>
    <w:rsid w:val="003228F8"/>
    <w:rsid w:val="00330B09"/>
    <w:rsid w:val="003406AB"/>
    <w:rsid w:val="00340E12"/>
    <w:rsid w:val="00341468"/>
    <w:rsid w:val="00343D2B"/>
    <w:rsid w:val="00361367"/>
    <w:rsid w:val="0036567B"/>
    <w:rsid w:val="003659BB"/>
    <w:rsid w:val="00381FEE"/>
    <w:rsid w:val="003B0DD5"/>
    <w:rsid w:val="003C72D7"/>
    <w:rsid w:val="003E4A06"/>
    <w:rsid w:val="003E64B2"/>
    <w:rsid w:val="00420949"/>
    <w:rsid w:val="00431E2E"/>
    <w:rsid w:val="00434989"/>
    <w:rsid w:val="0043502D"/>
    <w:rsid w:val="004412C8"/>
    <w:rsid w:val="004500A1"/>
    <w:rsid w:val="0046293B"/>
    <w:rsid w:val="004A20D6"/>
    <w:rsid w:val="004B3D18"/>
    <w:rsid w:val="004B4A83"/>
    <w:rsid w:val="004D29B5"/>
    <w:rsid w:val="004D2A6D"/>
    <w:rsid w:val="00504934"/>
    <w:rsid w:val="005065B9"/>
    <w:rsid w:val="00526A90"/>
    <w:rsid w:val="00544548"/>
    <w:rsid w:val="00554621"/>
    <w:rsid w:val="005561B2"/>
    <w:rsid w:val="00577830"/>
    <w:rsid w:val="00580F97"/>
    <w:rsid w:val="005905E8"/>
    <w:rsid w:val="005974F9"/>
    <w:rsid w:val="005A70A6"/>
    <w:rsid w:val="005A7CC2"/>
    <w:rsid w:val="005B1282"/>
    <w:rsid w:val="005D4F69"/>
    <w:rsid w:val="005D50EE"/>
    <w:rsid w:val="005F7AE5"/>
    <w:rsid w:val="006044F9"/>
    <w:rsid w:val="006378FD"/>
    <w:rsid w:val="006441CF"/>
    <w:rsid w:val="00654B60"/>
    <w:rsid w:val="006569D1"/>
    <w:rsid w:val="0067542E"/>
    <w:rsid w:val="00682800"/>
    <w:rsid w:val="006A11C2"/>
    <w:rsid w:val="006A2541"/>
    <w:rsid w:val="006A4202"/>
    <w:rsid w:val="006A434B"/>
    <w:rsid w:val="006B1650"/>
    <w:rsid w:val="006E7C52"/>
    <w:rsid w:val="006F3832"/>
    <w:rsid w:val="00713E81"/>
    <w:rsid w:val="0072054D"/>
    <w:rsid w:val="00721438"/>
    <w:rsid w:val="0077082E"/>
    <w:rsid w:val="007743A4"/>
    <w:rsid w:val="00792C9D"/>
    <w:rsid w:val="007D0324"/>
    <w:rsid w:val="00810056"/>
    <w:rsid w:val="00861D31"/>
    <w:rsid w:val="0087398A"/>
    <w:rsid w:val="00892FA6"/>
    <w:rsid w:val="00893137"/>
    <w:rsid w:val="008D78BD"/>
    <w:rsid w:val="00917F05"/>
    <w:rsid w:val="00923E1E"/>
    <w:rsid w:val="00936C4C"/>
    <w:rsid w:val="00952828"/>
    <w:rsid w:val="009559C8"/>
    <w:rsid w:val="009A58E4"/>
    <w:rsid w:val="009B407D"/>
    <w:rsid w:val="009D3778"/>
    <w:rsid w:val="009E60FA"/>
    <w:rsid w:val="009F7AE0"/>
    <w:rsid w:val="00A07630"/>
    <w:rsid w:val="00A31B72"/>
    <w:rsid w:val="00A762BD"/>
    <w:rsid w:val="00AA7195"/>
    <w:rsid w:val="00AD4026"/>
    <w:rsid w:val="00B17DC3"/>
    <w:rsid w:val="00B545D3"/>
    <w:rsid w:val="00B57653"/>
    <w:rsid w:val="00B6144D"/>
    <w:rsid w:val="00B72F3F"/>
    <w:rsid w:val="00B76AE9"/>
    <w:rsid w:val="00B94D22"/>
    <w:rsid w:val="00BD1070"/>
    <w:rsid w:val="00BE6C65"/>
    <w:rsid w:val="00BF05E6"/>
    <w:rsid w:val="00C05967"/>
    <w:rsid w:val="00C200D7"/>
    <w:rsid w:val="00C36589"/>
    <w:rsid w:val="00C749ED"/>
    <w:rsid w:val="00C81405"/>
    <w:rsid w:val="00CA3D14"/>
    <w:rsid w:val="00CB44FB"/>
    <w:rsid w:val="00CF0CAD"/>
    <w:rsid w:val="00D04F53"/>
    <w:rsid w:val="00D06ED8"/>
    <w:rsid w:val="00D20376"/>
    <w:rsid w:val="00D30FA0"/>
    <w:rsid w:val="00D31435"/>
    <w:rsid w:val="00D34C74"/>
    <w:rsid w:val="00D44807"/>
    <w:rsid w:val="00D5547F"/>
    <w:rsid w:val="00D61975"/>
    <w:rsid w:val="00D711B5"/>
    <w:rsid w:val="00D74A2B"/>
    <w:rsid w:val="00D81CEF"/>
    <w:rsid w:val="00D86D6B"/>
    <w:rsid w:val="00D95464"/>
    <w:rsid w:val="00DA56A4"/>
    <w:rsid w:val="00DB0BC0"/>
    <w:rsid w:val="00DB173E"/>
    <w:rsid w:val="00DB17C7"/>
    <w:rsid w:val="00E31699"/>
    <w:rsid w:val="00E45932"/>
    <w:rsid w:val="00E50B8B"/>
    <w:rsid w:val="00E55661"/>
    <w:rsid w:val="00E57641"/>
    <w:rsid w:val="00E649E9"/>
    <w:rsid w:val="00E70667"/>
    <w:rsid w:val="00E80481"/>
    <w:rsid w:val="00EA68D1"/>
    <w:rsid w:val="00EE29A2"/>
    <w:rsid w:val="00F26B75"/>
    <w:rsid w:val="00F343D0"/>
    <w:rsid w:val="00F40911"/>
    <w:rsid w:val="00F437E9"/>
    <w:rsid w:val="00F53992"/>
    <w:rsid w:val="00F5409F"/>
    <w:rsid w:val="00FB356D"/>
    <w:rsid w:val="00FD0646"/>
    <w:rsid w:val="00FE2499"/>
    <w:rsid w:val="77EB0713"/>
    <w:rsid w:val="8EBFB5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adjustRightInd w:val="0"/>
      <w:snapToGrid w:val="0"/>
      <w:spacing w:line="600" w:lineRule="exact"/>
      <w:jc w:val="center"/>
      <w:outlineLvl w:val="0"/>
    </w:pPr>
    <w:rPr>
      <w:rFonts w:ascii="方正小标宋简体" w:hAnsi="方正小标宋简体" w:eastAsia="方正小标宋简体" w:cs="方正小标宋简体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Cs w:val="32"/>
    </w:rPr>
  </w:style>
  <w:style w:type="paragraph" w:styleId="5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customStyle="1" w:styleId="9">
    <w:name w:val="标题 1 Char"/>
    <w:link w:val="2"/>
    <w:qFormat/>
    <w:uiPriority w:val="0"/>
    <w:rPr>
      <w:rFonts w:ascii="方正小标宋简体" w:hAnsi="方正小标宋简体" w:eastAsia="方正小标宋简体" w:cs="方正小标宋简体"/>
      <w:kern w:val="2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yc</Company>
  <Pages>8</Pages>
  <Words>561</Words>
  <Characters>3204</Characters>
  <Lines>26</Lines>
  <Paragraphs>7</Paragraphs>
  <TotalTime>0</TotalTime>
  <ScaleCrop>false</ScaleCrop>
  <LinksUpToDate>false</LinksUpToDate>
  <CharactersWithSpaces>3758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2022-03-28T20:20:00Z</dcterms:created>
  <dc:creator>胡章敏</dc:creator>
  <cp:lastModifiedBy>administrator</cp:lastModifiedBy>
  <cp:lastPrinted>2022-03-28T20:20:00Z</cp:lastPrinted>
  <dcterms:modified xsi:type="dcterms:W3CDTF">2022-04-22T11:41:44Z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</Properties>
</file>