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Hlk73450909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_GBK" w:cs="方正小标宋_GBK" w:asciiTheme="majorAscii" w:hAnsiTheme="majorAscii"/>
          <w:color w:val="464445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eastAsia="方正小标宋_GBK" w:cs="方正小标宋_GBK" w:asciiTheme="majorAscii" w:hAnsiTheme="majorAscii"/>
          <w:color w:val="464445"/>
          <w:sz w:val="36"/>
          <w:szCs w:val="36"/>
          <w:shd w:val="clear" w:color="auto" w:fill="FFFFFF"/>
        </w:rPr>
        <w:t>舒城县历史建筑保护专项资金管理暂行办法</w:t>
      </w:r>
      <w:r>
        <w:rPr>
          <w:rFonts w:hint="eastAsia" w:eastAsia="方正小标宋_GBK" w:cs="方正小标宋_GBK" w:asciiTheme="majorAscii" w:hAnsiTheme="majorAscii"/>
          <w:color w:val="464445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eastAsia="方正小标宋_GBK" w:cs="方正小标宋_GBK" w:asciiTheme="majorAscii" w:hAnsiTheme="majorAscii"/>
          <w:color w:val="464445"/>
          <w:sz w:val="36"/>
          <w:szCs w:val="36"/>
          <w:shd w:val="clear" w:color="auto" w:fill="FFFFFF"/>
          <w:lang w:val="en-US" w:eastAsia="zh-CN"/>
        </w:rPr>
        <w:t>草案</w:t>
      </w:r>
      <w:r>
        <w:rPr>
          <w:rFonts w:hint="eastAsia" w:eastAsia="方正小标宋_GBK" w:cs="方正小标宋_GBK" w:asciiTheme="majorAscii" w:hAnsiTheme="majorAscii"/>
          <w:color w:val="464445"/>
          <w:sz w:val="36"/>
          <w:szCs w:val="36"/>
          <w:shd w:val="clear" w:color="auto" w:fill="FFFFFF"/>
          <w:lang w:eastAsia="zh-CN"/>
        </w:rPr>
        <w:t>）（</w:t>
      </w:r>
      <w:r>
        <w:rPr>
          <w:rFonts w:hint="eastAsia" w:eastAsia="方正小标宋_GBK" w:cs="方正小标宋_GBK" w:asciiTheme="majorAscii" w:hAnsiTheme="majorAscii"/>
          <w:color w:val="464445"/>
          <w:sz w:val="36"/>
          <w:szCs w:val="36"/>
          <w:shd w:val="clear" w:color="auto" w:fill="FFFFFF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方正小标宋_GBK" w:cs="方正小标宋_GBK" w:asciiTheme="majorAscii" w:hAnsiTheme="majorAscii"/>
          <w:color w:val="464445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为加强对历史建筑的保护，规范历史建筑保护专项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资金（下称“专项资金”）的使用和管理，严格使用程序，提高专项资金使用效益，依据《中华人民共和国预算法》《国务院历史文化名城名镇名村保护条例》，结合我县实际，制订本办法。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专项资金来源：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（一）上级专项补助资金；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（二） 县财政预算安排的资金；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（三）境内外单位、社会组织和个人的捐赠；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（四）其他依法筹集的资金。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县财政预算安排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资金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由县住建局提出年度资金使用计划，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经县政府同意后列入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县财政年度预算。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专项资金使用范围：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（一）历史建筑的日常管理维护；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（二）历史建筑基础设施的修缮改造；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（三）历史建筑资料收集、整理、建档等相关费用；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（四）申报历史建筑的专家论证、评审以及委托第三方鉴定、勘察等费用；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（五）历史建筑保护利用方案的征集、咨询、规划设计等费用；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（六）其他与保护利用历史建筑相关的费用。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第五条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专项资金使用申请审批程序。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（一）项目资金申请。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由历史建筑的所有人、管理人（代管人）、使用人或其授权委托人提交书面申请书，经村（社区）核实并出具意见报当地乡（镇）政府（开发区）审核，审核后报县住建局，并附以下资料：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1、产权单位身份证明及相关产权证书影印件；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项目招投标文件、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对历史建筑的保护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管理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修缮方案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施工合同及工程量清单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、专项资金补助申请表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；应以历史建筑所在乡镇（开发区）或县直单位为产权单位，向住建部门提出申请。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、其他相关证明文件。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以上资料由县住建局复查核实。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（二）专项资金安排计划的制定。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县住建局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根据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各乡镇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申报历史建筑实际情况，拟定年度日常维护、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修缮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改造计划及相应资金安排计划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（三）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少数历史建筑产权单位无力承担管理保护职责的，可由县住建局直接或委托第三方单位进行保护管理。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产权单位在委托具有相应资格的单位完成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  <w:t>工程预算编制后，应及时将工程预算连同施工合同等有关文件、材料报送县住建局，经审核后按照预算数的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  <w:lang w:val="en-US" w:eastAsia="zh-CN"/>
        </w:rPr>
        <w:t>30%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  <w:t>付至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  <w:lang w:eastAsia="zh-CN"/>
        </w:rPr>
        <w:t>历史建筑所在乡镇（开发区）或县直单位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  <w:t>工程竣工结算经审计后拨付余款。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历史建筑保护项目（下称“保护项目”）的勘察、设计、监理、施工以及与建设工程有关的重要设备、材料的采购应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依据相关规定执行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保护项目必须严格执行竣工验收制度。符合验收条件的建设项目，历史建筑保护责任单位应按规定及时组织竣工验收，及时办理竣工结算，并报县住建局审核。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项目建设资金应按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合同约定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拨付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给施工单位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项目竣工后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预留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质量保证金，并约定质量保修期限。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县住建局对资金拨付过程实行全程监管。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专项资金实行专款专用，资金支付严格按照国库集中支付制度有关规定执行，涉及政府采购的，按照政府采购有关法律规定执行。按照全面实施预算绩效管理有关要求，县住建局、县财政局完善绩效目标管理，做好绩效运行监控和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 历史建筑的保护修缮必须严格按照审批的概算进行控制，因设计变更或不可抗力因素确需进行投资调整的，应及时报县住建局审批。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专项资金应严格按有关财务制度执行，并按财务制度规定于年初编制资金收支计划，年终编制资金收支决算报表，总结资金使用和效益情况。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FF000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纪检监察、审计部门要加强对专项资金的监督检查，发现问题要及时予以纠正或处理，对违反相关法律、法规和规章的单位或个人要按有关规定予以处理。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464445"/>
          <w:sz w:val="30"/>
          <w:szCs w:val="30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464445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本办法由县住建局、财政局解释。</w:t>
      </w:r>
      <w:r>
        <w:rPr>
          <w:rFonts w:hint="eastAsia" w:ascii="仿宋" w:hAnsi="仿宋" w:eastAsia="仿宋" w:cs="仿宋"/>
          <w:sz w:val="30"/>
          <w:szCs w:val="30"/>
        </w:rPr>
        <w:t>本办法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自文件印发之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jQzNWQyM2Y1MWJlNzk1ODUzOTgwNDFkNDVjYzgifQ=="/>
  </w:docVars>
  <w:rsids>
    <w:rsidRoot w:val="64C21412"/>
    <w:rsid w:val="0D310E0F"/>
    <w:rsid w:val="19AF7825"/>
    <w:rsid w:val="1FB67CFF"/>
    <w:rsid w:val="254A5A35"/>
    <w:rsid w:val="292A511A"/>
    <w:rsid w:val="298118B4"/>
    <w:rsid w:val="2AB237BE"/>
    <w:rsid w:val="310444A3"/>
    <w:rsid w:val="4AC831B1"/>
    <w:rsid w:val="4BAF3531"/>
    <w:rsid w:val="53A1175F"/>
    <w:rsid w:val="56E8434C"/>
    <w:rsid w:val="5EF808F3"/>
    <w:rsid w:val="64C21412"/>
    <w:rsid w:val="717C1858"/>
    <w:rsid w:val="78960D0D"/>
    <w:rsid w:val="7DE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120" w:after="120"/>
      <w:outlineLvl w:val="3"/>
    </w:pPr>
    <w:rPr>
      <w:b/>
      <w:bCs/>
      <w:kern w:val="0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1800</Words>
  <Characters>1888</Characters>
  <Lines>0</Lines>
  <Paragraphs>0</Paragraphs>
  <TotalTime>6</TotalTime>
  <ScaleCrop>false</ScaleCrop>
  <LinksUpToDate>false</LinksUpToDate>
  <CharactersWithSpaces>1928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2022-06-16T01:26:00Z</dcterms:created>
  <dc:creator>夏云燕</dc:creator>
  <cp:lastModifiedBy>gyb1</cp:lastModifiedBy>
  <dcterms:modified xsi:type="dcterms:W3CDTF">2022-06-27T07:58:48Z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5D102A853E9C465C8D00D7D966EE23CB</vt:lpwstr>
  </property>
</Properties>
</file>