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eastAsia="方正小标宋简体"/>
          <w:color w:val="333333"/>
          <w:kern w:val="0"/>
          <w:sz w:val="44"/>
          <w:szCs w:val="44"/>
        </w:rPr>
      </w:pPr>
    </w:p>
    <w:p>
      <w:pPr>
        <w:widowControl/>
        <w:shd w:val="clear" w:color="auto" w:fill="FFFFFF"/>
        <w:spacing w:line="600" w:lineRule="exact"/>
        <w:jc w:val="center"/>
        <w:rPr>
          <w:rFonts w:hint="eastAsia" w:ascii="方正小标宋简体" w:eastAsia="方正小标宋简体"/>
          <w:color w:val="333333"/>
          <w:kern w:val="0"/>
          <w:sz w:val="44"/>
          <w:szCs w:val="44"/>
        </w:rPr>
      </w:pPr>
    </w:p>
    <w:p>
      <w:pPr>
        <w:widowControl/>
        <w:shd w:val="clear" w:color="auto" w:fill="FFFFFF"/>
        <w:spacing w:line="600" w:lineRule="exact"/>
        <w:jc w:val="both"/>
        <w:rPr>
          <w:rFonts w:hint="eastAsia" w:ascii="方正小标宋简体" w:eastAsia="方正小标宋简体"/>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eastAsia="方正小标宋简体"/>
          <w:color w:val="333333"/>
          <w:kern w:val="0"/>
          <w:sz w:val="44"/>
          <w:szCs w:val="44"/>
        </w:rPr>
      </w:pPr>
      <w:r>
        <w:rPr>
          <w:rFonts w:hint="eastAsia" w:ascii="方正小标宋简体" w:eastAsia="方正小标宋简体"/>
          <w:color w:val="333333"/>
          <w:kern w:val="0"/>
          <w:sz w:val="44"/>
          <w:szCs w:val="44"/>
        </w:rPr>
        <w:t>舒城县医疗保障局202</w:t>
      </w:r>
      <w:r>
        <w:rPr>
          <w:rFonts w:hint="eastAsia" w:ascii="方正小标宋简体" w:eastAsia="方正小标宋简体"/>
          <w:color w:val="333333"/>
          <w:kern w:val="0"/>
          <w:sz w:val="44"/>
          <w:szCs w:val="44"/>
          <w:lang w:val="en-US" w:eastAsia="zh-CN"/>
        </w:rPr>
        <w:t>1</w:t>
      </w:r>
      <w:r>
        <w:rPr>
          <w:rFonts w:hint="eastAsia" w:ascii="方正小标宋简体" w:eastAsia="方正小标宋简体"/>
          <w:color w:val="333333"/>
          <w:kern w:val="0"/>
          <w:sz w:val="44"/>
          <w:szCs w:val="44"/>
        </w:rPr>
        <w:t>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333333"/>
          <w:kern w:val="0"/>
          <w:sz w:val="44"/>
          <w:szCs w:val="44"/>
        </w:rPr>
      </w:pPr>
      <w:r>
        <w:rPr>
          <w:rFonts w:hint="eastAsia" w:ascii="方正小标宋简体" w:eastAsia="方正小标宋简体"/>
          <w:color w:val="333333"/>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333333"/>
          <w:kern w:val="0"/>
          <w:sz w:val="15"/>
          <w:szCs w:val="15"/>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lang w:val="en-US" w:eastAsia="zh-CN"/>
        </w:rPr>
      </w:pPr>
      <w:r>
        <w:rPr>
          <w:rFonts w:hint="eastAsia" w:ascii="仿宋_GB2312"/>
          <w:lang w:val="en-US" w:eastAsia="zh-CN"/>
        </w:rPr>
        <w:t>本报告</w:t>
      </w:r>
      <w:r>
        <w:rPr>
          <w:rFonts w:hint="eastAsia" w:ascii="仿宋_GB2312"/>
        </w:rPr>
        <w:t>根据《中华人民共和国政府信息公开条例》</w:t>
      </w:r>
      <w:r>
        <w:rPr>
          <w:rFonts w:hint="eastAsia" w:ascii="仿宋_GB2312"/>
          <w:lang w:val="en-US" w:eastAsia="zh-CN"/>
        </w:rPr>
        <w:t>及相关文件精神，由舒城县医疗保障局编制。</w:t>
      </w:r>
      <w:r>
        <w:rPr>
          <w:rFonts w:hint="eastAsia" w:ascii="仿宋_GB2312"/>
        </w:rPr>
        <w:t>全文包括总体情况、主动公开政府信息情况、收到和处理政府信息公开申请情况、</w:t>
      </w:r>
      <w:r>
        <w:rPr>
          <w:rFonts w:hint="eastAsia" w:ascii="仿宋_GB2312"/>
          <w:lang w:val="en-US" w:eastAsia="zh-CN"/>
        </w:rPr>
        <w:t>政府信息公开行政复议、行政诉讼情况</w:t>
      </w:r>
      <w:r>
        <w:rPr>
          <w:rFonts w:hint="eastAsia" w:ascii="仿宋_GB2312"/>
        </w:rPr>
        <w:t>、存在的主要问题和改进情况和其他需要报告的事项。报告中使用数据统计期限为</w:t>
      </w:r>
      <w:r>
        <w:rPr>
          <w:rFonts w:hint="eastAsia"/>
          <w:lang w:val="en-US" w:eastAsia="zh-CN"/>
        </w:rPr>
        <w:t>2021</w:t>
      </w:r>
      <w:r>
        <w:rPr>
          <w:rFonts w:hint="eastAsia" w:ascii="仿宋_GB2312"/>
        </w:rPr>
        <w:t>年</w:t>
      </w:r>
      <w:r>
        <w:rPr>
          <w:rFonts w:hint="eastAsia"/>
          <w:lang w:val="en-US" w:eastAsia="zh-CN"/>
        </w:rPr>
        <w:t>1</w:t>
      </w:r>
      <w:r>
        <w:rPr>
          <w:rFonts w:hint="eastAsia" w:ascii="仿宋_GB2312"/>
        </w:rPr>
        <w:t>月</w:t>
      </w:r>
      <w:r>
        <w:rPr>
          <w:rFonts w:hint="eastAsia"/>
          <w:lang w:val="en-US" w:eastAsia="zh-CN"/>
        </w:rPr>
        <w:t>1</w:t>
      </w:r>
      <w:r>
        <w:rPr>
          <w:rFonts w:hint="eastAsia" w:ascii="仿宋_GB2312"/>
        </w:rPr>
        <w:t>日至</w:t>
      </w:r>
      <w:r>
        <w:rPr>
          <w:rFonts w:hint="eastAsia"/>
          <w:lang w:val="en-US" w:eastAsia="zh-CN"/>
        </w:rPr>
        <w:t>2021</w:t>
      </w:r>
      <w:r>
        <w:rPr>
          <w:rFonts w:hint="eastAsia" w:ascii="仿宋_GB2312"/>
        </w:rPr>
        <w:t>年</w:t>
      </w:r>
      <w:r>
        <w:rPr>
          <w:rFonts w:hint="eastAsia"/>
          <w:lang w:val="en-US" w:eastAsia="zh-CN"/>
        </w:rPr>
        <w:t>12</w:t>
      </w:r>
      <w:r>
        <w:rPr>
          <w:rFonts w:hint="eastAsia" w:ascii="仿宋_GB2312"/>
        </w:rPr>
        <w:t>月</w:t>
      </w:r>
      <w:r>
        <w:rPr>
          <w:rFonts w:hint="eastAsia"/>
          <w:lang w:val="en-US" w:eastAsia="zh-CN"/>
        </w:rPr>
        <w:t>31</w:t>
      </w:r>
      <w:r>
        <w:rPr>
          <w:rFonts w:hint="eastAsia" w:ascii="仿宋_GB2312"/>
        </w:rPr>
        <w:t>日。</w:t>
      </w:r>
      <w:r>
        <w:rPr>
          <w:rFonts w:hint="eastAsia" w:ascii="仿宋_GB2312"/>
          <w:lang w:val="en-US" w:eastAsia="zh-CN"/>
        </w:rPr>
        <w:t>本年度报告的电子版可以从舒城县医保局信息公开平台（https://www.shucheng.gov.cn/public</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lang w:val="en-US" w:eastAsia="zh-CN"/>
        </w:rPr>
      </w:pPr>
      <w:r>
        <w:rPr>
          <w:rFonts w:hint="eastAsia" w:ascii="仿宋_GB2312"/>
          <w:lang w:val="en-US" w:eastAsia="zh-CN"/>
        </w:rPr>
        <w:t>/column/6599261?type=4&amp;action=list）下载，如对本年度报告有疑问，请与舒城县医保局办公室联系，地址：舒城县城关镇三里河路人力资源和社会保障局六楼，联系电话：</w:t>
      </w:r>
      <w:r>
        <w:rPr>
          <w:rFonts w:hint="eastAsia"/>
          <w:lang w:val="en-US" w:eastAsia="zh-CN"/>
        </w:rPr>
        <w:t>0564-8688226</w:t>
      </w:r>
      <w:r>
        <w:rPr>
          <w:rFonts w:hint="eastAsia" w:ascii="仿宋_GB2312"/>
          <w:lang w:val="en-US" w:eastAsia="zh-CN"/>
        </w:rPr>
        <w:t>。</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firstLine="640" w:firstLineChars="200"/>
        <w:textAlignment w:val="auto"/>
        <w:rPr>
          <w:rFonts w:ascii="黑体" w:hAnsi="黑体" w:eastAsia="黑体"/>
        </w:rPr>
      </w:pPr>
      <w:r>
        <w:rPr>
          <w:rFonts w:hint="eastAsia" w:ascii="黑体" w:hAnsi="黑体" w:eastAsia="黑体"/>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lang w:val="en-US" w:eastAsia="zh-CN"/>
        </w:rPr>
        <w:t>2021</w:t>
      </w:r>
      <w:r>
        <w:rPr>
          <w:rFonts w:hint="eastAsia" w:ascii="仿宋_GB2312" w:hAnsi="仿宋_GB2312" w:eastAsia="仿宋_GB2312" w:cs="仿宋_GB2312"/>
          <w:sz w:val="32"/>
          <w:szCs w:val="32"/>
          <w:lang w:val="en-US" w:eastAsia="zh-CN"/>
        </w:rPr>
        <w:t>年，舒城县医保局认真贯彻落实省、市、县相关决策部署，严格遵循“以公开为常态，不公开为例外”的原则，积极落实政务公开工作要点和目标任务,全力推进我县医疗保障政府信息公开工作高质量发展,切实保障人民群众对医疗保障工作的知情权、参与权、表达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ascii="黑体" w:hAnsi="黑体" w:eastAsia="黑体"/>
        </w:rPr>
      </w:pPr>
      <w:r>
        <w:rPr>
          <w:rFonts w:hint="eastAsia"/>
        </w:rPr>
        <w:t>主动公开：</w:t>
      </w:r>
      <w:r>
        <w:rPr>
          <w:rFonts w:hint="eastAsia"/>
          <w:lang w:val="en-US" w:eastAsia="zh-CN"/>
        </w:rPr>
        <w:t>根据2021</w:t>
      </w:r>
      <w:r>
        <w:rPr>
          <w:rFonts w:hint="eastAsia" w:ascii="仿宋_GB2312"/>
        </w:rPr>
        <w:t>年</w:t>
      </w:r>
      <w:r>
        <w:rPr>
          <w:rFonts w:hint="eastAsia" w:ascii="仿宋_GB2312"/>
          <w:lang w:val="en-US" w:eastAsia="zh-CN"/>
        </w:rPr>
        <w:t>我局</w:t>
      </w:r>
      <w:r>
        <w:rPr>
          <w:rFonts w:hint="eastAsia" w:ascii="仿宋_GB2312"/>
        </w:rPr>
        <w:t>政务公开</w:t>
      </w:r>
      <w:r>
        <w:rPr>
          <w:rFonts w:hint="eastAsia" w:ascii="仿宋_GB2312"/>
          <w:lang w:val="en-US" w:eastAsia="zh-CN"/>
        </w:rPr>
        <w:t>重点工作</w:t>
      </w:r>
      <w:r>
        <w:rPr>
          <w:rFonts w:hint="eastAsia" w:ascii="仿宋_GB2312"/>
        </w:rPr>
        <w:t>要点</w:t>
      </w:r>
      <w:r>
        <w:rPr>
          <w:rFonts w:hint="eastAsia"/>
        </w:rPr>
        <w:t>，</w:t>
      </w:r>
      <w:r>
        <w:rPr>
          <w:rFonts w:hint="eastAsia"/>
          <w:lang w:val="en-US" w:eastAsia="zh-CN"/>
        </w:rPr>
        <w:t>围绕医保扶贫、医疗保险、医疗救助、医疗服务价格和医保基金监管等，开展医保政务信息主动公开工作。2021</w:t>
      </w:r>
      <w:r>
        <w:rPr>
          <w:rFonts w:hint="eastAsia"/>
        </w:rPr>
        <w:t>年度我局累计发布信息公开目录信息</w:t>
      </w:r>
      <w:r>
        <w:rPr>
          <w:rFonts w:hint="eastAsia"/>
          <w:lang w:val="en-US" w:eastAsia="zh-CN"/>
        </w:rPr>
        <w:t>535</w:t>
      </w:r>
      <w:r>
        <w:rPr>
          <w:rFonts w:hint="eastAsia"/>
        </w:rPr>
        <w:t>条</w:t>
      </w:r>
      <w:r>
        <w:rPr>
          <w:rFonts w:hint="eastAsia"/>
          <w:lang w:eastAsia="zh-CN"/>
        </w:rPr>
        <w:t>，</w:t>
      </w:r>
      <w:r>
        <w:rPr>
          <w:rFonts w:hint="eastAsia"/>
          <w:lang w:val="en-US" w:eastAsia="zh-CN"/>
        </w:rPr>
        <w:t>其中政策解读信息9条，主动回应医保政策信息30条，社会公益事业及重点民生领域信息63条等；在基层政务公开标准化规范化中，我局对主要承担的社会保险领域医疗保险服务模块动态调整更新各项办事指南，力求为群众办事提供便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ascii="黑体" w:hAnsi="黑体" w:eastAsia="黑体"/>
        </w:rPr>
      </w:pPr>
      <w:r>
        <w:rPr>
          <w:rFonts w:hint="eastAsia"/>
        </w:rPr>
        <w:t>依申请公开：</w:t>
      </w:r>
      <w:r>
        <w:rPr>
          <w:rFonts w:hint="eastAsia"/>
          <w:lang w:val="en-US" w:eastAsia="zh-CN"/>
        </w:rPr>
        <w:t>根据市、县发布的最新依申请公开办理规程，完善我局依申请公开制度，规范依申请公开的登记、审核、办理、答复、归档等流程，严控依申请公开办理答复时限以及收费标准。</w:t>
      </w:r>
      <w:r>
        <w:rPr>
          <w:rFonts w:hint="eastAsia"/>
        </w:rPr>
        <w:t>202</w:t>
      </w:r>
      <w:r>
        <w:rPr>
          <w:rFonts w:hint="eastAsia"/>
          <w:lang w:val="en-US" w:eastAsia="zh-CN"/>
        </w:rPr>
        <w:t>1</w:t>
      </w:r>
      <w:r>
        <w:rPr>
          <w:rFonts w:hint="eastAsia"/>
        </w:rPr>
        <w:t>年，我局</w:t>
      </w:r>
      <w:r>
        <w:rPr>
          <w:rFonts w:hint="eastAsia"/>
          <w:lang w:val="en-US" w:eastAsia="zh-CN"/>
        </w:rPr>
        <w:t>受理</w:t>
      </w:r>
      <w:r>
        <w:rPr>
          <w:rFonts w:hint="eastAsia"/>
        </w:rPr>
        <w:t>依申请公开事项</w:t>
      </w:r>
      <w:r>
        <w:rPr>
          <w:rFonts w:hint="eastAsia"/>
          <w:lang w:val="en-US" w:eastAsia="zh-CN"/>
        </w:rPr>
        <w:t>0件，没有产生信息公开处理费</w:t>
      </w:r>
      <w:r>
        <w:rPr>
          <w:rFonts w:hint="eastAsia"/>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rPr>
      </w:pPr>
      <w:r>
        <w:rPr>
          <w:rFonts w:hint="eastAsia"/>
        </w:rPr>
        <w:t>政府信息管理：</w:t>
      </w:r>
      <w:r>
        <w:rPr>
          <w:rFonts w:hint="eastAsia" w:ascii="仿宋_GB2312"/>
        </w:rPr>
        <w:t>坚持信息公开的标准化规范化</w:t>
      </w:r>
      <w:r>
        <w:rPr>
          <w:rFonts w:hint="eastAsia" w:ascii="仿宋_GB2312"/>
          <w:lang w:eastAsia="zh-CN"/>
        </w:rPr>
        <w:t>，</w:t>
      </w:r>
      <w:r>
        <w:rPr>
          <w:rFonts w:hint="eastAsia" w:ascii="仿宋_GB2312"/>
          <w:lang w:val="en-US" w:eastAsia="zh-CN"/>
        </w:rPr>
        <w:t>严格落实信息公开三级审核制度。</w:t>
      </w:r>
      <w:r>
        <w:rPr>
          <w:rFonts w:hint="eastAsia"/>
          <w:lang w:val="en-US" w:eastAsia="zh-CN"/>
        </w:rPr>
        <w:t>根据《</w:t>
      </w:r>
      <w:r>
        <w:rPr>
          <w:rFonts w:hint="eastAsia"/>
        </w:rPr>
        <w:t>舒城县人民政府办公室 关于公布行政规范性文件清理结果的通知</w:t>
      </w:r>
      <w:r>
        <w:rPr>
          <w:rFonts w:hint="eastAsia"/>
          <w:lang w:val="en-US" w:eastAsia="zh-CN"/>
        </w:rPr>
        <w:t>》，认真梳理了与医疗保障管理工作相关的行政规范性文件。2021年我局共清理代县政府或政府办草拟的废止类规范性文件4件，没有现行有效的规范性文件。在部门文件栏目全面公开有关医疗保障政策文件，全年共更新9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rPr>
      </w:pPr>
      <w:r>
        <w:rPr>
          <w:rFonts w:hint="eastAsia"/>
          <w:lang w:val="en-US" w:eastAsia="zh-CN"/>
        </w:rPr>
        <w:t>政府信息公开</w:t>
      </w:r>
      <w:r>
        <w:rPr>
          <w:rFonts w:hint="eastAsia"/>
        </w:rPr>
        <w:t>平台建设</w:t>
      </w:r>
      <w:bookmarkStart w:id="0" w:name="_GoBack"/>
      <w:bookmarkEnd w:id="0"/>
      <w:r>
        <w:rPr>
          <w:rFonts w:hint="eastAsia"/>
        </w:rPr>
        <w:t>：</w:t>
      </w:r>
      <w:r>
        <w:rPr>
          <w:rFonts w:hint="eastAsia"/>
          <w:lang w:val="en-US" w:eastAsia="zh-CN"/>
        </w:rPr>
        <w:t>严格按照县政务公开办工作部署，进行单位目录管理和维护。自觉接受政务新媒体监督，及时对平台信息进行更新、丰富。完善政务服务内容，提高医疗保险待遇线上办理水平。</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rPr>
      </w:pPr>
      <w:r>
        <w:rPr>
          <w:rFonts w:hint="eastAsia"/>
        </w:rPr>
        <w:t>监督保障：将政府信息公开工作纳入</w:t>
      </w:r>
      <w:r>
        <w:rPr>
          <w:rFonts w:hint="eastAsia"/>
          <w:lang w:val="en-US" w:eastAsia="zh-CN"/>
        </w:rPr>
        <w:t>我局</w:t>
      </w:r>
      <w:r>
        <w:rPr>
          <w:rFonts w:hint="eastAsia"/>
        </w:rPr>
        <w:t>部门管理考核工作中，</w:t>
      </w:r>
      <w:r>
        <w:rPr>
          <w:rFonts w:hint="eastAsia"/>
          <w:lang w:val="en-US" w:eastAsia="zh-CN"/>
        </w:rPr>
        <w:t>制定任务分解表，</w:t>
      </w:r>
      <w:r>
        <w:rPr>
          <w:rFonts w:hint="eastAsia"/>
        </w:rPr>
        <w:t>认真督促相关股室及时完成</w:t>
      </w:r>
      <w:r>
        <w:rPr>
          <w:rFonts w:hint="eastAsia"/>
          <w:lang w:val="en-US" w:eastAsia="zh-CN"/>
        </w:rPr>
        <w:t>信息的整改和制定发布</w:t>
      </w:r>
      <w:r>
        <w:rPr>
          <w:rFonts w:hint="eastAsia"/>
          <w:lang w:eastAsia="zh-CN"/>
        </w:rPr>
        <w:t>。</w:t>
      </w:r>
      <w:r>
        <w:rPr>
          <w:rFonts w:hint="eastAsia"/>
          <w:lang w:val="en-US" w:eastAsia="zh-CN"/>
        </w:rPr>
        <w:t>完善社会评议制度，积极接受社会监督，及时公开政策咨询电话，主动解读群众关切的医保政策。我局高度重视信息公开的个人隐私保护和上级测评结果的内容梳理整改，截至目前，我局政务公开工作未受到县政务公开办的通报。</w:t>
      </w:r>
    </w:p>
    <w:p>
      <w:pPr>
        <w:keepNext w:val="0"/>
        <w:keepLines w:val="0"/>
        <w:pageBreakBefore w:val="0"/>
        <w:widowControl w:val="0"/>
        <w:kinsoku/>
        <w:wordWrap/>
        <w:overflowPunct/>
        <w:topLinePunct w:val="0"/>
        <w:autoSpaceDE/>
        <w:autoSpaceDN/>
        <w:bidi w:val="0"/>
        <w:adjustRightInd/>
        <w:snapToGrid/>
        <w:spacing w:beforeLines="50" w:afterLines="50" w:line="520" w:lineRule="exact"/>
        <w:ind w:firstLine="640" w:firstLineChars="200"/>
        <w:textAlignment w:val="auto"/>
        <w:rPr>
          <w:rFonts w:ascii="黑体" w:hAnsi="黑体" w:eastAsia="黑体"/>
        </w:rPr>
      </w:pPr>
      <w:r>
        <w:rPr>
          <w:rFonts w:hint="eastAsia" w:ascii="黑体" w:hAnsi="黑体" w:eastAsia="黑体"/>
        </w:rPr>
        <w:t>二、主动公开政府信息情况</w:t>
      </w:r>
    </w:p>
    <w:tbl>
      <w:tblPr>
        <w:tblStyle w:val="4"/>
        <w:tblW w:w="9109" w:type="dxa"/>
        <w:jc w:val="center"/>
        <w:tblLayout w:type="fixed"/>
        <w:tblCellMar>
          <w:top w:w="0" w:type="dxa"/>
          <w:left w:w="0" w:type="dxa"/>
          <w:bottom w:w="0" w:type="dxa"/>
          <w:right w:w="0" w:type="dxa"/>
        </w:tblCellMar>
      </w:tblPr>
      <w:tblGrid>
        <w:gridCol w:w="3607"/>
        <w:gridCol w:w="1875"/>
        <w:gridCol w:w="1738"/>
        <w:gridCol w:w="1889"/>
      </w:tblGrid>
      <w:tr>
        <w:tblPrEx>
          <w:tblCellMar>
            <w:top w:w="0" w:type="dxa"/>
            <w:left w:w="0" w:type="dxa"/>
            <w:bottom w:w="0" w:type="dxa"/>
            <w:right w:w="0" w:type="dxa"/>
          </w:tblCellMar>
        </w:tblPrEx>
        <w:trPr>
          <w:trHeight w:val="495" w:hRule="atLeast"/>
          <w:jc w:val="center"/>
        </w:trPr>
        <w:tc>
          <w:tcPr>
            <w:tcW w:w="910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第二十条第（一）项</w:t>
            </w:r>
          </w:p>
        </w:tc>
      </w:tr>
      <w:tr>
        <w:tblPrEx>
          <w:tblCellMar>
            <w:top w:w="0" w:type="dxa"/>
            <w:left w:w="0" w:type="dxa"/>
            <w:bottom w:w="0" w:type="dxa"/>
            <w:right w:w="0" w:type="dxa"/>
          </w:tblCellMar>
        </w:tblPrEx>
        <w:trPr>
          <w:trHeight w:val="390" w:hRule="atLeast"/>
          <w:jc w:val="center"/>
        </w:trPr>
        <w:tc>
          <w:tcPr>
            <w:tcW w:w="3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lang w:val="en-US" w:eastAsia="zh-CN"/>
              </w:rPr>
              <w:t>本年制发件数</w:t>
            </w:r>
          </w:p>
        </w:tc>
        <w:tc>
          <w:tcPr>
            <w:tcW w:w="17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hint="default" w:ascii="宋体" w:hAnsi="宋体" w:eastAsia="宋体"/>
                <w:kern w:val="0"/>
                <w:sz w:val="21"/>
                <w:szCs w:val="21"/>
                <w:lang w:val="en-US" w:eastAsia="zh-CN"/>
              </w:rPr>
            </w:pPr>
            <w:r>
              <w:rPr>
                <w:rFonts w:hint="eastAsia" w:ascii="宋体" w:hAnsi="宋体" w:eastAsia="宋体"/>
                <w:color w:val="000000"/>
                <w:kern w:val="0"/>
                <w:sz w:val="21"/>
                <w:szCs w:val="21"/>
                <w:lang w:val="en-US" w:eastAsia="zh-CN"/>
              </w:rPr>
              <w:t>本年废止件数</w:t>
            </w:r>
          </w:p>
        </w:tc>
        <w:tc>
          <w:tcPr>
            <w:tcW w:w="1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hint="default" w:ascii="宋体" w:hAnsi="宋体" w:eastAsia="宋体"/>
                <w:kern w:val="0"/>
                <w:sz w:val="21"/>
                <w:szCs w:val="21"/>
                <w:lang w:val="en-US" w:eastAsia="zh-CN"/>
              </w:rPr>
            </w:pPr>
            <w:r>
              <w:rPr>
                <w:rFonts w:hint="eastAsia" w:ascii="宋体" w:hAnsi="宋体" w:eastAsia="宋体"/>
                <w:color w:val="000000"/>
                <w:kern w:val="0"/>
                <w:sz w:val="21"/>
                <w:szCs w:val="21"/>
                <w:lang w:val="en-US" w:eastAsia="zh-CN"/>
              </w:rPr>
              <w:t>现行有效件数</w:t>
            </w:r>
          </w:p>
        </w:tc>
      </w:tr>
      <w:tr>
        <w:tblPrEx>
          <w:tblCellMar>
            <w:top w:w="0" w:type="dxa"/>
            <w:left w:w="0" w:type="dxa"/>
            <w:bottom w:w="0" w:type="dxa"/>
            <w:right w:w="0" w:type="dxa"/>
          </w:tblCellMar>
        </w:tblPrEx>
        <w:trPr>
          <w:trHeight w:val="523" w:hRule="atLeast"/>
          <w:jc w:val="center"/>
        </w:trPr>
        <w:tc>
          <w:tcPr>
            <w:tcW w:w="3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　　0</w:t>
            </w:r>
          </w:p>
        </w:tc>
        <w:tc>
          <w:tcPr>
            <w:tcW w:w="17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 0</w:t>
            </w:r>
          </w:p>
        </w:tc>
        <w:tc>
          <w:tcPr>
            <w:tcW w:w="1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　0</w:t>
            </w:r>
          </w:p>
        </w:tc>
      </w:tr>
      <w:tr>
        <w:tblPrEx>
          <w:tblCellMar>
            <w:top w:w="0" w:type="dxa"/>
            <w:left w:w="0" w:type="dxa"/>
            <w:bottom w:w="0" w:type="dxa"/>
            <w:right w:w="0" w:type="dxa"/>
          </w:tblCellMar>
        </w:tblPrEx>
        <w:trPr>
          <w:trHeight w:val="471" w:hRule="atLeast"/>
          <w:jc w:val="center"/>
        </w:trPr>
        <w:tc>
          <w:tcPr>
            <w:tcW w:w="3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　　0</w:t>
            </w:r>
          </w:p>
        </w:tc>
        <w:tc>
          <w:tcPr>
            <w:tcW w:w="17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ind w:firstLine="210" w:firstLineChars="100"/>
              <w:rPr>
                <w:rFonts w:hint="eastAsia" w:ascii="宋体" w:hAnsi="宋体" w:eastAsia="宋体"/>
                <w:kern w:val="0"/>
                <w:sz w:val="21"/>
                <w:szCs w:val="21"/>
                <w:lang w:eastAsia="zh-CN"/>
              </w:rPr>
            </w:pPr>
            <w:r>
              <w:rPr>
                <w:rFonts w:hint="eastAsia" w:ascii="宋体" w:hAnsi="宋体" w:eastAsia="宋体"/>
                <w:color w:val="000000"/>
                <w:kern w:val="0"/>
                <w:sz w:val="21"/>
                <w:szCs w:val="21"/>
                <w:lang w:val="en-US" w:eastAsia="zh-CN"/>
              </w:rPr>
              <w:t>0</w:t>
            </w:r>
          </w:p>
        </w:tc>
        <w:tc>
          <w:tcPr>
            <w:tcW w:w="1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　0</w:t>
            </w:r>
          </w:p>
        </w:tc>
      </w:tr>
      <w:tr>
        <w:tblPrEx>
          <w:tblCellMar>
            <w:top w:w="0" w:type="dxa"/>
            <w:left w:w="0" w:type="dxa"/>
            <w:bottom w:w="0" w:type="dxa"/>
            <w:right w:w="0" w:type="dxa"/>
          </w:tblCellMar>
        </w:tblPrEx>
        <w:trPr>
          <w:trHeight w:val="480" w:hRule="atLeast"/>
          <w:jc w:val="center"/>
        </w:trPr>
        <w:tc>
          <w:tcPr>
            <w:tcW w:w="910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第二十条第（五）项</w:t>
            </w:r>
          </w:p>
        </w:tc>
      </w:tr>
      <w:tr>
        <w:tblPrEx>
          <w:tblCellMar>
            <w:top w:w="0" w:type="dxa"/>
            <w:left w:w="0" w:type="dxa"/>
            <w:bottom w:w="0" w:type="dxa"/>
            <w:right w:w="0" w:type="dxa"/>
          </w:tblCellMar>
        </w:tblPrEx>
        <w:trPr>
          <w:trHeight w:val="634" w:hRule="atLeast"/>
          <w:jc w:val="center"/>
        </w:trPr>
        <w:tc>
          <w:tcPr>
            <w:tcW w:w="3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信息内容</w:t>
            </w:r>
          </w:p>
        </w:tc>
        <w:tc>
          <w:tcPr>
            <w:tcW w:w="5502"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本年处理决定数量</w:t>
            </w:r>
          </w:p>
        </w:tc>
      </w:tr>
      <w:tr>
        <w:tblPrEx>
          <w:tblCellMar>
            <w:top w:w="0" w:type="dxa"/>
            <w:left w:w="0" w:type="dxa"/>
            <w:bottom w:w="0" w:type="dxa"/>
            <w:right w:w="0" w:type="dxa"/>
          </w:tblCellMar>
        </w:tblPrEx>
        <w:trPr>
          <w:trHeight w:val="528" w:hRule="atLeast"/>
          <w:jc w:val="center"/>
        </w:trPr>
        <w:tc>
          <w:tcPr>
            <w:tcW w:w="3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行政许可</w:t>
            </w:r>
          </w:p>
        </w:tc>
        <w:tc>
          <w:tcPr>
            <w:tcW w:w="550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0</w:t>
            </w:r>
          </w:p>
        </w:tc>
      </w:tr>
      <w:tr>
        <w:tblPrEx>
          <w:tblCellMar>
            <w:top w:w="0" w:type="dxa"/>
            <w:left w:w="0" w:type="dxa"/>
            <w:bottom w:w="0" w:type="dxa"/>
            <w:right w:w="0" w:type="dxa"/>
          </w:tblCellMar>
        </w:tblPrEx>
        <w:trPr>
          <w:trHeight w:val="496" w:hRule="atLeast"/>
          <w:jc w:val="center"/>
        </w:trPr>
        <w:tc>
          <w:tcPr>
            <w:tcW w:w="910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第二十条第（六）项</w:t>
            </w:r>
          </w:p>
        </w:tc>
      </w:tr>
      <w:tr>
        <w:tblPrEx>
          <w:tblCellMar>
            <w:top w:w="0" w:type="dxa"/>
            <w:left w:w="0" w:type="dxa"/>
            <w:bottom w:w="0" w:type="dxa"/>
            <w:right w:w="0" w:type="dxa"/>
          </w:tblCellMar>
        </w:tblPrEx>
        <w:trPr>
          <w:trHeight w:val="634" w:hRule="atLeast"/>
          <w:jc w:val="center"/>
        </w:trPr>
        <w:tc>
          <w:tcPr>
            <w:tcW w:w="3607"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信息内容</w:t>
            </w:r>
          </w:p>
        </w:tc>
        <w:tc>
          <w:tcPr>
            <w:tcW w:w="5502" w:type="dxa"/>
            <w:gridSpan w:val="3"/>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hint="default" w:ascii="宋体" w:hAnsi="宋体" w:eastAsia="宋体"/>
                <w:kern w:val="0"/>
                <w:sz w:val="21"/>
                <w:szCs w:val="21"/>
                <w:lang w:val="en-US" w:eastAsia="zh-CN"/>
              </w:rPr>
            </w:pPr>
            <w:r>
              <w:rPr>
                <w:rFonts w:hint="eastAsia" w:ascii="宋体" w:hAnsi="宋体" w:eastAsia="宋体"/>
                <w:color w:val="000000"/>
                <w:kern w:val="0"/>
                <w:sz w:val="21"/>
                <w:szCs w:val="21"/>
                <w:lang w:val="en-US" w:eastAsia="zh-CN"/>
              </w:rPr>
              <w:t>本年处理决定数量</w:t>
            </w:r>
          </w:p>
        </w:tc>
      </w:tr>
      <w:tr>
        <w:tblPrEx>
          <w:tblCellMar>
            <w:top w:w="0" w:type="dxa"/>
            <w:left w:w="0" w:type="dxa"/>
            <w:bottom w:w="0" w:type="dxa"/>
            <w:right w:w="0" w:type="dxa"/>
          </w:tblCellMar>
        </w:tblPrEx>
        <w:trPr>
          <w:trHeight w:val="430" w:hRule="atLeast"/>
          <w:jc w:val="center"/>
        </w:trPr>
        <w:tc>
          <w:tcPr>
            <w:tcW w:w="3607"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行政处罚</w:t>
            </w:r>
          </w:p>
        </w:tc>
        <w:tc>
          <w:tcPr>
            <w:tcW w:w="5502" w:type="dxa"/>
            <w:gridSpan w:val="3"/>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r>
      <w:tr>
        <w:tblPrEx>
          <w:tblCellMar>
            <w:top w:w="0" w:type="dxa"/>
            <w:left w:w="0" w:type="dxa"/>
            <w:bottom w:w="0" w:type="dxa"/>
            <w:right w:w="0" w:type="dxa"/>
          </w:tblCellMar>
        </w:tblPrEx>
        <w:trPr>
          <w:trHeight w:val="409" w:hRule="atLeast"/>
          <w:jc w:val="center"/>
        </w:trPr>
        <w:tc>
          <w:tcPr>
            <w:tcW w:w="3607"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行政强制</w:t>
            </w:r>
          </w:p>
        </w:tc>
        <w:tc>
          <w:tcPr>
            <w:tcW w:w="5502"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r>
      <w:tr>
        <w:tblPrEx>
          <w:tblCellMar>
            <w:top w:w="0" w:type="dxa"/>
            <w:left w:w="0" w:type="dxa"/>
            <w:bottom w:w="0" w:type="dxa"/>
            <w:right w:w="0" w:type="dxa"/>
          </w:tblCellMar>
        </w:tblPrEx>
        <w:trPr>
          <w:trHeight w:val="474" w:hRule="atLeast"/>
          <w:jc w:val="center"/>
        </w:trPr>
        <w:tc>
          <w:tcPr>
            <w:tcW w:w="910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第二十条第（八）项</w:t>
            </w:r>
          </w:p>
        </w:tc>
      </w:tr>
      <w:tr>
        <w:tblPrEx>
          <w:tblCellMar>
            <w:top w:w="0" w:type="dxa"/>
            <w:left w:w="0" w:type="dxa"/>
            <w:bottom w:w="0" w:type="dxa"/>
            <w:right w:w="0" w:type="dxa"/>
          </w:tblCellMar>
        </w:tblPrEx>
        <w:trPr>
          <w:trHeight w:val="519" w:hRule="atLeast"/>
          <w:jc w:val="center"/>
        </w:trPr>
        <w:tc>
          <w:tcPr>
            <w:tcW w:w="3607"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信息内容</w:t>
            </w:r>
          </w:p>
        </w:tc>
        <w:tc>
          <w:tcPr>
            <w:tcW w:w="5502" w:type="dxa"/>
            <w:gridSpan w:val="3"/>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0" w:lineRule="atLeast"/>
              <w:jc w:val="center"/>
              <w:rPr>
                <w:rFonts w:hint="default" w:ascii="宋体" w:hAnsi="宋体" w:eastAsia="宋体"/>
                <w:kern w:val="0"/>
                <w:sz w:val="21"/>
                <w:szCs w:val="21"/>
                <w:lang w:val="en-US" w:eastAsia="zh-CN"/>
              </w:rPr>
            </w:pPr>
            <w:r>
              <w:rPr>
                <w:rFonts w:hint="eastAsia" w:ascii="宋体" w:hAnsi="宋体" w:eastAsia="宋体"/>
                <w:color w:val="000000"/>
                <w:kern w:val="0"/>
                <w:sz w:val="21"/>
                <w:szCs w:val="21"/>
                <w:lang w:val="en-US" w:eastAsia="zh-CN"/>
              </w:rPr>
              <w:t>本年收费金额（单位：万元）</w:t>
            </w:r>
          </w:p>
        </w:tc>
      </w:tr>
      <w:tr>
        <w:tblPrEx>
          <w:tblCellMar>
            <w:top w:w="0" w:type="dxa"/>
            <w:left w:w="0" w:type="dxa"/>
            <w:bottom w:w="0" w:type="dxa"/>
            <w:right w:w="0" w:type="dxa"/>
          </w:tblCellMar>
        </w:tblPrEx>
        <w:trPr>
          <w:trHeight w:val="551" w:hRule="atLeast"/>
          <w:jc w:val="center"/>
        </w:trPr>
        <w:tc>
          <w:tcPr>
            <w:tcW w:w="3607"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rPr>
                <w:rFonts w:ascii="宋体" w:hAnsi="宋体" w:eastAsia="宋体"/>
                <w:kern w:val="0"/>
                <w:sz w:val="21"/>
                <w:szCs w:val="21"/>
              </w:rPr>
            </w:pPr>
            <w:r>
              <w:rPr>
                <w:rFonts w:hint="eastAsia" w:ascii="宋体" w:hAnsi="宋体" w:eastAsia="宋体"/>
                <w:color w:val="000000"/>
                <w:kern w:val="0"/>
                <w:sz w:val="21"/>
                <w:szCs w:val="21"/>
              </w:rPr>
              <w:t>行政事业性收费</w:t>
            </w:r>
          </w:p>
        </w:tc>
        <w:tc>
          <w:tcPr>
            <w:tcW w:w="5502" w:type="dxa"/>
            <w:gridSpan w:val="3"/>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color w:val="000000"/>
                <w:kern w:val="0"/>
                <w:sz w:val="21"/>
                <w:szCs w:val="21"/>
              </w:rPr>
              <w:t>0</w:t>
            </w:r>
          </w:p>
        </w:tc>
      </w:tr>
    </w:tbl>
    <w:p>
      <w:pPr>
        <w:keepNext w:val="0"/>
        <w:keepLines w:val="0"/>
        <w:pageBreakBefore w:val="0"/>
        <w:widowControl w:val="0"/>
        <w:kinsoku/>
        <w:wordWrap/>
        <w:overflowPunct/>
        <w:topLinePunct w:val="0"/>
        <w:autoSpaceDE/>
        <w:autoSpaceDN/>
        <w:bidi w:val="0"/>
        <w:adjustRightInd/>
        <w:snapToGrid/>
        <w:spacing w:beforeLines="50" w:afterLines="50" w:line="520" w:lineRule="exact"/>
        <w:ind w:firstLine="640" w:firstLineChars="200"/>
        <w:textAlignment w:val="auto"/>
        <w:rPr>
          <w:rFonts w:ascii="黑体" w:hAnsi="黑体" w:eastAsia="黑体"/>
        </w:rPr>
      </w:pPr>
      <w:r>
        <w:rPr>
          <w:rFonts w:hint="eastAsia" w:ascii="黑体" w:hAnsi="黑体" w:eastAsia="黑体"/>
        </w:rPr>
        <w:t>三、收到和处理政府信息公开申请情况</w:t>
      </w:r>
    </w:p>
    <w:tbl>
      <w:tblPr>
        <w:tblStyle w:val="4"/>
        <w:tblW w:w="9480" w:type="dxa"/>
        <w:jc w:val="center"/>
        <w:tblLayout w:type="fixed"/>
        <w:tblCellMar>
          <w:top w:w="0" w:type="dxa"/>
          <w:left w:w="0" w:type="dxa"/>
          <w:bottom w:w="0" w:type="dxa"/>
          <w:right w:w="0" w:type="dxa"/>
        </w:tblCellMar>
      </w:tblPr>
      <w:tblGrid>
        <w:gridCol w:w="645"/>
        <w:gridCol w:w="892"/>
        <w:gridCol w:w="2404"/>
        <w:gridCol w:w="626"/>
        <w:gridCol w:w="789"/>
        <w:gridCol w:w="789"/>
        <w:gridCol w:w="849"/>
        <w:gridCol w:w="1016"/>
        <w:gridCol w:w="745"/>
        <w:gridCol w:w="725"/>
      </w:tblGrid>
      <w:tr>
        <w:tblPrEx>
          <w:tblCellMar>
            <w:top w:w="0" w:type="dxa"/>
            <w:left w:w="0" w:type="dxa"/>
            <w:bottom w:w="0" w:type="dxa"/>
            <w:right w:w="0" w:type="dxa"/>
          </w:tblCellMar>
        </w:tblPrEx>
        <w:trPr>
          <w:trHeight w:val="540" w:hRule="atLeast"/>
          <w:jc w:val="center"/>
        </w:trPr>
        <w:tc>
          <w:tcPr>
            <w:tcW w:w="394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（本列数据的勾稽关系为：第一项加第二项之和，等于第三项加第四项之和）</w:t>
            </w:r>
          </w:p>
        </w:tc>
        <w:tc>
          <w:tcPr>
            <w:tcW w:w="553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申请人情况</w:t>
            </w:r>
          </w:p>
        </w:tc>
      </w:tr>
      <w:tr>
        <w:tblPrEx>
          <w:tblCellMar>
            <w:top w:w="0" w:type="dxa"/>
            <w:left w:w="0" w:type="dxa"/>
            <w:bottom w:w="0" w:type="dxa"/>
            <w:right w:w="0" w:type="dxa"/>
          </w:tblCellMar>
        </w:tblPrEx>
        <w:trPr>
          <w:trHeight w:val="676"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自然人</w:t>
            </w:r>
          </w:p>
        </w:tc>
        <w:tc>
          <w:tcPr>
            <w:tcW w:w="418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法人或其他组织</w:t>
            </w:r>
          </w:p>
        </w:tc>
        <w:tc>
          <w:tcPr>
            <w:tcW w:w="72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总计</w:t>
            </w:r>
          </w:p>
        </w:tc>
      </w:tr>
      <w:tr>
        <w:tblPrEx>
          <w:tblCellMar>
            <w:top w:w="0" w:type="dxa"/>
            <w:left w:w="0" w:type="dxa"/>
            <w:bottom w:w="0" w:type="dxa"/>
            <w:right w:w="0" w:type="dxa"/>
          </w:tblCellMar>
        </w:tblPrEx>
        <w:trPr>
          <w:trHeight w:val="700"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2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商业企业</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科研机构</w:t>
            </w:r>
          </w:p>
        </w:tc>
        <w:tc>
          <w:tcPr>
            <w:tcW w:w="8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社会公益组织</w:t>
            </w:r>
          </w:p>
        </w:tc>
        <w:tc>
          <w:tcPr>
            <w:tcW w:w="10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法律服务机构</w:t>
            </w:r>
          </w:p>
        </w:tc>
        <w:tc>
          <w:tcPr>
            <w:tcW w:w="7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其他</w:t>
            </w:r>
          </w:p>
        </w:tc>
        <w:tc>
          <w:tcPr>
            <w:tcW w:w="72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r>
      <w:tr>
        <w:tblPrEx>
          <w:tblCellMar>
            <w:top w:w="0" w:type="dxa"/>
            <w:left w:w="0" w:type="dxa"/>
            <w:bottom w:w="0" w:type="dxa"/>
            <w:right w:w="0" w:type="dxa"/>
          </w:tblCellMar>
        </w:tblPrEx>
        <w:trPr>
          <w:trHeight w:val="657" w:hRule="atLeast"/>
          <w:jc w:val="center"/>
        </w:trPr>
        <w:tc>
          <w:tcPr>
            <w:tcW w:w="394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一、本年新收政府信息公开申请数量</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553" w:hRule="atLeast"/>
          <w:jc w:val="center"/>
        </w:trPr>
        <w:tc>
          <w:tcPr>
            <w:tcW w:w="3941" w:type="dxa"/>
            <w:gridSpan w:val="3"/>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二、上年结转政府信息公开申请数量</w:t>
            </w:r>
          </w:p>
        </w:tc>
        <w:tc>
          <w:tcPr>
            <w:tcW w:w="62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90" w:hRule="atLeast"/>
          <w:jc w:val="center"/>
        </w:trPr>
        <w:tc>
          <w:tcPr>
            <w:tcW w:w="645" w:type="dxa"/>
            <w:vMerge w:val="restart"/>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三、本年度办理结果</w:t>
            </w:r>
          </w:p>
        </w:tc>
        <w:tc>
          <w:tcPr>
            <w:tcW w:w="3296" w:type="dxa"/>
            <w:gridSpan w:val="2"/>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（一）予以公开</w:t>
            </w:r>
          </w:p>
        </w:tc>
        <w:tc>
          <w:tcPr>
            <w:tcW w:w="62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3296"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（二）部分公开（区分处理的，只计这一情形，不计其他情形）</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（三）不予公开</w:t>
            </w:r>
          </w:p>
        </w:tc>
        <w:tc>
          <w:tcPr>
            <w:tcW w:w="24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1.属于国家秘密</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2.其他法律行政法规禁止公开</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3.危及“三安全一稳定”</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4.保护第三方合法权益</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5.属于三类内部事务信息</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6.属于四类过程性信息</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7.属于行政执法案卷</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8.属于行政查询事项</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（四）无法</w:t>
            </w:r>
          </w:p>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提供</w:t>
            </w: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1.本机关不掌握相关政府信息</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nil"/>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2.没有现成信息需要另行制作</w:t>
            </w:r>
          </w:p>
        </w:tc>
        <w:tc>
          <w:tcPr>
            <w:tcW w:w="62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single" w:color="auto" w:sz="4" w:space="0"/>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3.补正后申请内容仍不明确</w:t>
            </w:r>
          </w:p>
        </w:tc>
        <w:tc>
          <w:tcPr>
            <w:tcW w:w="62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restar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（五）不予</w:t>
            </w:r>
          </w:p>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处理</w:t>
            </w:r>
          </w:p>
        </w:tc>
        <w:tc>
          <w:tcPr>
            <w:tcW w:w="24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1.信访举报投诉类申请</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single" w:color="auto" w:sz="8" w:space="0"/>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2.重复申请</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single" w:color="auto" w:sz="8" w:space="0"/>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3.要求提供公开出版物</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single" w:color="auto" w:sz="8" w:space="0"/>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4.无正当理由大量反复申请</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top w:val="single" w:color="auto" w:sz="8" w:space="0"/>
              <w:left w:val="nil"/>
              <w:bottom w:val="single" w:color="auto" w:sz="4" w:space="0"/>
              <w:right w:val="single" w:color="auto" w:sz="8" w:space="0"/>
            </w:tcBorders>
            <w:vAlign w:val="center"/>
          </w:tcPr>
          <w:p>
            <w:pPr>
              <w:widowControl/>
              <w:jc w:val="left"/>
              <w:rPr>
                <w:rFonts w:ascii="宋体" w:hAnsi="宋体" w:eastAsia="宋体"/>
                <w:kern w:val="0"/>
                <w:sz w:val="21"/>
                <w:szCs w:val="21"/>
              </w:rPr>
            </w:pPr>
          </w:p>
        </w:tc>
        <w:tc>
          <w:tcPr>
            <w:tcW w:w="24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5.要求行政机关确认或重新出具已获取信息</w:t>
            </w:r>
          </w:p>
        </w:tc>
        <w:tc>
          <w:tcPr>
            <w:tcW w:w="62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90" w:hRule="atLeast"/>
          <w:jc w:val="center"/>
        </w:trPr>
        <w:tc>
          <w:tcPr>
            <w:tcW w:w="645"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restart"/>
            <w:tcBorders>
              <w:top w:val="single" w:color="auto" w:sz="4" w:space="0"/>
              <w:left w:val="nil"/>
              <w:right w:val="single" w:color="auto" w:sz="8" w:space="0"/>
            </w:tcBorders>
            <w:tcMar>
              <w:top w:w="0" w:type="dxa"/>
              <w:left w:w="108" w:type="dxa"/>
              <w:bottom w:w="0" w:type="dxa"/>
              <w:right w:w="108" w:type="dxa"/>
            </w:tcMar>
            <w:vAlign w:val="center"/>
          </w:tcPr>
          <w:p>
            <w:pPr>
              <w:widowControl/>
              <w:numPr>
                <w:ilvl w:val="0"/>
                <w:numId w:val="2"/>
              </w:numPr>
              <w:spacing w:line="0" w:lineRule="atLeast"/>
              <w:jc w:val="left"/>
              <w:rPr>
                <w:rFonts w:hint="eastAsia" w:ascii="宋体" w:hAnsi="宋体" w:eastAsia="宋体"/>
                <w:kern w:val="0"/>
                <w:sz w:val="21"/>
                <w:szCs w:val="21"/>
              </w:rPr>
            </w:pPr>
          </w:p>
          <w:p>
            <w:pPr>
              <w:widowControl/>
              <w:numPr>
                <w:ilvl w:val="0"/>
                <w:numId w:val="0"/>
              </w:numPr>
              <w:spacing w:line="0" w:lineRule="atLeast"/>
              <w:jc w:val="left"/>
              <w:rPr>
                <w:rFonts w:hint="eastAsia" w:ascii="宋体" w:hAnsi="宋体" w:eastAsia="宋体"/>
                <w:kern w:val="0"/>
                <w:sz w:val="21"/>
                <w:szCs w:val="21"/>
              </w:rPr>
            </w:pPr>
            <w:r>
              <w:rPr>
                <w:rFonts w:hint="eastAsia" w:ascii="宋体" w:hAnsi="宋体" w:eastAsia="宋体"/>
                <w:kern w:val="0"/>
                <w:sz w:val="21"/>
                <w:szCs w:val="21"/>
                <w:lang w:val="en-US" w:eastAsia="zh-CN"/>
              </w:rPr>
              <w:t>其</w:t>
            </w:r>
            <w:r>
              <w:rPr>
                <w:rFonts w:hint="eastAsia" w:ascii="宋体" w:hAnsi="宋体" w:eastAsia="宋体"/>
                <w:kern w:val="0"/>
                <w:sz w:val="21"/>
                <w:szCs w:val="21"/>
              </w:rPr>
              <w:t>他处理</w:t>
            </w:r>
          </w:p>
          <w:p>
            <w:pPr>
              <w:widowControl/>
              <w:numPr>
                <w:ilvl w:val="0"/>
                <w:numId w:val="0"/>
              </w:numPr>
              <w:spacing w:line="0" w:lineRule="atLeast"/>
              <w:jc w:val="left"/>
              <w:rPr>
                <w:rFonts w:hint="eastAsia" w:ascii="宋体" w:hAnsi="宋体" w:eastAsia="宋体"/>
                <w:kern w:val="0"/>
                <w:sz w:val="21"/>
                <w:szCs w:val="21"/>
              </w:rPr>
            </w:pPr>
          </w:p>
        </w:tc>
        <w:tc>
          <w:tcPr>
            <w:tcW w:w="24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0"/>
              </w:numPr>
              <w:spacing w:line="0" w:lineRule="atLeast"/>
              <w:jc w:val="both"/>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1.申请人无正当理由逾期不补正、行政机关不再处理其政府信息公开申请</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90" w:hRule="atLeast"/>
          <w:jc w:val="center"/>
        </w:trPr>
        <w:tc>
          <w:tcPr>
            <w:tcW w:w="645"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892" w:type="dxa"/>
            <w:vMerge w:val="continue"/>
            <w:tcBorders>
              <w:left w:val="nil"/>
              <w:right w:val="single" w:color="auto" w:sz="8" w:space="0"/>
            </w:tcBorders>
            <w:tcMar>
              <w:top w:w="0" w:type="dxa"/>
              <w:left w:w="108" w:type="dxa"/>
              <w:bottom w:w="0" w:type="dxa"/>
              <w:right w:w="108" w:type="dxa"/>
            </w:tcMar>
            <w:vAlign w:val="center"/>
          </w:tcPr>
          <w:p>
            <w:pPr>
              <w:widowControl/>
              <w:numPr>
                <w:ilvl w:val="0"/>
                <w:numId w:val="0"/>
              </w:numPr>
              <w:spacing w:line="0" w:lineRule="atLeast"/>
              <w:jc w:val="both"/>
              <w:rPr>
                <w:rFonts w:hint="eastAsia" w:ascii="宋体" w:hAnsi="宋体" w:eastAsia="宋体"/>
                <w:kern w:val="0"/>
                <w:sz w:val="21"/>
                <w:szCs w:val="21"/>
              </w:rPr>
            </w:pPr>
          </w:p>
        </w:tc>
        <w:tc>
          <w:tcPr>
            <w:tcW w:w="24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0"/>
              </w:numPr>
              <w:spacing w:line="0" w:lineRule="atLeast"/>
              <w:jc w:val="both"/>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2.申请人逾期未按收费通知要求缴纳费用、行政机关不再处理其政府信息公开申请</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r>
      <w:tr>
        <w:tblPrEx>
          <w:tblCellMar>
            <w:top w:w="0" w:type="dxa"/>
            <w:left w:w="0" w:type="dxa"/>
            <w:bottom w:w="0" w:type="dxa"/>
            <w:right w:w="0" w:type="dxa"/>
          </w:tblCellMar>
        </w:tblPrEx>
        <w:trPr>
          <w:trHeight w:val="90" w:hRule="atLeast"/>
          <w:jc w:val="center"/>
        </w:trPr>
        <w:tc>
          <w:tcPr>
            <w:tcW w:w="645"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hint="eastAsia" w:ascii="宋体" w:hAnsi="宋体" w:eastAsia="宋体"/>
                <w:kern w:val="0"/>
                <w:sz w:val="21"/>
                <w:szCs w:val="21"/>
                <w:lang w:eastAsia="zh-CN"/>
              </w:rPr>
            </w:pPr>
            <w:r>
              <w:rPr>
                <w:rFonts w:hint="eastAsia" w:ascii="宋体" w:hAnsi="宋体" w:eastAsia="宋体"/>
                <w:kern w:val="0"/>
                <w:sz w:val="21"/>
                <w:szCs w:val="21"/>
                <w:lang w:eastAsia="zh-CN"/>
              </w:rPr>
              <w:t>。</w:t>
            </w:r>
          </w:p>
        </w:tc>
        <w:tc>
          <w:tcPr>
            <w:tcW w:w="892"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0"/>
              </w:numPr>
              <w:spacing w:line="0" w:lineRule="atLeast"/>
              <w:jc w:val="both"/>
              <w:rPr>
                <w:rFonts w:hint="eastAsia" w:ascii="宋体" w:hAnsi="宋体" w:eastAsia="宋体"/>
                <w:kern w:val="0"/>
                <w:sz w:val="21"/>
                <w:szCs w:val="21"/>
              </w:rPr>
            </w:pPr>
          </w:p>
        </w:tc>
        <w:tc>
          <w:tcPr>
            <w:tcW w:w="24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numPr>
                <w:ilvl w:val="0"/>
                <w:numId w:val="0"/>
              </w:numPr>
              <w:spacing w:line="0" w:lineRule="atLeast"/>
              <w:jc w:val="both"/>
              <w:rPr>
                <w:rFonts w:hint="default" w:ascii="宋体" w:hAnsi="宋体" w:eastAsia="宋体"/>
                <w:kern w:val="0"/>
                <w:sz w:val="21"/>
                <w:szCs w:val="21"/>
                <w:lang w:val="en-US" w:eastAsia="zh-CN"/>
              </w:rPr>
            </w:pPr>
            <w:r>
              <w:rPr>
                <w:rFonts w:hint="eastAsia" w:ascii="宋体" w:hAnsi="宋体" w:eastAsia="宋体"/>
                <w:kern w:val="0"/>
                <w:sz w:val="21"/>
                <w:szCs w:val="21"/>
                <w:lang w:val="en-US" w:eastAsia="zh-CN"/>
              </w:rPr>
              <w:t>3.其他</w:t>
            </w:r>
          </w:p>
        </w:tc>
        <w:tc>
          <w:tcPr>
            <w:tcW w:w="6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8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8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10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4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hint="eastAsia" w:ascii="宋体" w:hAnsi="宋体" w:eastAsia="宋体"/>
                <w:kern w:val="0"/>
                <w:sz w:val="21"/>
                <w:szCs w:val="21"/>
                <w:lang w:val="en-US" w:eastAsia="zh-CN"/>
              </w:rPr>
            </w:pPr>
            <w:r>
              <w:rPr>
                <w:rFonts w:hint="eastAsia" w:ascii="宋体" w:hAnsi="宋体" w:eastAsia="宋体"/>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329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kern w:val="0"/>
                <w:sz w:val="21"/>
                <w:szCs w:val="21"/>
              </w:rPr>
            </w:pPr>
            <w:r>
              <w:rPr>
                <w:rFonts w:hint="eastAsia" w:ascii="宋体" w:hAnsi="宋体" w:eastAsia="宋体"/>
                <w:kern w:val="0"/>
                <w:sz w:val="21"/>
                <w:szCs w:val="21"/>
              </w:rPr>
              <w:t>（七）总计</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r>
        <w:tblPrEx>
          <w:tblCellMar>
            <w:top w:w="0" w:type="dxa"/>
            <w:left w:w="0" w:type="dxa"/>
            <w:bottom w:w="0" w:type="dxa"/>
            <w:right w:w="0" w:type="dxa"/>
          </w:tblCellMar>
        </w:tblPrEx>
        <w:trPr>
          <w:trHeight w:val="372" w:hRule="atLeast"/>
          <w:jc w:val="center"/>
        </w:trPr>
        <w:tc>
          <w:tcPr>
            <w:tcW w:w="394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四、结转下年度继续办理</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10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center"/>
              <w:rPr>
                <w:rFonts w:ascii="宋体" w:hAnsi="宋体" w:eastAsia="宋体"/>
                <w:kern w:val="0"/>
                <w:sz w:val="21"/>
                <w:szCs w:val="21"/>
              </w:rPr>
            </w:pPr>
            <w:r>
              <w:rPr>
                <w:rFonts w:hint="eastAsia" w:ascii="宋体" w:hAnsi="宋体" w:eastAsia="宋体"/>
                <w:kern w:val="0"/>
                <w:sz w:val="21"/>
                <w:szCs w:val="21"/>
              </w:rPr>
              <w:t>0</w:t>
            </w:r>
          </w:p>
        </w:tc>
      </w:tr>
    </w:tbl>
    <w:p>
      <w:pPr>
        <w:keepNext w:val="0"/>
        <w:keepLines w:val="0"/>
        <w:pageBreakBefore w:val="0"/>
        <w:widowControl w:val="0"/>
        <w:kinsoku/>
        <w:wordWrap/>
        <w:overflowPunct/>
        <w:topLinePunct w:val="0"/>
        <w:autoSpaceDE/>
        <w:autoSpaceDN/>
        <w:bidi w:val="0"/>
        <w:adjustRightInd/>
        <w:snapToGrid/>
        <w:spacing w:beforeLines="50" w:afterLines="50" w:line="520" w:lineRule="exact"/>
        <w:ind w:firstLine="640" w:firstLineChars="200"/>
        <w:textAlignment w:val="auto"/>
        <w:rPr>
          <w:rFonts w:hint="eastAsia" w:ascii="黑体" w:hAnsi="黑体" w:eastAsia="黑体"/>
        </w:rPr>
      </w:pPr>
      <w:r>
        <w:rPr>
          <w:rFonts w:hint="eastAsia" w:ascii="黑体" w:hAnsi="黑体" w:eastAsia="黑体"/>
        </w:rPr>
        <w:t>四、政府信息公开行政复议、行政诉讼情况</w:t>
      </w:r>
    </w:p>
    <w:tbl>
      <w:tblPr>
        <w:tblStyle w:val="4"/>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232"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kern w:val="0"/>
                <w:sz w:val="21"/>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color w:val="000000"/>
                <w:kern w:val="0"/>
                <w:sz w:val="21"/>
                <w:szCs w:val="21"/>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color w:val="000000"/>
                <w:kern w:val="0"/>
                <w:sz w:val="21"/>
                <w:szCs w:val="21"/>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color w:val="000000"/>
                <w:kern w:val="0"/>
                <w:sz w:val="21"/>
                <w:szCs w:val="21"/>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kern w:val="0"/>
                <w:sz w:val="21"/>
                <w:szCs w:val="21"/>
              </w:rPr>
            </w:pPr>
            <w:r>
              <w:rPr>
                <w:rFonts w:hint="eastAsia" w:ascii="宋体" w:hAnsi="宋体" w:eastAsia="宋体"/>
                <w:kern w:val="0"/>
                <w:sz w:val="21"/>
                <w:szCs w:val="21"/>
              </w:rPr>
              <w:t>0</w:t>
            </w:r>
          </w:p>
        </w:tc>
      </w:tr>
    </w:tbl>
    <w:p>
      <w:pPr>
        <w:keepNext w:val="0"/>
        <w:keepLines w:val="0"/>
        <w:pageBreakBefore w:val="0"/>
        <w:widowControl w:val="0"/>
        <w:kinsoku/>
        <w:wordWrap/>
        <w:overflowPunct/>
        <w:topLinePunct w:val="0"/>
        <w:autoSpaceDE/>
        <w:autoSpaceDN/>
        <w:bidi w:val="0"/>
        <w:adjustRightInd/>
        <w:snapToGrid/>
        <w:spacing w:beforeLines="50" w:afterLines="50" w:line="520" w:lineRule="exact"/>
        <w:ind w:firstLine="640" w:firstLineChars="200"/>
        <w:textAlignment w:val="auto"/>
        <w:rPr>
          <w:rFonts w:ascii="黑体" w:hAnsi="黑体" w:eastAsia="黑体"/>
        </w:rPr>
      </w:pPr>
      <w:r>
        <w:rPr>
          <w:rFonts w:hint="eastAsia" w:ascii="黑体" w:hAnsi="黑体" w:eastAsia="黑体"/>
        </w:rPr>
        <w:t>五、存在的主要问题及改进情况</w:t>
      </w:r>
    </w:p>
    <w:p>
      <w:pPr>
        <w:keepNext w:val="0"/>
        <w:keepLines w:val="0"/>
        <w:pageBreakBefore w:val="0"/>
        <w:widowControl w:val="0"/>
        <w:kinsoku/>
        <w:wordWrap w:val="0"/>
        <w:overflowPunct/>
        <w:topLinePunct w:val="0"/>
        <w:autoSpaceDE/>
        <w:autoSpaceDN/>
        <w:bidi w:val="0"/>
        <w:adjustRightInd/>
        <w:snapToGrid/>
        <w:spacing w:line="520" w:lineRule="exact"/>
        <w:ind w:right="357" w:firstLine="640" w:firstLineChars="200"/>
        <w:textAlignment w:val="auto"/>
        <w:rPr>
          <w:rFonts w:hint="default"/>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针对</w:t>
      </w:r>
      <w:r>
        <w:rPr>
          <w:rFonts w:hint="eastAsia"/>
          <w:lang w:val="en-US" w:eastAsia="zh-CN"/>
        </w:rPr>
        <w:t>2020</w:t>
      </w:r>
      <w:r>
        <w:rPr>
          <w:rFonts w:hint="eastAsia"/>
          <w:color w:val="000000" w:themeColor="text1"/>
          <w:u w:val="none"/>
          <w:lang w:val="en-US" w:eastAsia="zh-CN"/>
          <w14:textFill>
            <w14:solidFill>
              <w14:schemeClr w14:val="tx1"/>
            </w14:solidFill>
          </w14:textFill>
        </w:rPr>
        <w:t>年政府信息公开工作年度报告中提到的主动回应形式单一问题，我局今年高度重视，多渠道学习借鉴相关单位医保政策解读，今年我局主动回应信息</w:t>
      </w:r>
      <w:r>
        <w:rPr>
          <w:rFonts w:hint="eastAsia"/>
          <w:lang w:val="en-US" w:eastAsia="zh-CN"/>
        </w:rPr>
        <w:t>30</w:t>
      </w:r>
      <w:r>
        <w:rPr>
          <w:rFonts w:hint="eastAsia"/>
          <w:color w:val="000000" w:themeColor="text1"/>
          <w:u w:val="none"/>
          <w:lang w:val="en-US" w:eastAsia="zh-CN"/>
          <w14:textFill>
            <w14:solidFill>
              <w14:schemeClr w14:val="tx1"/>
            </w14:solidFill>
          </w14:textFill>
        </w:rPr>
        <w:t>条，涉及图片、文字、视频等多种形式。当前我局政府信息工作中存在的问题主要有重大决策意见征集和意见反馈少，负责人政策解读较少。下一步，我局将在下一年度的政策文件制定中使用好意见征集库，广泛征求群众意见，同时进行加强负责人政策解读。</w:t>
      </w:r>
    </w:p>
    <w:p>
      <w:pPr>
        <w:keepNext w:val="0"/>
        <w:keepLines w:val="0"/>
        <w:pageBreakBefore w:val="0"/>
        <w:widowControl w:val="0"/>
        <w:kinsoku/>
        <w:overflowPunct/>
        <w:topLinePunct w:val="0"/>
        <w:autoSpaceDE/>
        <w:autoSpaceDN/>
        <w:bidi w:val="0"/>
        <w:snapToGrid/>
        <w:spacing w:beforeLines="50" w:afterLines="50" w:line="520" w:lineRule="exact"/>
        <w:ind w:firstLine="640" w:firstLineChars="200"/>
        <w:textAlignment w:val="auto"/>
        <w:rPr>
          <w:rFonts w:ascii="黑体" w:hAnsi="黑体" w:eastAsia="黑体"/>
          <w:color w:val="000000" w:themeColor="text1"/>
          <w:u w:val="none"/>
          <w14:textFill>
            <w14:solidFill>
              <w14:schemeClr w14:val="tx1"/>
            </w14:solidFill>
          </w14:textFill>
        </w:rPr>
      </w:pPr>
      <w:r>
        <w:rPr>
          <w:rFonts w:hint="eastAsia" w:ascii="黑体" w:hAnsi="黑体" w:eastAsia="黑体"/>
          <w:color w:val="000000" w:themeColor="text1"/>
          <w:u w:val="none"/>
          <w14:textFill>
            <w14:solidFill>
              <w14:schemeClr w14:val="tx1"/>
            </w14:solidFill>
          </w14:textFill>
        </w:rPr>
        <w:t>六、其他需要报告的事项</w:t>
      </w:r>
    </w:p>
    <w:p>
      <w:pPr>
        <w:keepNext w:val="0"/>
        <w:keepLines w:val="0"/>
        <w:pageBreakBefore w:val="0"/>
        <w:widowControl w:val="0"/>
        <w:kinsoku/>
        <w:wordWrap w:val="0"/>
        <w:overflowPunct/>
        <w:topLinePunct w:val="0"/>
        <w:autoSpaceDE/>
        <w:autoSpaceDN/>
        <w:bidi w:val="0"/>
        <w:snapToGrid/>
        <w:spacing w:line="520" w:lineRule="exact"/>
        <w:ind w:right="357" w:firstLine="640" w:firstLineChars="200"/>
        <w:textAlignment w:val="auto"/>
        <w:rPr>
          <w:rFonts w:hint="eastAsia"/>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按照《国务院办公厅关于印发&lt;政府信息公开信息处理费管理办法&gt;的通知》（国办函</w:t>
      </w:r>
      <w:r>
        <w:rPr>
          <w:rFonts w:hint="eastAsia" w:ascii="仿宋_GB2312" w:hAnsi="仿宋_GB2312" w:eastAsia="仿宋_GB2312" w:cs="仿宋_GB2312"/>
          <w:color w:val="000000" w:themeColor="text1"/>
          <w:u w:val="none"/>
          <w:lang w:val="en-US"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2020</w:t>
      </w:r>
      <w:r>
        <w:rPr>
          <w:rFonts w:hint="eastAsia" w:ascii="仿宋_GB2312" w:hAnsi="仿宋_GB2312" w:eastAsia="仿宋_GB2312" w:cs="仿宋_GB2312"/>
          <w:color w:val="000000" w:themeColor="text1"/>
          <w:u w:val="none"/>
          <w:lang w:val="en-US"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109号）规定的按件、按量收费标准，本年度没有产生信息公开处理费。</w:t>
      </w:r>
    </w:p>
    <w:p>
      <w:pPr>
        <w:keepNext w:val="0"/>
        <w:keepLines w:val="0"/>
        <w:pageBreakBefore w:val="0"/>
        <w:widowControl w:val="0"/>
        <w:kinsoku/>
        <w:wordWrap w:val="0"/>
        <w:overflowPunct/>
        <w:topLinePunct w:val="0"/>
        <w:autoSpaceDE/>
        <w:autoSpaceDN/>
        <w:bidi w:val="0"/>
        <w:snapToGrid/>
        <w:spacing w:line="520" w:lineRule="exact"/>
        <w:ind w:right="80" w:firstLine="640" w:firstLineChars="200"/>
        <w:jc w:val="right"/>
        <w:textAlignment w:val="auto"/>
        <w:rPr>
          <w:rFonts w:hint="eastAsia"/>
          <w:color w:val="000000" w:themeColor="text1"/>
          <w:u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snapToGrid/>
        <w:spacing w:line="520" w:lineRule="exact"/>
        <w:ind w:right="80" w:firstLine="640" w:firstLineChars="200"/>
        <w:jc w:val="right"/>
        <w:textAlignment w:val="auto"/>
        <w:rPr>
          <w:rFonts w:hint="eastAsia"/>
          <w:color w:val="000000" w:themeColor="text1"/>
          <w:u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spacing w:line="520" w:lineRule="exact"/>
        <w:ind w:right="80" w:firstLine="0" w:firstLineChars="0"/>
        <w:jc w:val="right"/>
        <w:textAlignment w:val="auto"/>
        <w:rPr>
          <w:rFonts w:hint="default"/>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 xml:space="preserve">舒城县医疗保障局  </w:t>
      </w:r>
    </w:p>
    <w:p>
      <w:pPr>
        <w:keepNext w:val="0"/>
        <w:keepLines w:val="0"/>
        <w:pageBreakBefore w:val="0"/>
        <w:widowControl w:val="0"/>
        <w:kinsoku/>
        <w:wordWrap w:val="0"/>
        <w:overflowPunct/>
        <w:topLinePunct w:val="0"/>
        <w:autoSpaceDE/>
        <w:autoSpaceDN/>
        <w:bidi w:val="0"/>
        <w:adjustRightInd w:val="0"/>
        <w:snapToGrid/>
        <w:spacing w:line="520" w:lineRule="exact"/>
        <w:ind w:right="80" w:firstLine="0" w:firstLineChars="0"/>
        <w:jc w:val="right"/>
        <w:textAlignment w:val="auto"/>
        <w:rPr>
          <w:rFonts w:hint="default"/>
          <w:color w:val="000000" w:themeColor="text1"/>
          <w:u w:val="none"/>
          <w:lang w:val="en-US" w:eastAsia="zh-CN"/>
          <w14:textFill>
            <w14:solidFill>
              <w14:schemeClr w14:val="tx1"/>
            </w14:solidFill>
          </w14:textFill>
        </w:rPr>
      </w:pPr>
      <w:r>
        <w:rPr>
          <w:rFonts w:hint="eastAsia"/>
          <w:color w:val="000000" w:themeColor="text1"/>
          <w:u w:val="none"/>
          <w:lang w:val="en-US" w:eastAsia="zh-CN"/>
          <w14:textFill>
            <w14:solidFill>
              <w14:schemeClr w14:val="tx1"/>
            </w14:solidFill>
          </w14:textFill>
        </w:rPr>
        <w:t xml:space="preserve">2022年1月17日  </w:t>
      </w:r>
    </w:p>
    <w:p>
      <w:pPr>
        <w:keepNext w:val="0"/>
        <w:keepLines w:val="0"/>
        <w:pageBreakBefore w:val="0"/>
        <w:widowControl w:val="0"/>
        <w:kinsoku/>
        <w:overflowPunct/>
        <w:topLinePunct w:val="0"/>
        <w:autoSpaceDE/>
        <w:autoSpaceDN/>
        <w:bidi w:val="0"/>
        <w:snapToGrid/>
        <w:spacing w:line="520" w:lineRule="exact"/>
        <w:textAlignment w:val="auto"/>
        <w:rPr>
          <w:color w:val="000000" w:themeColor="text1"/>
          <w:u w:val="single"/>
          <w14:textFill>
            <w14:solidFill>
              <w14:schemeClr w14:val="tx1"/>
            </w14:solidFill>
          </w14:textFill>
        </w:rPr>
      </w:pPr>
    </w:p>
    <w:p/>
    <w:sectPr>
      <w:footerReference r:id="rId3" w:type="default"/>
      <w:pgSz w:w="11906" w:h="16838"/>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2313"/>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25FDA"/>
    <w:multiLevelType w:val="singleLevel"/>
    <w:tmpl w:val="13125FDA"/>
    <w:lvl w:ilvl="0" w:tentative="0">
      <w:start w:val="1"/>
      <w:numFmt w:val="decimal"/>
      <w:suff w:val="nothing"/>
      <w:lvlText w:val="%1．"/>
      <w:lvlJc w:val="left"/>
    </w:lvl>
  </w:abstractNum>
  <w:abstractNum w:abstractNumId="1">
    <w:nsid w:val="62270C62"/>
    <w:multiLevelType w:val="singleLevel"/>
    <w:tmpl w:val="62270C6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B0"/>
    <w:rsid w:val="00084128"/>
    <w:rsid w:val="00087048"/>
    <w:rsid w:val="000B3DBC"/>
    <w:rsid w:val="001204A1"/>
    <w:rsid w:val="00184F69"/>
    <w:rsid w:val="001B5036"/>
    <w:rsid w:val="001D0471"/>
    <w:rsid w:val="001D5EB6"/>
    <w:rsid w:val="001E0C42"/>
    <w:rsid w:val="00203959"/>
    <w:rsid w:val="002325A2"/>
    <w:rsid w:val="00263CE9"/>
    <w:rsid w:val="002A0EFA"/>
    <w:rsid w:val="00363F2B"/>
    <w:rsid w:val="003E30F3"/>
    <w:rsid w:val="0040291E"/>
    <w:rsid w:val="004162B5"/>
    <w:rsid w:val="00425D32"/>
    <w:rsid w:val="004477FF"/>
    <w:rsid w:val="00447A57"/>
    <w:rsid w:val="00511CAB"/>
    <w:rsid w:val="00543868"/>
    <w:rsid w:val="00566758"/>
    <w:rsid w:val="00580F8C"/>
    <w:rsid w:val="0059388B"/>
    <w:rsid w:val="00627549"/>
    <w:rsid w:val="006405D6"/>
    <w:rsid w:val="00657E28"/>
    <w:rsid w:val="00672A1B"/>
    <w:rsid w:val="00716F77"/>
    <w:rsid w:val="0072388B"/>
    <w:rsid w:val="00727748"/>
    <w:rsid w:val="00752D6F"/>
    <w:rsid w:val="007B1948"/>
    <w:rsid w:val="008017C9"/>
    <w:rsid w:val="008647E7"/>
    <w:rsid w:val="00875C0A"/>
    <w:rsid w:val="008A61FB"/>
    <w:rsid w:val="008B3A44"/>
    <w:rsid w:val="00903783"/>
    <w:rsid w:val="0093729A"/>
    <w:rsid w:val="0095712D"/>
    <w:rsid w:val="00992886"/>
    <w:rsid w:val="009A07D6"/>
    <w:rsid w:val="009A0AD7"/>
    <w:rsid w:val="009E19C0"/>
    <w:rsid w:val="00A27F03"/>
    <w:rsid w:val="00A44AD7"/>
    <w:rsid w:val="00A76437"/>
    <w:rsid w:val="00A94272"/>
    <w:rsid w:val="00AB6057"/>
    <w:rsid w:val="00AC0CAD"/>
    <w:rsid w:val="00B0451D"/>
    <w:rsid w:val="00B371B4"/>
    <w:rsid w:val="00B712CD"/>
    <w:rsid w:val="00B823F1"/>
    <w:rsid w:val="00B95CB0"/>
    <w:rsid w:val="00BB7476"/>
    <w:rsid w:val="00BC3DEF"/>
    <w:rsid w:val="00BF03E3"/>
    <w:rsid w:val="00C0019C"/>
    <w:rsid w:val="00C14812"/>
    <w:rsid w:val="00C80049"/>
    <w:rsid w:val="00CB3ACB"/>
    <w:rsid w:val="00CD719B"/>
    <w:rsid w:val="00D21645"/>
    <w:rsid w:val="00D47D06"/>
    <w:rsid w:val="00DD5B49"/>
    <w:rsid w:val="00E04727"/>
    <w:rsid w:val="00E24E25"/>
    <w:rsid w:val="00E65092"/>
    <w:rsid w:val="00E74740"/>
    <w:rsid w:val="00EA239D"/>
    <w:rsid w:val="00F71831"/>
    <w:rsid w:val="00F804C5"/>
    <w:rsid w:val="09942C73"/>
    <w:rsid w:val="0B370940"/>
    <w:rsid w:val="0DC842C1"/>
    <w:rsid w:val="0F5F6592"/>
    <w:rsid w:val="138D0A72"/>
    <w:rsid w:val="16C278F8"/>
    <w:rsid w:val="17141E01"/>
    <w:rsid w:val="187F405C"/>
    <w:rsid w:val="1BA06A26"/>
    <w:rsid w:val="2B2346F4"/>
    <w:rsid w:val="2FE75F87"/>
    <w:rsid w:val="32303877"/>
    <w:rsid w:val="326C7834"/>
    <w:rsid w:val="327F031B"/>
    <w:rsid w:val="32B824AA"/>
    <w:rsid w:val="3D3267DC"/>
    <w:rsid w:val="42824042"/>
    <w:rsid w:val="577826B4"/>
    <w:rsid w:val="5A5515F8"/>
    <w:rsid w:val="5A8E53E8"/>
    <w:rsid w:val="5F5813F8"/>
    <w:rsid w:val="65EB028B"/>
    <w:rsid w:val="66447AB3"/>
    <w:rsid w:val="6682745E"/>
    <w:rsid w:val="680C235F"/>
    <w:rsid w:val="6A9A6C13"/>
    <w:rsid w:val="70143240"/>
    <w:rsid w:val="70925E25"/>
    <w:rsid w:val="7EC653E6"/>
    <w:rsid w:val="DFFF3F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432</Words>
  <Characters>2468</Characters>
  <Lines>20</Lines>
  <Paragraphs>5</Paragraphs>
  <TotalTime>249</TotalTime>
  <ScaleCrop>false</ScaleCrop>
  <LinksUpToDate>false</LinksUpToDate>
  <CharactersWithSpaces>2895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2021-01-14T17:20:00Z</dcterms:created>
  <dc:creator>gyb1</dc:creator>
  <cp:lastModifiedBy>administrator</cp:lastModifiedBy>
  <cp:lastPrinted>2022-01-17T15:19:00Z</cp:lastPrinted>
  <dcterms:modified xsi:type="dcterms:W3CDTF">2022-08-19T17:32:04Z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B01B777490E14BBE81DDA9722E470523</vt:lpwstr>
  </property>
</Properties>
</file>