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方正小标宋简体" w:eastAsia="方正小标宋简体"/>
          <w:sz w:val="44"/>
          <w:szCs w:val="44"/>
        </w:rPr>
      </w:pPr>
      <w:r>
        <w:rPr>
          <w:rFonts w:hint="eastAsia" w:ascii="方正小标宋简体" w:eastAsia="方正小标宋简体"/>
          <w:sz w:val="44"/>
          <w:szCs w:val="44"/>
        </w:rPr>
        <w:t>舒城县审计局2021年政府信息公开工作</w:t>
      </w:r>
    </w:p>
    <w:p>
      <w:pPr>
        <w:spacing w:line="700" w:lineRule="exact"/>
        <w:jc w:val="center"/>
        <w:rPr>
          <w:rFonts w:ascii="方正小标宋简体" w:eastAsia="方正小标宋简体"/>
          <w:sz w:val="44"/>
          <w:szCs w:val="44"/>
        </w:rPr>
      </w:pPr>
      <w:r>
        <w:rPr>
          <w:rFonts w:hint="eastAsia" w:ascii="方正小标宋简体" w:eastAsia="方正小标宋简体"/>
          <w:sz w:val="44"/>
          <w:szCs w:val="44"/>
        </w:rPr>
        <w:t>年度报告</w:t>
      </w:r>
    </w:p>
    <w:p>
      <w:pPr>
        <w:spacing w:line="700" w:lineRule="exact"/>
        <w:jc w:val="center"/>
        <w:rPr>
          <w:rFonts w:ascii="方正小标宋简体" w:eastAsia="方正小标宋简体"/>
          <w:sz w:val="44"/>
          <w:szCs w:val="44"/>
        </w:rPr>
      </w:pPr>
      <w:bookmarkStart w:id="0" w:name="OLE_LINK1"/>
    </w:p>
    <w:p>
      <w:pPr>
        <w:ind w:firstLine="640" w:firstLineChars="200"/>
        <w:rPr>
          <w:rFonts w:ascii="仿宋_GB2312" w:eastAsia="仿宋_GB2312" w:cs="Times New Roman"/>
          <w:color w:val="333333"/>
          <w:kern w:val="0"/>
          <w:sz w:val="32"/>
          <w:szCs w:val="32"/>
          <w:shd w:val="clear" w:color="auto" w:fill="FFFFFF"/>
        </w:rPr>
      </w:pPr>
      <w:r>
        <w:rPr>
          <w:rFonts w:hint="eastAsia" w:ascii="仿宋_GB2312" w:eastAsia="仿宋_GB2312" w:cs="Times New Roman"/>
          <w:color w:val="333333"/>
          <w:kern w:val="0"/>
          <w:sz w:val="32"/>
          <w:szCs w:val="32"/>
          <w:shd w:val="clear" w:color="auto" w:fill="FFFFFF"/>
        </w:rPr>
        <w:t>根据《中华人民共和国政府信息公开条例》（以下简称《条例》）、《安徽省政务公开办公室关于做好 2021 年度政府信息公开工作年度报告编制和发布工作的通知》（皖政务办秘﹝2021﹞37 号）和《六安市政务公开办公室关于做好政府信息公开年度报告编制和发布工作的通知》（六政务公开办〔2021〕64 号）要求，现公开舒城县审计局2021年政府信息公开工作年度报告。报告中使用数据统计期限为2021年1月1日至12月31日。如对本报告有疑问，可与舒城县审计局办公室联系(地址：舒城县城关镇桃溪路新世纪大厦七楼办公室，邮编：231300，联系电话：0564-8621256)。</w:t>
      </w:r>
    </w:p>
    <w:p>
      <w:pPr>
        <w:pStyle w:val="5"/>
        <w:widowControl/>
        <w:shd w:val="clear" w:color="auto" w:fill="FFFFFF"/>
        <w:spacing w:beforeAutospacing="0" w:afterAutospacing="0" w:line="560" w:lineRule="exact"/>
        <w:ind w:firstLine="640" w:firstLineChars="200"/>
        <w:jc w:val="both"/>
        <w:rPr>
          <w:rFonts w:ascii="黑体" w:hAnsi="黑体" w:eastAsia="黑体" w:cs="宋体"/>
          <w:color w:val="333333"/>
          <w:sz w:val="32"/>
          <w:szCs w:val="32"/>
        </w:rPr>
      </w:pPr>
      <w:r>
        <w:rPr>
          <w:rFonts w:hint="eastAsia" w:ascii="黑体" w:hAnsi="黑体" w:eastAsia="黑体" w:cs="宋体"/>
          <w:bCs/>
          <w:color w:val="333333"/>
          <w:sz w:val="32"/>
          <w:szCs w:val="32"/>
          <w:shd w:val="clear" w:color="auto" w:fill="FFFFFF"/>
        </w:rPr>
        <w:t>一、总体情况</w:t>
      </w:r>
    </w:p>
    <w:p>
      <w:pPr>
        <w:pStyle w:val="5"/>
        <w:widowControl/>
        <w:shd w:val="clear" w:color="auto" w:fill="FFFFFF"/>
        <w:spacing w:beforeAutospacing="0" w:afterAutospacing="0" w:line="560" w:lineRule="exact"/>
        <w:ind w:firstLine="640" w:firstLineChars="200"/>
        <w:jc w:val="both"/>
        <w:rPr>
          <w:rFonts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rPr>
        <w:t>2021年，我局政府信息公开工作在县政务公开办的领导下，以全面贯彻《中华人民共和国政府信息公开条例》为抓手，切实加强组织领导，建立健全工作机制，依法推进政府信息公开，政务公开各项工作全面完成，政务公开质量全面提升。</w:t>
      </w:r>
    </w:p>
    <w:p>
      <w:pPr>
        <w:widowControl/>
        <w:shd w:val="clear" w:color="auto" w:fill="FFFFFF"/>
        <w:spacing w:line="560" w:lineRule="exact"/>
        <w:ind w:firstLine="640" w:firstLineChars="200"/>
        <w:rPr>
          <w:rFonts w:ascii="仿宋_GB2312" w:hAnsi="微软雅黑" w:eastAsia="仿宋_GB2312" w:cs="宋体"/>
          <w:color w:val="333333"/>
          <w:kern w:val="0"/>
          <w:sz w:val="28"/>
          <w:szCs w:val="28"/>
        </w:rPr>
      </w:pPr>
      <w:r>
        <w:rPr>
          <w:rFonts w:hint="eastAsia" w:ascii="楷体_GB2312" w:hAnsi="楷体_GB2312" w:eastAsia="楷体_GB2312" w:cs="楷体_GB2312"/>
          <w:color w:val="333333"/>
          <w:kern w:val="0"/>
          <w:sz w:val="32"/>
          <w:szCs w:val="32"/>
        </w:rPr>
        <w:t>（一）主动公开。</w:t>
      </w:r>
      <w:r>
        <w:rPr>
          <w:rFonts w:hint="eastAsia" w:ascii="仿宋_GB2312" w:eastAsia="仿宋_GB2312" w:cs="Times New Roman"/>
          <w:color w:val="333333"/>
          <w:kern w:val="0"/>
          <w:sz w:val="32"/>
          <w:szCs w:val="32"/>
          <w:shd w:val="clear" w:color="auto" w:fill="FFFFFF"/>
        </w:rPr>
        <w:t>一是强化审计信息公开。主动及时向社会公告审计结果、审计项目进点及审计相关情况等信息。畅通政民沟通互动渠道，主动回应公众关切24次。二是发挥县政务公开网主渠道作用，及时向社会发布财政预决算及“三公”经费、部门项目信息4条。三是根据《条例》的规定和要求，2021年，我局围绕专项审计、重大政策落实跟踪审计等重点领域，主动公开信息318条，推动信息公开提质增效。</w:t>
      </w:r>
    </w:p>
    <w:p>
      <w:pPr>
        <w:widowControl/>
        <w:shd w:val="clear" w:color="auto" w:fill="FFFFFF"/>
        <w:spacing w:line="560" w:lineRule="exact"/>
        <w:ind w:firstLine="640" w:firstLineChars="200"/>
        <w:rPr>
          <w:rFonts w:ascii="仿宋_GB2312" w:eastAsia="仿宋_GB2312" w:cs="Times New Roman"/>
          <w:color w:val="333333"/>
          <w:kern w:val="0"/>
          <w:sz w:val="32"/>
          <w:szCs w:val="32"/>
          <w:shd w:val="clear" w:color="auto" w:fill="FFFFFF"/>
        </w:rPr>
      </w:pPr>
      <w:r>
        <w:rPr>
          <w:rFonts w:hint="eastAsia" w:ascii="楷体_GB2312" w:hAnsi="楷体_GB2312" w:eastAsia="楷体_GB2312" w:cs="楷体_GB2312"/>
          <w:color w:val="333333"/>
          <w:kern w:val="0"/>
          <w:sz w:val="32"/>
          <w:szCs w:val="32"/>
        </w:rPr>
        <w:t>（二）</w:t>
      </w:r>
      <w:r>
        <w:rPr>
          <w:rFonts w:hint="eastAsia" w:ascii="仿宋_GB2312" w:eastAsia="仿宋_GB2312" w:cs="Times New Roman"/>
          <w:color w:val="333333"/>
          <w:kern w:val="0"/>
          <w:sz w:val="32"/>
          <w:szCs w:val="32"/>
          <w:shd w:val="clear" w:color="auto" w:fill="FFFFFF"/>
        </w:rPr>
        <w:t>依申请公开。依托网站集约化平台依申请公开系统，进一步明确依申请公开的受理机构、申请内容、申请方式、答复时限，规范管理依申请公开登记、审核、办理、答复、归档各环节，做到依法有据、严谨规范、慎重稳妥。2021年，我局未接到群众的依申请公开申请。</w:t>
      </w:r>
    </w:p>
    <w:p>
      <w:pPr>
        <w:widowControl/>
        <w:shd w:val="clear" w:color="auto" w:fill="FFFFFF"/>
        <w:spacing w:line="560" w:lineRule="exact"/>
        <w:ind w:firstLine="640" w:firstLineChars="200"/>
        <w:rPr>
          <w:rFonts w:ascii="仿宋_GB2312" w:eastAsia="仿宋_GB2312" w:cs="Times New Roman"/>
          <w:color w:val="333333"/>
          <w:kern w:val="0"/>
          <w:sz w:val="32"/>
          <w:szCs w:val="32"/>
          <w:shd w:val="clear" w:color="auto" w:fill="FFFFFF"/>
        </w:rPr>
      </w:pPr>
      <w:r>
        <w:rPr>
          <w:rFonts w:hint="eastAsia" w:ascii="楷体_GB2312" w:hAnsi="楷体_GB2312" w:eastAsia="楷体_GB2312" w:cs="楷体_GB2312"/>
          <w:color w:val="333333"/>
          <w:kern w:val="0"/>
          <w:sz w:val="32"/>
          <w:szCs w:val="32"/>
          <w:shd w:val="clear" w:color="auto" w:fill="FFFFFF"/>
        </w:rPr>
        <w:t>（三）政府信息管理。</w:t>
      </w:r>
      <w:r>
        <w:rPr>
          <w:rFonts w:hint="eastAsia" w:ascii="仿宋_GB2312" w:eastAsia="仿宋_GB2312" w:cs="Times New Roman"/>
          <w:color w:val="333333"/>
          <w:kern w:val="0"/>
          <w:sz w:val="32"/>
          <w:szCs w:val="32"/>
          <w:shd w:val="clear" w:color="auto" w:fill="FFFFFF"/>
        </w:rPr>
        <w:t>2021年，我局进一步完善了《舒城县审计局政府信息公开保密审查制度》，严格按照“涉密不上网、上网不涉密”工作要求，严格落实“三审制”，对上传的信息层层审核把关，确保不发生泄密、泄露隐私现象；按照“谁起草谁清理、谁实施谁清理”的原则，认真开展规范性文件清理工作，由我局起草提请县政府发文的规范性文件共有5件，已废止2件, 继续有效3件。</w:t>
      </w:r>
    </w:p>
    <w:p>
      <w:pPr>
        <w:widowControl/>
        <w:shd w:val="clear" w:color="auto" w:fill="FFFFFF"/>
        <w:spacing w:line="560" w:lineRule="exact"/>
        <w:ind w:firstLine="640" w:firstLineChars="200"/>
        <w:rPr>
          <w:rFonts w:ascii="仿宋_GB2312" w:eastAsia="仿宋_GB2312" w:cs="Times New Roman"/>
          <w:color w:val="333333"/>
          <w:kern w:val="0"/>
          <w:sz w:val="32"/>
          <w:szCs w:val="32"/>
          <w:shd w:val="clear" w:color="auto" w:fill="FFFFFF"/>
        </w:rPr>
      </w:pPr>
      <w:r>
        <w:rPr>
          <w:rFonts w:hint="eastAsia" w:ascii="楷体_GB2312" w:hAnsi="楷体_GB2312" w:eastAsia="楷体_GB2312" w:cs="楷体_GB2312"/>
          <w:color w:val="333333"/>
          <w:kern w:val="0"/>
          <w:sz w:val="32"/>
          <w:szCs w:val="32"/>
          <w:shd w:val="clear" w:color="auto" w:fill="FFFFFF"/>
        </w:rPr>
        <w:t>（四）政府信息</w:t>
      </w:r>
      <w:bookmarkStart w:id="1" w:name="_GoBack"/>
      <w:bookmarkEnd w:id="1"/>
      <w:r>
        <w:rPr>
          <w:rFonts w:hint="eastAsia" w:ascii="楷体_GB2312" w:hAnsi="楷体_GB2312" w:eastAsia="楷体_GB2312" w:cs="楷体_GB2312"/>
          <w:color w:val="333333"/>
          <w:kern w:val="0"/>
          <w:sz w:val="32"/>
          <w:szCs w:val="32"/>
          <w:shd w:val="clear" w:color="auto" w:fill="FFFFFF"/>
        </w:rPr>
        <w:t>平台建设。</w:t>
      </w:r>
      <w:r>
        <w:rPr>
          <w:rFonts w:hint="eastAsia" w:ascii="仿宋_GB2312" w:eastAsia="仿宋_GB2312" w:cs="Times New Roman"/>
          <w:color w:val="333333"/>
          <w:kern w:val="0"/>
          <w:sz w:val="32"/>
          <w:szCs w:val="32"/>
          <w:shd w:val="clear" w:color="auto" w:fill="FFFFFF"/>
        </w:rPr>
        <w:t>根据县政务公开办工作要求，紧密结合上级要求，紧密结合权责清单调整等工作实际，适时对政府信息主动公开目录进行调整，优化完善政务公开平台栏目设置，让公开更全面、更规范。</w:t>
      </w:r>
    </w:p>
    <w:p>
      <w:pPr>
        <w:widowControl/>
        <w:shd w:val="clear" w:color="auto" w:fill="FFFFFF"/>
        <w:spacing w:line="560" w:lineRule="exact"/>
        <w:ind w:firstLine="640" w:firstLineChars="200"/>
        <w:rPr>
          <w:rFonts w:ascii="楷体_GB2312" w:hAnsi="楷体_GB2312" w:eastAsia="楷体_GB2312" w:cs="楷体_GB2312"/>
          <w:color w:val="333333"/>
          <w:kern w:val="0"/>
          <w:sz w:val="32"/>
          <w:szCs w:val="32"/>
          <w:shd w:val="clear" w:color="auto" w:fill="FFFFFF"/>
        </w:rPr>
      </w:pPr>
      <w:r>
        <w:rPr>
          <w:rFonts w:hint="eastAsia" w:ascii="楷体_GB2312" w:hAnsi="楷体_GB2312" w:eastAsia="楷体_GB2312" w:cs="楷体_GB2312"/>
          <w:color w:val="333333"/>
          <w:kern w:val="0"/>
          <w:sz w:val="32"/>
          <w:szCs w:val="32"/>
          <w:shd w:val="clear" w:color="auto" w:fill="FFFFFF"/>
        </w:rPr>
        <w:t>（五）监督保障。</w:t>
      </w:r>
    </w:p>
    <w:p>
      <w:pPr>
        <w:widowControl/>
        <w:shd w:val="clear" w:color="auto" w:fill="FFFFFF"/>
        <w:spacing w:line="560" w:lineRule="exact"/>
        <w:ind w:firstLine="640" w:firstLineChars="200"/>
        <w:rPr>
          <w:rFonts w:ascii="仿宋_GB2312" w:eastAsia="仿宋_GB2312" w:cs="Times New Roman"/>
          <w:color w:val="333333"/>
          <w:kern w:val="0"/>
          <w:sz w:val="32"/>
          <w:szCs w:val="32"/>
          <w:shd w:val="clear" w:color="auto" w:fill="FFFFFF"/>
        </w:rPr>
      </w:pPr>
      <w:r>
        <w:rPr>
          <w:rFonts w:hint="eastAsia" w:ascii="仿宋_GB2312" w:eastAsia="仿宋_GB2312" w:cs="Times New Roman"/>
          <w:color w:val="333333"/>
          <w:kern w:val="0"/>
          <w:sz w:val="32"/>
          <w:szCs w:val="32"/>
          <w:shd w:val="clear" w:color="auto" w:fill="FFFFFF"/>
        </w:rPr>
        <w:t>1.工作考核。将政务公开工作任务细化分解到局各股室，层层压实责任，纳入年度考核工作，推进政务公开工作深入开展。</w:t>
      </w:r>
    </w:p>
    <w:p>
      <w:pPr>
        <w:widowControl/>
        <w:shd w:val="clear" w:color="auto" w:fill="FFFFFF"/>
        <w:spacing w:line="560" w:lineRule="exact"/>
        <w:ind w:firstLine="640" w:firstLineChars="200"/>
        <w:rPr>
          <w:rFonts w:ascii="仿宋_GB2312" w:eastAsia="仿宋_GB2312" w:cs="Times New Roman"/>
          <w:color w:val="333333"/>
          <w:kern w:val="0"/>
          <w:sz w:val="32"/>
          <w:szCs w:val="32"/>
          <w:shd w:val="clear" w:color="auto" w:fill="FFFFFF"/>
        </w:rPr>
      </w:pPr>
      <w:r>
        <w:rPr>
          <w:rFonts w:hint="eastAsia" w:ascii="仿宋_GB2312" w:eastAsia="仿宋_GB2312" w:cs="Times New Roman"/>
          <w:color w:val="333333"/>
          <w:kern w:val="0"/>
          <w:sz w:val="32"/>
          <w:szCs w:val="32"/>
          <w:shd w:val="clear" w:color="auto" w:fill="FFFFFF"/>
        </w:rPr>
        <w:t>2.社会评议。认真收集、听取群众评议监督的意见和建议，针对出现的问题，落实整改，进一步规范政府信息公开工作。</w:t>
      </w:r>
    </w:p>
    <w:p>
      <w:pPr>
        <w:widowControl/>
        <w:shd w:val="clear" w:color="auto" w:fill="FFFFFF"/>
        <w:spacing w:line="560" w:lineRule="exact"/>
        <w:ind w:firstLine="640" w:firstLineChars="200"/>
        <w:rPr>
          <w:rFonts w:ascii="仿宋_GB2312" w:eastAsia="仿宋_GB2312" w:cs="Times New Roman"/>
          <w:color w:val="333333"/>
          <w:kern w:val="0"/>
          <w:sz w:val="32"/>
          <w:szCs w:val="32"/>
          <w:shd w:val="clear" w:color="auto" w:fill="FFFFFF"/>
        </w:rPr>
      </w:pPr>
      <w:r>
        <w:rPr>
          <w:rFonts w:hint="eastAsia" w:ascii="仿宋_GB2312" w:eastAsia="仿宋_GB2312" w:cs="Times New Roman"/>
          <w:color w:val="333333"/>
          <w:kern w:val="0"/>
          <w:sz w:val="32"/>
          <w:szCs w:val="32"/>
          <w:shd w:val="clear" w:color="auto" w:fill="FFFFFF"/>
        </w:rPr>
        <w:t>3.责任追究。2021年，各股室积极配合开展政务公开工作，未发生因不履行政务公开义务而发生的责任追究情况。</w:t>
      </w:r>
    </w:p>
    <w:p>
      <w:pPr>
        <w:widowControl/>
        <w:shd w:val="clear" w:color="auto" w:fill="FFFFFF"/>
        <w:spacing w:line="560" w:lineRule="exact"/>
        <w:ind w:firstLine="640" w:firstLineChars="200"/>
        <w:rPr>
          <w:rFonts w:ascii="楷体_GB2312" w:hAnsi="楷体_GB2312" w:eastAsia="楷体_GB2312" w:cs="楷体_GB2312"/>
          <w:color w:val="333333"/>
          <w:kern w:val="0"/>
          <w:sz w:val="32"/>
          <w:szCs w:val="32"/>
          <w:shd w:val="clear" w:color="auto" w:fill="FFFFFF"/>
        </w:rPr>
      </w:pPr>
    </w:p>
    <w:p>
      <w:pPr>
        <w:pStyle w:val="5"/>
        <w:widowControl/>
        <w:shd w:val="clear" w:color="auto" w:fill="FFFFFF"/>
        <w:spacing w:beforeAutospacing="0" w:afterAutospacing="0"/>
        <w:ind w:firstLine="420"/>
        <w:jc w:val="both"/>
        <w:rPr>
          <w:rFonts w:ascii="黑体" w:hAnsi="黑体" w:eastAsia="黑体" w:cs="宋体"/>
          <w:bCs/>
          <w:color w:val="333333"/>
          <w:sz w:val="32"/>
          <w:szCs w:val="32"/>
          <w:shd w:val="clear" w:color="auto" w:fill="FFFFFF"/>
        </w:rPr>
      </w:pPr>
      <w:r>
        <w:rPr>
          <w:rFonts w:hint="eastAsia" w:ascii="黑体" w:hAnsi="黑体" w:eastAsia="黑体" w:cs="宋体"/>
          <w:bCs/>
          <w:color w:val="333333"/>
          <w:sz w:val="32"/>
          <w:szCs w:val="32"/>
          <w:shd w:val="clear" w:color="auto" w:fill="FFFFFF"/>
        </w:rPr>
        <w:t>二、主动公开政府信息情况</w:t>
      </w:r>
    </w:p>
    <w:tbl>
      <w:tblPr>
        <w:tblStyle w:val="6"/>
        <w:tblW w:w="9740" w:type="dxa"/>
        <w:jc w:val="center"/>
        <w:tblLayout w:type="autofit"/>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trHeight w:val="1047"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widowControl/>
              <w:wordWrap w:val="0"/>
              <w:jc w:val="center"/>
            </w:pPr>
            <w:r>
              <w:rPr>
                <w:rFonts w:hint="eastAsia" w:ascii="宋体" w:hAnsi="宋体" w:eastAsia="宋体" w:cs="宋体"/>
                <w:color w:val="000000"/>
                <w:kern w:val="0"/>
                <w:sz w:val="20"/>
                <w:szCs w:val="20"/>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wordWrap w:val="0"/>
              <w:jc w:val="center"/>
            </w:pPr>
            <w:r>
              <w:rPr>
                <w:rFonts w:hint="eastAsia" w:ascii="宋体" w:hAnsi="宋体" w:eastAsia="宋体" w:cs="宋体"/>
                <w:color w:val="000000"/>
                <w:kern w:val="0"/>
                <w:sz w:val="20"/>
                <w:szCs w:val="20"/>
              </w:rPr>
              <w:t>信息内容</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rPr>
                <w:rFonts w:hint="eastAsia" w:ascii="宋体" w:hAnsi="宋体" w:eastAsia="宋体" w:cs="宋体"/>
                <w:color w:val="000000"/>
                <w:kern w:val="0"/>
                <w:sz w:val="20"/>
                <w:szCs w:val="20"/>
              </w:rPr>
              <w:t>本年</w:t>
            </w:r>
            <w:r>
              <w:rPr>
                <w:rFonts w:hint="eastAsia" w:ascii="宋体" w:hAnsi="宋体" w:eastAsia="宋体" w:cs="宋体"/>
                <w:kern w:val="0"/>
                <w:sz w:val="20"/>
                <w:szCs w:val="20"/>
              </w:rPr>
              <w:t>制发件数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rPr>
                <w:rFonts w:hint="eastAsia" w:ascii="宋体" w:hAnsi="宋体" w:eastAsia="宋体" w:cs="宋体"/>
                <w:color w:val="000000"/>
                <w:kern w:val="0"/>
                <w:sz w:val="20"/>
                <w:szCs w:val="20"/>
              </w:rPr>
              <w:t>本年废止件数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rPr>
                <w:rFonts w:hint="eastAsia" w:ascii="宋体" w:hAnsi="宋体" w:eastAsia="宋体" w:cs="宋体"/>
                <w:color w:val="000000"/>
                <w:kern w:val="0"/>
                <w:sz w:val="20"/>
                <w:szCs w:val="20"/>
              </w:rPr>
              <w:t>现行有效件</w:t>
            </w:r>
            <w:r>
              <w:rPr>
                <w:rFonts w:hint="eastAsia" w:ascii="宋体" w:hAnsi="宋体" w:eastAsia="宋体" w:cs="宋体"/>
                <w:kern w:val="0"/>
                <w:sz w:val="20"/>
                <w:szCs w:val="20"/>
              </w:rPr>
              <w:t>数</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wordWrap w:val="0"/>
              <w:jc w:val="left"/>
            </w:pPr>
            <w:r>
              <w:rPr>
                <w:rFonts w:hint="eastAsia" w:ascii="宋体" w:hAnsi="宋体" w:eastAsia="宋体" w:cs="宋体"/>
                <w:color w:val="000000"/>
                <w:kern w:val="0"/>
                <w:sz w:val="20"/>
                <w:szCs w:val="20"/>
              </w:rPr>
              <w:t>规章</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left"/>
            </w:pPr>
            <w:r>
              <w:rPr>
                <w:rFonts w:hint="eastAsia"/>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left"/>
            </w:pPr>
            <w:r>
              <w:rPr>
                <w:rFonts w:hint="eastAsia"/>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left"/>
            </w:pPr>
            <w:r>
              <w:rPr>
                <w:rFonts w:hint="eastAsia"/>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wordWrap w:val="0"/>
              <w:jc w:val="left"/>
            </w:pPr>
            <w:r>
              <w:rPr>
                <w:rFonts w:hint="eastAsia" w:ascii="宋体" w:hAnsi="宋体" w:eastAsia="宋体" w:cs="宋体"/>
                <w:color w:val="000000"/>
                <w:kern w:val="0"/>
                <w:sz w:val="20"/>
                <w:szCs w:val="20"/>
              </w:rPr>
              <w:t>行政规范性文件</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left"/>
            </w:pPr>
            <w:r>
              <w:rPr>
                <w:rFonts w:hint="eastAsia"/>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left"/>
            </w:pPr>
            <w:r>
              <w:rPr>
                <w:rFonts w:hint="eastAsia"/>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left"/>
            </w:pPr>
            <w:r>
              <w:rPr>
                <w:rFonts w:hint="eastAsia"/>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widowControl/>
              <w:wordWrap w:val="0"/>
              <w:jc w:val="center"/>
            </w:pPr>
            <w:r>
              <w:rPr>
                <w:rFonts w:hint="eastAsia" w:ascii="宋体" w:hAnsi="宋体" w:eastAsia="宋体" w:cs="宋体"/>
                <w:color w:val="000000"/>
                <w:kern w:val="0"/>
                <w:sz w:val="20"/>
                <w:szCs w:val="20"/>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wordWrap w:val="0"/>
              <w:jc w:val="center"/>
            </w:pPr>
            <w:r>
              <w:rPr>
                <w:rFonts w:hint="eastAsia" w:ascii="宋体" w:hAnsi="宋体" w:eastAsia="宋体" w:cs="宋体"/>
                <w:color w:val="000000"/>
                <w:kern w:val="0"/>
                <w:sz w:val="20"/>
                <w:szCs w:val="20"/>
              </w:rPr>
              <w:t>信息内容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rPr>
                <w:rFonts w:hint="eastAsia" w:ascii="宋体" w:hAnsi="宋体" w:eastAsia="宋体" w:cs="宋体"/>
                <w:color w:val="000000"/>
                <w:kern w:val="0"/>
                <w:sz w:val="20"/>
                <w:szCs w:val="20"/>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wordWrap w:val="0"/>
              <w:jc w:val="left"/>
            </w:pPr>
            <w:r>
              <w:rPr>
                <w:rFonts w:hint="eastAsia" w:ascii="宋体" w:hAnsi="宋体" w:eastAsia="宋体" w:cs="宋体"/>
                <w:color w:val="000000"/>
                <w:kern w:val="0"/>
                <w:sz w:val="20"/>
                <w:szCs w:val="20"/>
              </w:rPr>
              <w:t>行政许可</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left"/>
            </w:pPr>
            <w:r>
              <w:rPr>
                <w:rFonts w:hint="eastAsia"/>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widowControl/>
              <w:wordWrap w:val="0"/>
              <w:jc w:val="center"/>
            </w:pPr>
            <w:r>
              <w:rPr>
                <w:rFonts w:hint="eastAsia" w:ascii="宋体" w:hAnsi="宋体" w:eastAsia="宋体" w:cs="宋体"/>
                <w:color w:val="000000"/>
                <w:kern w:val="0"/>
                <w:sz w:val="20"/>
                <w:szCs w:val="20"/>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wordWrap w:val="0"/>
              <w:jc w:val="center"/>
            </w:pPr>
            <w:r>
              <w:rPr>
                <w:rFonts w:hint="eastAsia" w:ascii="宋体" w:hAnsi="宋体" w:eastAsia="宋体" w:cs="宋体"/>
                <w:color w:val="000000"/>
                <w:kern w:val="0"/>
                <w:sz w:val="20"/>
                <w:szCs w:val="20"/>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rPr>
                <w:rFonts w:hint="eastAsia" w:ascii="宋体" w:hAnsi="宋体" w:eastAsia="宋体" w:cs="宋体"/>
                <w:color w:val="000000"/>
                <w:kern w:val="0"/>
                <w:sz w:val="20"/>
                <w:szCs w:val="20"/>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wordWrap w:val="0"/>
              <w:jc w:val="left"/>
            </w:pPr>
            <w:r>
              <w:rPr>
                <w:rFonts w:hint="eastAsia" w:ascii="宋体" w:hAnsi="宋体" w:eastAsia="宋体" w:cs="宋体"/>
                <w:color w:val="000000"/>
                <w:kern w:val="0"/>
                <w:sz w:val="20"/>
                <w:szCs w:val="20"/>
              </w:rPr>
              <w:t>行政处罚</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left"/>
            </w:pPr>
            <w:r>
              <w:rPr>
                <w:rFonts w:hint="eastAsia"/>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wordWrap w:val="0"/>
              <w:jc w:val="left"/>
            </w:pPr>
            <w:r>
              <w:rPr>
                <w:rFonts w:hint="eastAsia" w:ascii="宋体" w:hAnsi="宋体" w:eastAsia="宋体" w:cs="宋体"/>
                <w:color w:val="000000"/>
                <w:kern w:val="0"/>
                <w:sz w:val="20"/>
                <w:szCs w:val="20"/>
              </w:rPr>
              <w:t>行政强制</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left"/>
            </w:pPr>
            <w:r>
              <w:rPr>
                <w:rFonts w:hint="eastAsia"/>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widowControl/>
              <w:wordWrap w:val="0"/>
              <w:jc w:val="center"/>
            </w:pPr>
            <w:r>
              <w:rPr>
                <w:rFonts w:hint="eastAsia" w:ascii="宋体" w:hAnsi="宋体" w:eastAsia="宋体" w:cs="宋体"/>
                <w:color w:val="000000"/>
                <w:kern w:val="0"/>
                <w:sz w:val="20"/>
                <w:szCs w:val="20"/>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wordWrap w:val="0"/>
              <w:jc w:val="center"/>
            </w:pPr>
            <w:r>
              <w:rPr>
                <w:rFonts w:hint="eastAsia" w:ascii="宋体" w:hAnsi="宋体" w:eastAsia="宋体" w:cs="宋体"/>
                <w:color w:val="000000"/>
                <w:kern w:val="0"/>
                <w:sz w:val="20"/>
                <w:szCs w:val="20"/>
              </w:rPr>
              <w:t>信息内容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widowControl/>
              <w:wordWrap w:val="0"/>
              <w:jc w:val="center"/>
            </w:pPr>
            <w:r>
              <w:rPr>
                <w:rFonts w:hint="eastAsia" w:ascii="宋体" w:hAnsi="宋体" w:eastAsia="宋体" w:cs="宋体"/>
                <w:color w:val="000000"/>
                <w:kern w:val="0"/>
                <w:sz w:val="20"/>
                <w:szCs w:val="20"/>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wordWrap w:val="0"/>
              <w:jc w:val="left"/>
            </w:pPr>
            <w:r>
              <w:rPr>
                <w:rFonts w:hint="eastAsia" w:ascii="宋体" w:hAnsi="宋体" w:eastAsia="宋体" w:cs="宋体"/>
                <w:color w:val="000000"/>
                <w:kern w:val="0"/>
                <w:sz w:val="20"/>
                <w:szCs w:val="20"/>
              </w:rPr>
              <w:t>行政事业性收费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rPr>
                <w:rFonts w:ascii="宋体"/>
                <w:sz w:val="24"/>
              </w:rPr>
            </w:pPr>
            <w:r>
              <w:rPr>
                <w:rFonts w:hint="eastAsia" w:ascii="宋体"/>
                <w:sz w:val="24"/>
              </w:rPr>
              <w:t>0</w:t>
            </w:r>
          </w:p>
        </w:tc>
      </w:tr>
    </w:tbl>
    <w:p>
      <w:pPr>
        <w:pStyle w:val="5"/>
        <w:widowControl/>
        <w:shd w:val="clear" w:color="auto" w:fill="FFFFFF"/>
        <w:spacing w:beforeAutospacing="0" w:afterAutospacing="0"/>
        <w:jc w:val="both"/>
        <w:rPr>
          <w:rFonts w:ascii="黑体" w:hAnsi="黑体" w:eastAsia="黑体" w:cs="宋体"/>
          <w:bCs/>
          <w:color w:val="333333"/>
          <w:sz w:val="32"/>
          <w:szCs w:val="32"/>
          <w:shd w:val="clear" w:color="auto" w:fill="FFFFFF"/>
        </w:rPr>
      </w:pPr>
    </w:p>
    <w:p>
      <w:pPr>
        <w:pStyle w:val="5"/>
        <w:widowControl/>
        <w:shd w:val="clear" w:color="auto" w:fill="FFFFFF"/>
        <w:spacing w:beforeAutospacing="0" w:afterAutospacing="0"/>
        <w:ind w:firstLine="420"/>
        <w:jc w:val="both"/>
        <w:rPr>
          <w:rFonts w:ascii="黑体" w:hAnsi="黑体" w:eastAsia="黑体" w:cs="宋体"/>
          <w:bCs/>
          <w:color w:val="333333"/>
          <w:sz w:val="32"/>
          <w:szCs w:val="32"/>
          <w:shd w:val="clear" w:color="auto" w:fill="FFFFFF"/>
        </w:rPr>
      </w:pPr>
      <w:r>
        <w:rPr>
          <w:rFonts w:hint="eastAsia" w:ascii="黑体" w:hAnsi="黑体" w:eastAsia="黑体" w:cs="宋体"/>
          <w:bCs/>
          <w:color w:val="333333"/>
          <w:sz w:val="32"/>
          <w:szCs w:val="32"/>
          <w:shd w:val="clear" w:color="auto" w:fill="FFFFFF"/>
        </w:rPr>
        <w:t>三、收到和处理政府信息公开申请情况</w:t>
      </w:r>
    </w:p>
    <w:tbl>
      <w:tblPr>
        <w:tblStyle w:val="6"/>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5"/>
        <w:gridCol w:w="941"/>
        <w:gridCol w:w="3199"/>
        <w:gridCol w:w="685"/>
        <w:gridCol w:w="693"/>
        <w:gridCol w:w="693"/>
        <w:gridCol w:w="693"/>
        <w:gridCol w:w="693"/>
        <w:gridCol w:w="693"/>
        <w:gridCol w:w="693"/>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widowControl/>
              <w:wordWrap w:val="0"/>
              <w:jc w:val="left"/>
            </w:pPr>
            <w:r>
              <w:rPr>
                <w:rFonts w:ascii="宋体" w:hAnsi="宋体" w:eastAsia="宋体" w:cs="宋体"/>
                <w:kern w:val="0"/>
                <w:sz w:val="20"/>
                <w:szCs w:val="20"/>
              </w:rPr>
              <w:t>（本列数据的勾稽关系为：第一项加第二项之和，等于第三项加第四项之和）</w:t>
            </w:r>
          </w:p>
        </w:tc>
        <w:tc>
          <w:tcPr>
            <w:tcW w:w="4843"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rPr>
                <w:rFonts w:hint="eastAsia" w:ascii="宋体" w:hAnsi="宋体" w:eastAsia="宋体" w:cs="宋体"/>
                <w:kern w:val="0"/>
                <w:sz w:val="20"/>
                <w:szCs w:val="20"/>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rPr>
                <w:rFonts w:ascii="宋体"/>
                <w:sz w:val="24"/>
              </w:rPr>
            </w:pPr>
          </w:p>
        </w:tc>
        <w:tc>
          <w:tcPr>
            <w:tcW w:w="685"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rPr>
                <w:rFonts w:hint="eastAsia" w:ascii="宋体" w:hAnsi="宋体" w:eastAsia="宋体" w:cs="宋体"/>
                <w:kern w:val="0"/>
                <w:sz w:val="20"/>
                <w:szCs w:val="20"/>
              </w:rPr>
              <w:t>自然人</w:t>
            </w:r>
          </w:p>
        </w:tc>
        <w:tc>
          <w:tcPr>
            <w:tcW w:w="3465"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wordWrap w:val="0"/>
              <w:jc w:val="center"/>
            </w:pPr>
            <w:r>
              <w:rPr>
                <w:rFonts w:hint="eastAsia" w:ascii="宋体" w:hAnsi="宋体" w:eastAsia="宋体" w:cs="宋体"/>
                <w:kern w:val="0"/>
                <w:sz w:val="20"/>
                <w:szCs w:val="20"/>
              </w:rPr>
              <w:t>法人或其他组织</w:t>
            </w:r>
          </w:p>
        </w:tc>
        <w:tc>
          <w:tcPr>
            <w:tcW w:w="693" w:type="dxa"/>
            <w:vMerge w:val="restart"/>
            <w:tcBorders>
              <w:top w:val="single" w:color="auto" w:sz="8" w:space="0"/>
              <w:left w:val="nil"/>
              <w:bottom w:val="outset" w:color="auto" w:sz="8" w:space="0"/>
              <w:right w:val="single" w:color="auto" w:sz="8" w:space="0"/>
            </w:tcBorders>
            <w:shd w:val="clear" w:color="auto" w:fill="auto"/>
            <w:tcMar>
              <w:left w:w="108" w:type="dxa"/>
              <w:right w:w="108" w:type="dxa"/>
            </w:tcMar>
            <w:vAlign w:val="center"/>
          </w:tcPr>
          <w:p>
            <w:pPr>
              <w:widowControl/>
              <w:wordWrap w:val="0"/>
              <w:jc w:val="center"/>
            </w:pPr>
            <w:r>
              <w:rPr>
                <w:rFonts w:hint="eastAsia" w:ascii="宋体" w:hAnsi="宋体" w:eastAsia="宋体" w:cs="宋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rPr>
                <w:rFonts w:ascii="宋体"/>
                <w:sz w:val="24"/>
              </w:rPr>
            </w:pPr>
          </w:p>
        </w:tc>
        <w:tc>
          <w:tcPr>
            <w:tcW w:w="685"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pPr>
              <w:rPr>
                <w:rFonts w:ascii="宋体"/>
                <w:sz w:val="24"/>
              </w:rPr>
            </w:pPr>
          </w:p>
        </w:tc>
        <w:tc>
          <w:tcPr>
            <w:tcW w:w="69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wordWrap w:val="0"/>
              <w:jc w:val="center"/>
            </w:pPr>
            <w:r>
              <w:rPr>
                <w:rFonts w:hint="eastAsia" w:ascii="宋体" w:hAnsi="宋体" w:eastAsia="宋体" w:cs="宋体"/>
                <w:kern w:val="0"/>
                <w:sz w:val="20"/>
                <w:szCs w:val="20"/>
              </w:rPr>
              <w:t>商业</w:t>
            </w:r>
          </w:p>
          <w:p>
            <w:pPr>
              <w:widowControl/>
              <w:wordWrap w:val="0"/>
              <w:jc w:val="center"/>
            </w:pPr>
            <w:r>
              <w:rPr>
                <w:rFonts w:hint="eastAsia" w:ascii="宋体" w:hAnsi="宋体" w:eastAsia="宋体" w:cs="宋体"/>
                <w:kern w:val="0"/>
                <w:sz w:val="20"/>
                <w:szCs w:val="20"/>
              </w:rPr>
              <w:t>企业</w:t>
            </w:r>
          </w:p>
        </w:tc>
        <w:tc>
          <w:tcPr>
            <w:tcW w:w="69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wordWrap w:val="0"/>
              <w:jc w:val="center"/>
            </w:pPr>
            <w:r>
              <w:rPr>
                <w:rFonts w:hint="eastAsia" w:ascii="宋体" w:hAnsi="宋体" w:eastAsia="宋体" w:cs="宋体"/>
                <w:kern w:val="0"/>
                <w:sz w:val="20"/>
                <w:szCs w:val="20"/>
              </w:rPr>
              <w:t>科研</w:t>
            </w:r>
          </w:p>
          <w:p>
            <w:pPr>
              <w:widowControl/>
              <w:wordWrap w:val="0"/>
              <w:jc w:val="center"/>
            </w:pPr>
            <w:r>
              <w:rPr>
                <w:rFonts w:hint="eastAsia" w:ascii="宋体" w:hAnsi="宋体" w:eastAsia="宋体" w:cs="宋体"/>
                <w:kern w:val="0"/>
                <w:sz w:val="20"/>
                <w:szCs w:val="20"/>
              </w:rPr>
              <w:t>机构</w:t>
            </w:r>
          </w:p>
        </w:tc>
        <w:tc>
          <w:tcPr>
            <w:tcW w:w="69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wordWrap w:val="0"/>
              <w:jc w:val="center"/>
            </w:pPr>
            <w:r>
              <w:rPr>
                <w:rFonts w:hint="eastAsia" w:ascii="宋体" w:hAnsi="宋体" w:eastAsia="宋体" w:cs="宋体"/>
                <w:kern w:val="0"/>
                <w:sz w:val="20"/>
                <w:szCs w:val="20"/>
              </w:rPr>
              <w:t>社会公益组织</w:t>
            </w:r>
          </w:p>
        </w:tc>
        <w:tc>
          <w:tcPr>
            <w:tcW w:w="69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wordWrap w:val="0"/>
              <w:jc w:val="center"/>
            </w:pPr>
            <w:r>
              <w:rPr>
                <w:rFonts w:hint="eastAsia" w:ascii="宋体" w:hAnsi="宋体" w:eastAsia="宋体" w:cs="宋体"/>
                <w:kern w:val="0"/>
                <w:sz w:val="20"/>
                <w:szCs w:val="20"/>
              </w:rPr>
              <w:t>法律服务机构</w:t>
            </w:r>
          </w:p>
        </w:tc>
        <w:tc>
          <w:tcPr>
            <w:tcW w:w="69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wordWrap w:val="0"/>
              <w:jc w:val="center"/>
            </w:pPr>
            <w:r>
              <w:rPr>
                <w:rFonts w:hint="eastAsia" w:ascii="宋体" w:hAnsi="宋体" w:eastAsia="宋体" w:cs="宋体"/>
                <w:kern w:val="0"/>
                <w:sz w:val="20"/>
                <w:szCs w:val="20"/>
              </w:rPr>
              <w:t>其他</w:t>
            </w:r>
          </w:p>
        </w:tc>
        <w:tc>
          <w:tcPr>
            <w:tcW w:w="693" w:type="dxa"/>
            <w:vMerge w:val="continue"/>
            <w:tcBorders>
              <w:top w:val="single" w:color="auto" w:sz="8" w:space="0"/>
              <w:left w:val="nil"/>
              <w:bottom w:val="outset" w:color="auto" w:sz="8" w:space="0"/>
              <w:right w:val="single" w:color="auto" w:sz="8" w:space="0"/>
            </w:tcBorders>
            <w:shd w:val="clear" w:color="auto" w:fill="auto"/>
            <w:tcMar>
              <w:left w:w="108" w:type="dxa"/>
              <w:right w:w="108" w:type="dxa"/>
            </w:tcMar>
            <w:vAlign w:val="center"/>
          </w:tcPr>
          <w:p>
            <w:pPr>
              <w:rPr>
                <w:rFonts w:ascii="宋体"/>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4905"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wordWrap w:val="0"/>
              <w:jc w:val="left"/>
            </w:pPr>
            <w:r>
              <w:rPr>
                <w:rFonts w:hint="eastAsia" w:ascii="宋体" w:hAnsi="宋体" w:eastAsia="宋体" w:cs="宋体"/>
                <w:kern w:val="0"/>
                <w:sz w:val="20"/>
                <w:szCs w:val="20"/>
              </w:rPr>
              <w:t>一、本年新收政府信息公开申请数量</w:t>
            </w:r>
          </w:p>
        </w:tc>
        <w:tc>
          <w:tcPr>
            <w:tcW w:w="68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pPr>
              <w:widowControl/>
              <w:wordWrap w:val="0"/>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wordWrap w:val="0"/>
              <w:jc w:val="left"/>
            </w:pPr>
            <w:r>
              <w:rPr>
                <w:rFonts w:hint="eastAsia" w:ascii="宋体" w:hAnsi="宋体" w:eastAsia="宋体" w:cs="宋体"/>
                <w:kern w:val="0"/>
                <w:sz w:val="20"/>
                <w:szCs w:val="20"/>
              </w:rPr>
              <w:t>二、上年结转政府信息公开申请数量</w:t>
            </w:r>
          </w:p>
        </w:tc>
        <w:tc>
          <w:tcPr>
            <w:tcW w:w="68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pPr>
              <w:widowControl/>
              <w:wordWrap w:val="0"/>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vMerge w:val="restart"/>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widowControl/>
              <w:wordWrap w:val="0"/>
              <w:jc w:val="left"/>
            </w:pPr>
            <w:r>
              <w:rPr>
                <w:rFonts w:hint="eastAsia" w:ascii="宋体" w:hAnsi="宋体" w:eastAsia="宋体" w:cs="宋体"/>
                <w:kern w:val="0"/>
                <w:sz w:val="20"/>
                <w:szCs w:val="20"/>
              </w:rPr>
              <w:t>三、本年度办理结果</w:t>
            </w:r>
          </w:p>
        </w:tc>
        <w:tc>
          <w:tcPr>
            <w:tcW w:w="4140"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left"/>
            </w:pPr>
            <w:r>
              <w:rPr>
                <w:rFonts w:hint="eastAsia" w:ascii="宋体" w:hAnsi="宋体" w:eastAsia="宋体" w:cs="宋体"/>
                <w:kern w:val="0"/>
                <w:sz w:val="20"/>
                <w:szCs w:val="20"/>
              </w:rPr>
              <w:t>（一）予以公开</w:t>
            </w:r>
          </w:p>
        </w:tc>
        <w:tc>
          <w:tcPr>
            <w:tcW w:w="68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rPr>
                <w:rFonts w:hint="eastAsia"/>
              </w:rPr>
              <w:t>0</w:t>
            </w:r>
          </w:p>
        </w:tc>
        <w:tc>
          <w:tcPr>
            <w:tcW w:w="693" w:type="dxa"/>
            <w:tcBorders>
              <w:top w:val="single" w:color="auto" w:sz="8" w:space="0"/>
              <w:left w:val="nil"/>
              <w:bottom w:val="single" w:color="auto" w:sz="8" w:space="0"/>
              <w:right w:val="single" w:color="auto" w:sz="8" w:space="0"/>
            </w:tcBorders>
            <w:shd w:val="clear" w:color="auto" w:fill="auto"/>
            <w:tcMar>
              <w:left w:w="57" w:type="dxa"/>
              <w:right w:w="57" w:type="dxa"/>
            </w:tcMar>
          </w:tcPr>
          <w:p>
            <w:pPr>
              <w:widowControl/>
              <w:wordWrap w:val="0"/>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4140"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left"/>
            </w:pPr>
            <w:r>
              <w:rPr>
                <w:rFonts w:hint="eastAsia" w:ascii="宋体" w:hAnsi="宋体" w:eastAsia="宋体" w:cs="宋体"/>
                <w:kern w:val="0"/>
                <w:sz w:val="20"/>
                <w:szCs w:val="20"/>
              </w:rPr>
              <w:t>（二）部分公开</w:t>
            </w:r>
            <w:r>
              <w:rPr>
                <w:rFonts w:hint="eastAsia" w:ascii="楷体" w:hAnsi="楷体" w:eastAsia="楷体" w:cs="楷体"/>
                <w:kern w:val="0"/>
                <w:sz w:val="20"/>
                <w:szCs w:val="20"/>
              </w:rPr>
              <w:t>（区分处理的，只计这一情形，不计其他情形）</w:t>
            </w:r>
          </w:p>
        </w:tc>
        <w:tc>
          <w:tcPr>
            <w:tcW w:w="68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pPr>
              <w:widowControl/>
              <w:wordWrap w:val="0"/>
              <w:ind w:firstLine="210" w:firstLineChars="100"/>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941"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widowControl/>
              <w:wordWrap w:val="0"/>
              <w:jc w:val="left"/>
            </w:pPr>
            <w:r>
              <w:rPr>
                <w:rFonts w:hint="eastAsia" w:ascii="宋体" w:hAnsi="宋体" w:eastAsia="宋体" w:cs="宋体"/>
                <w:kern w:val="0"/>
                <w:sz w:val="20"/>
                <w:szCs w:val="20"/>
              </w:rPr>
              <w:t>（三）不予公开</w:t>
            </w:r>
          </w:p>
        </w:tc>
        <w:tc>
          <w:tcPr>
            <w:tcW w:w="3199" w:type="dxa"/>
            <w:tcBorders>
              <w:top w:val="nil"/>
              <w:left w:val="nil"/>
              <w:bottom w:val="single" w:color="auto" w:sz="8" w:space="0"/>
              <w:right w:val="single" w:color="auto" w:sz="8" w:space="0"/>
            </w:tcBorders>
            <w:shd w:val="clear" w:color="auto" w:fill="auto"/>
            <w:tcMar>
              <w:left w:w="57" w:type="dxa"/>
              <w:right w:w="57" w:type="dxa"/>
            </w:tcMar>
          </w:tcPr>
          <w:p>
            <w:pPr>
              <w:widowControl/>
              <w:wordWrap w:val="0"/>
              <w:jc w:val="left"/>
            </w:pPr>
            <w:r>
              <w:rPr>
                <w:rFonts w:hint="eastAsia" w:ascii="宋体" w:hAnsi="宋体" w:eastAsia="宋体" w:cs="宋体"/>
                <w:kern w:val="0"/>
                <w:sz w:val="20"/>
                <w:szCs w:val="20"/>
              </w:rPr>
              <w:t>1.属于国家秘密</w:t>
            </w:r>
          </w:p>
        </w:tc>
        <w:tc>
          <w:tcPr>
            <w:tcW w:w="68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rPr>
                <w:rFonts w:hint="eastAsia"/>
              </w:rPr>
              <w:t>0</w:t>
            </w:r>
          </w:p>
        </w:tc>
        <w:tc>
          <w:tcPr>
            <w:tcW w:w="693" w:type="dxa"/>
            <w:tcBorders>
              <w:top w:val="single" w:color="auto" w:sz="8" w:space="0"/>
              <w:left w:val="nil"/>
              <w:bottom w:val="single" w:color="auto" w:sz="8" w:space="0"/>
              <w:right w:val="single" w:color="auto" w:sz="8" w:space="0"/>
            </w:tcBorders>
            <w:shd w:val="clear" w:color="auto" w:fill="auto"/>
            <w:tcMar>
              <w:left w:w="57" w:type="dxa"/>
              <w:right w:w="57" w:type="dxa"/>
            </w:tcMar>
          </w:tcPr>
          <w:p>
            <w:pPr>
              <w:widowControl/>
              <w:wordWrap w:val="0"/>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941"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3199" w:type="dxa"/>
            <w:tcBorders>
              <w:top w:val="nil"/>
              <w:left w:val="nil"/>
              <w:bottom w:val="single" w:color="auto" w:sz="8" w:space="0"/>
              <w:right w:val="single" w:color="auto" w:sz="8" w:space="0"/>
            </w:tcBorders>
            <w:shd w:val="clear" w:color="auto" w:fill="auto"/>
            <w:tcMar>
              <w:left w:w="57" w:type="dxa"/>
              <w:right w:w="57" w:type="dxa"/>
            </w:tcMar>
          </w:tcPr>
          <w:p>
            <w:pPr>
              <w:widowControl/>
              <w:wordWrap w:val="0"/>
              <w:jc w:val="left"/>
            </w:pPr>
            <w:r>
              <w:rPr>
                <w:rFonts w:hint="eastAsia" w:ascii="宋体" w:hAnsi="宋体" w:eastAsia="宋体" w:cs="宋体"/>
                <w:kern w:val="0"/>
                <w:sz w:val="20"/>
                <w:szCs w:val="20"/>
              </w:rPr>
              <w:t>2.其他法律行政法规禁止公开</w:t>
            </w:r>
          </w:p>
        </w:tc>
        <w:tc>
          <w:tcPr>
            <w:tcW w:w="68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pPr>
              <w:widowControl/>
              <w:wordWrap w:val="0"/>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83" w:hRule="atLeast"/>
          <w:jc w:val="center"/>
        </w:trPr>
        <w:tc>
          <w:tcPr>
            <w:tcW w:w="76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941"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3199" w:type="dxa"/>
            <w:tcBorders>
              <w:top w:val="nil"/>
              <w:left w:val="nil"/>
              <w:bottom w:val="single" w:color="auto" w:sz="8" w:space="0"/>
              <w:right w:val="single" w:color="auto" w:sz="8" w:space="0"/>
            </w:tcBorders>
            <w:shd w:val="clear" w:color="auto" w:fill="auto"/>
            <w:tcMar>
              <w:left w:w="57" w:type="dxa"/>
              <w:right w:w="57" w:type="dxa"/>
            </w:tcMar>
          </w:tcPr>
          <w:p>
            <w:pPr>
              <w:widowControl/>
              <w:wordWrap w:val="0"/>
              <w:jc w:val="left"/>
            </w:pPr>
            <w:r>
              <w:rPr>
                <w:rFonts w:hint="eastAsia" w:ascii="宋体" w:hAnsi="宋体" w:eastAsia="宋体" w:cs="宋体"/>
                <w:kern w:val="0"/>
                <w:sz w:val="20"/>
                <w:szCs w:val="20"/>
              </w:rPr>
              <w:t>3.危及“三安全一稳定”</w:t>
            </w:r>
          </w:p>
        </w:tc>
        <w:tc>
          <w:tcPr>
            <w:tcW w:w="68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pPr>
              <w:widowControl/>
              <w:wordWrap w:val="0"/>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6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941"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3199" w:type="dxa"/>
            <w:tcBorders>
              <w:top w:val="nil"/>
              <w:left w:val="nil"/>
              <w:bottom w:val="single" w:color="auto" w:sz="8" w:space="0"/>
              <w:right w:val="single" w:color="auto" w:sz="8" w:space="0"/>
            </w:tcBorders>
            <w:shd w:val="clear" w:color="auto" w:fill="auto"/>
            <w:tcMar>
              <w:left w:w="57" w:type="dxa"/>
              <w:right w:w="57" w:type="dxa"/>
            </w:tcMar>
          </w:tcPr>
          <w:p>
            <w:pPr>
              <w:widowControl/>
              <w:wordWrap w:val="0"/>
              <w:jc w:val="left"/>
            </w:pPr>
            <w:r>
              <w:rPr>
                <w:rFonts w:hint="eastAsia" w:ascii="宋体" w:hAnsi="宋体" w:eastAsia="宋体" w:cs="宋体"/>
                <w:kern w:val="0"/>
                <w:sz w:val="20"/>
                <w:szCs w:val="20"/>
              </w:rPr>
              <w:t>4.保护第三方合法权益</w:t>
            </w:r>
          </w:p>
        </w:tc>
        <w:tc>
          <w:tcPr>
            <w:tcW w:w="68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pPr>
              <w:widowControl/>
              <w:wordWrap w:val="0"/>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941"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3199" w:type="dxa"/>
            <w:tcBorders>
              <w:top w:val="nil"/>
              <w:left w:val="nil"/>
              <w:bottom w:val="single" w:color="auto" w:sz="8" w:space="0"/>
              <w:right w:val="single" w:color="auto" w:sz="8" w:space="0"/>
            </w:tcBorders>
            <w:shd w:val="clear" w:color="auto" w:fill="auto"/>
            <w:tcMar>
              <w:left w:w="57" w:type="dxa"/>
              <w:right w:w="57" w:type="dxa"/>
            </w:tcMar>
          </w:tcPr>
          <w:p>
            <w:pPr>
              <w:widowControl/>
              <w:wordWrap w:val="0"/>
              <w:jc w:val="left"/>
            </w:pPr>
            <w:r>
              <w:rPr>
                <w:rFonts w:hint="eastAsia" w:ascii="宋体" w:hAnsi="宋体" w:eastAsia="宋体" w:cs="宋体"/>
                <w:kern w:val="0"/>
                <w:sz w:val="20"/>
                <w:szCs w:val="20"/>
              </w:rPr>
              <w:t>5.属于三类内部事务信息</w:t>
            </w:r>
          </w:p>
        </w:tc>
        <w:tc>
          <w:tcPr>
            <w:tcW w:w="68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pPr>
              <w:widowControl/>
              <w:wordWrap w:val="0"/>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941"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3199" w:type="dxa"/>
            <w:tcBorders>
              <w:top w:val="nil"/>
              <w:left w:val="nil"/>
              <w:bottom w:val="single" w:color="auto" w:sz="8" w:space="0"/>
              <w:right w:val="single" w:color="auto" w:sz="8" w:space="0"/>
            </w:tcBorders>
            <w:shd w:val="clear" w:color="auto" w:fill="auto"/>
            <w:tcMar>
              <w:left w:w="57" w:type="dxa"/>
              <w:right w:w="57" w:type="dxa"/>
            </w:tcMar>
          </w:tcPr>
          <w:p>
            <w:pPr>
              <w:widowControl/>
              <w:wordWrap w:val="0"/>
              <w:jc w:val="left"/>
            </w:pPr>
            <w:r>
              <w:rPr>
                <w:rFonts w:hint="eastAsia" w:ascii="宋体" w:hAnsi="宋体" w:eastAsia="宋体" w:cs="宋体"/>
                <w:kern w:val="0"/>
                <w:sz w:val="20"/>
                <w:szCs w:val="20"/>
              </w:rPr>
              <w:t>6.属于四类过程性信息</w:t>
            </w:r>
          </w:p>
        </w:tc>
        <w:tc>
          <w:tcPr>
            <w:tcW w:w="68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pPr>
              <w:widowControl/>
              <w:wordWrap w:val="0"/>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941"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3199" w:type="dxa"/>
            <w:tcBorders>
              <w:top w:val="nil"/>
              <w:left w:val="nil"/>
              <w:bottom w:val="single" w:color="auto" w:sz="8" w:space="0"/>
              <w:right w:val="single" w:color="auto" w:sz="8" w:space="0"/>
            </w:tcBorders>
            <w:shd w:val="clear" w:color="auto" w:fill="auto"/>
            <w:tcMar>
              <w:left w:w="57" w:type="dxa"/>
              <w:right w:w="57" w:type="dxa"/>
            </w:tcMar>
          </w:tcPr>
          <w:p>
            <w:pPr>
              <w:widowControl/>
              <w:wordWrap w:val="0"/>
              <w:jc w:val="left"/>
            </w:pPr>
            <w:r>
              <w:rPr>
                <w:rFonts w:hint="eastAsia" w:ascii="宋体" w:hAnsi="宋体" w:eastAsia="宋体" w:cs="宋体"/>
                <w:kern w:val="0"/>
                <w:sz w:val="20"/>
                <w:szCs w:val="20"/>
              </w:rPr>
              <w:t>7.属于行政执法案卷</w:t>
            </w:r>
          </w:p>
        </w:tc>
        <w:tc>
          <w:tcPr>
            <w:tcW w:w="68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pPr>
              <w:widowControl/>
              <w:wordWrap w:val="0"/>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6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941"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3199" w:type="dxa"/>
            <w:tcBorders>
              <w:top w:val="nil"/>
              <w:left w:val="nil"/>
              <w:bottom w:val="single" w:color="auto" w:sz="8" w:space="0"/>
              <w:right w:val="single" w:color="auto" w:sz="8" w:space="0"/>
            </w:tcBorders>
            <w:shd w:val="clear" w:color="auto" w:fill="auto"/>
            <w:tcMar>
              <w:left w:w="57" w:type="dxa"/>
              <w:right w:w="57" w:type="dxa"/>
            </w:tcMar>
          </w:tcPr>
          <w:p>
            <w:pPr>
              <w:widowControl/>
              <w:wordWrap w:val="0"/>
              <w:jc w:val="left"/>
            </w:pPr>
            <w:r>
              <w:rPr>
                <w:rFonts w:hint="eastAsia" w:ascii="宋体" w:hAnsi="宋体" w:eastAsia="宋体" w:cs="宋体"/>
                <w:kern w:val="0"/>
                <w:sz w:val="20"/>
                <w:szCs w:val="20"/>
              </w:rPr>
              <w:t>8.属于行政查询事项</w:t>
            </w:r>
          </w:p>
        </w:tc>
        <w:tc>
          <w:tcPr>
            <w:tcW w:w="68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pPr>
              <w:widowControl/>
              <w:wordWrap w:val="0"/>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941"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widowControl/>
              <w:wordWrap w:val="0"/>
              <w:jc w:val="left"/>
            </w:pPr>
            <w:r>
              <w:rPr>
                <w:rFonts w:hint="eastAsia" w:ascii="宋体" w:hAnsi="宋体" w:eastAsia="宋体" w:cs="宋体"/>
                <w:kern w:val="0"/>
                <w:sz w:val="20"/>
                <w:szCs w:val="20"/>
              </w:rPr>
              <w:t>（四）无法提供</w:t>
            </w:r>
          </w:p>
        </w:tc>
        <w:tc>
          <w:tcPr>
            <w:tcW w:w="3199" w:type="dxa"/>
            <w:tcBorders>
              <w:top w:val="nil"/>
              <w:left w:val="nil"/>
              <w:bottom w:val="single" w:color="auto" w:sz="8" w:space="0"/>
              <w:right w:val="single" w:color="auto" w:sz="8" w:space="0"/>
            </w:tcBorders>
            <w:shd w:val="clear" w:color="auto" w:fill="auto"/>
            <w:tcMar>
              <w:left w:w="57" w:type="dxa"/>
              <w:right w:w="57" w:type="dxa"/>
            </w:tcMar>
          </w:tcPr>
          <w:p>
            <w:pPr>
              <w:widowControl/>
              <w:wordWrap w:val="0"/>
              <w:jc w:val="left"/>
            </w:pPr>
            <w:r>
              <w:rPr>
                <w:rFonts w:hint="eastAsia" w:ascii="宋体" w:hAnsi="宋体" w:eastAsia="宋体" w:cs="宋体"/>
                <w:kern w:val="0"/>
                <w:sz w:val="20"/>
                <w:szCs w:val="20"/>
              </w:rPr>
              <w:t>1.本机关不掌握相关政府信息</w:t>
            </w:r>
          </w:p>
        </w:tc>
        <w:tc>
          <w:tcPr>
            <w:tcW w:w="68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pPr>
              <w:widowControl/>
              <w:wordWrap w:val="0"/>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941"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3199" w:type="dxa"/>
            <w:tcBorders>
              <w:top w:val="nil"/>
              <w:left w:val="nil"/>
              <w:bottom w:val="single" w:color="auto" w:sz="8" w:space="0"/>
              <w:right w:val="single" w:color="auto" w:sz="8" w:space="0"/>
            </w:tcBorders>
            <w:shd w:val="clear" w:color="auto" w:fill="auto"/>
            <w:tcMar>
              <w:left w:w="57" w:type="dxa"/>
              <w:right w:w="57" w:type="dxa"/>
            </w:tcMar>
          </w:tcPr>
          <w:p>
            <w:pPr>
              <w:widowControl/>
              <w:wordWrap w:val="0"/>
              <w:jc w:val="left"/>
            </w:pPr>
            <w:r>
              <w:rPr>
                <w:rFonts w:hint="eastAsia" w:ascii="宋体" w:hAnsi="宋体" w:eastAsia="宋体" w:cs="宋体"/>
                <w:kern w:val="0"/>
                <w:sz w:val="20"/>
                <w:szCs w:val="20"/>
              </w:rPr>
              <w:t>2.没有现成信息需要另行制作</w:t>
            </w:r>
          </w:p>
        </w:tc>
        <w:tc>
          <w:tcPr>
            <w:tcW w:w="68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pPr>
              <w:widowControl/>
              <w:wordWrap w:val="0"/>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941"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3199" w:type="dxa"/>
            <w:tcBorders>
              <w:top w:val="nil"/>
              <w:left w:val="nil"/>
              <w:bottom w:val="single" w:color="auto" w:sz="8" w:space="0"/>
              <w:right w:val="single" w:color="auto" w:sz="8" w:space="0"/>
            </w:tcBorders>
            <w:shd w:val="clear" w:color="auto" w:fill="auto"/>
            <w:tcMar>
              <w:left w:w="57" w:type="dxa"/>
              <w:right w:w="57" w:type="dxa"/>
            </w:tcMar>
          </w:tcPr>
          <w:p>
            <w:pPr>
              <w:widowControl/>
              <w:wordWrap w:val="0"/>
              <w:jc w:val="left"/>
            </w:pPr>
            <w:r>
              <w:rPr>
                <w:rFonts w:hint="eastAsia" w:ascii="宋体" w:hAnsi="宋体" w:eastAsia="宋体" w:cs="宋体"/>
                <w:kern w:val="0"/>
                <w:sz w:val="20"/>
                <w:szCs w:val="20"/>
              </w:rPr>
              <w:t>3.补正后申请内容仍不明确</w:t>
            </w:r>
          </w:p>
        </w:tc>
        <w:tc>
          <w:tcPr>
            <w:tcW w:w="68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pPr>
              <w:widowControl/>
              <w:wordWrap w:val="0"/>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6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941"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widowControl/>
              <w:wordWrap w:val="0"/>
              <w:jc w:val="left"/>
            </w:pPr>
            <w:r>
              <w:rPr>
                <w:rFonts w:hint="eastAsia" w:ascii="宋体" w:hAnsi="宋体" w:eastAsia="宋体" w:cs="宋体"/>
                <w:kern w:val="0"/>
                <w:sz w:val="20"/>
                <w:szCs w:val="20"/>
              </w:rPr>
              <w:t>（五）不予处理</w:t>
            </w:r>
          </w:p>
        </w:tc>
        <w:tc>
          <w:tcPr>
            <w:tcW w:w="3199" w:type="dxa"/>
            <w:tcBorders>
              <w:top w:val="nil"/>
              <w:left w:val="nil"/>
              <w:bottom w:val="single" w:color="auto" w:sz="8" w:space="0"/>
              <w:right w:val="single" w:color="auto" w:sz="8" w:space="0"/>
            </w:tcBorders>
            <w:shd w:val="clear" w:color="auto" w:fill="auto"/>
            <w:tcMar>
              <w:left w:w="57" w:type="dxa"/>
              <w:right w:w="57" w:type="dxa"/>
            </w:tcMar>
          </w:tcPr>
          <w:p>
            <w:pPr>
              <w:widowControl/>
              <w:wordWrap w:val="0"/>
              <w:jc w:val="left"/>
            </w:pPr>
            <w:r>
              <w:rPr>
                <w:rFonts w:hint="eastAsia" w:ascii="宋体" w:hAnsi="宋体" w:eastAsia="宋体" w:cs="宋体"/>
                <w:kern w:val="0"/>
                <w:sz w:val="20"/>
                <w:szCs w:val="20"/>
              </w:rPr>
              <w:t>1.信访举报投诉类申请</w:t>
            </w:r>
          </w:p>
        </w:tc>
        <w:tc>
          <w:tcPr>
            <w:tcW w:w="68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pPr>
              <w:widowControl/>
              <w:wordWrap w:val="0"/>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941"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3199" w:type="dxa"/>
            <w:tcBorders>
              <w:top w:val="nil"/>
              <w:left w:val="nil"/>
              <w:bottom w:val="single" w:color="auto" w:sz="8" w:space="0"/>
              <w:right w:val="single" w:color="auto" w:sz="8" w:space="0"/>
            </w:tcBorders>
            <w:shd w:val="clear" w:color="auto" w:fill="auto"/>
            <w:tcMar>
              <w:left w:w="57" w:type="dxa"/>
              <w:right w:w="57" w:type="dxa"/>
            </w:tcMar>
          </w:tcPr>
          <w:p>
            <w:pPr>
              <w:widowControl/>
              <w:wordWrap w:val="0"/>
              <w:jc w:val="left"/>
            </w:pPr>
            <w:r>
              <w:rPr>
                <w:rFonts w:hint="eastAsia" w:ascii="宋体" w:hAnsi="宋体" w:eastAsia="宋体" w:cs="宋体"/>
                <w:kern w:val="0"/>
                <w:sz w:val="20"/>
                <w:szCs w:val="20"/>
              </w:rPr>
              <w:t>2.重复申请</w:t>
            </w:r>
          </w:p>
        </w:tc>
        <w:tc>
          <w:tcPr>
            <w:tcW w:w="68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pPr>
              <w:widowControl/>
              <w:wordWrap w:val="0"/>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941"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3199" w:type="dxa"/>
            <w:tcBorders>
              <w:top w:val="nil"/>
              <w:left w:val="nil"/>
              <w:bottom w:val="single" w:color="auto" w:sz="8" w:space="0"/>
              <w:right w:val="single" w:color="auto" w:sz="8" w:space="0"/>
            </w:tcBorders>
            <w:shd w:val="clear" w:color="auto" w:fill="auto"/>
            <w:tcMar>
              <w:left w:w="57" w:type="dxa"/>
              <w:right w:w="57" w:type="dxa"/>
            </w:tcMar>
          </w:tcPr>
          <w:p>
            <w:pPr>
              <w:widowControl/>
              <w:wordWrap w:val="0"/>
              <w:jc w:val="left"/>
            </w:pPr>
            <w:r>
              <w:rPr>
                <w:rFonts w:hint="eastAsia" w:ascii="宋体" w:hAnsi="宋体" w:eastAsia="宋体" w:cs="宋体"/>
                <w:kern w:val="0"/>
                <w:sz w:val="20"/>
                <w:szCs w:val="20"/>
              </w:rPr>
              <w:t>3.要求提供公开出版物</w:t>
            </w:r>
          </w:p>
        </w:tc>
        <w:tc>
          <w:tcPr>
            <w:tcW w:w="68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pPr>
              <w:widowControl/>
              <w:wordWrap w:val="0"/>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941"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3199" w:type="dxa"/>
            <w:tcBorders>
              <w:top w:val="nil"/>
              <w:left w:val="nil"/>
              <w:bottom w:val="single" w:color="auto" w:sz="8" w:space="0"/>
              <w:right w:val="single" w:color="auto" w:sz="8" w:space="0"/>
            </w:tcBorders>
            <w:shd w:val="clear" w:color="auto" w:fill="auto"/>
            <w:tcMar>
              <w:left w:w="57" w:type="dxa"/>
              <w:right w:w="57" w:type="dxa"/>
            </w:tcMar>
          </w:tcPr>
          <w:p>
            <w:pPr>
              <w:widowControl/>
              <w:wordWrap w:val="0"/>
              <w:jc w:val="left"/>
            </w:pPr>
            <w:r>
              <w:rPr>
                <w:rFonts w:hint="eastAsia" w:ascii="宋体" w:hAnsi="宋体" w:eastAsia="宋体" w:cs="宋体"/>
                <w:kern w:val="0"/>
                <w:sz w:val="20"/>
                <w:szCs w:val="20"/>
              </w:rPr>
              <w:t>4.无正当理由大量反复申请</w:t>
            </w:r>
          </w:p>
        </w:tc>
        <w:tc>
          <w:tcPr>
            <w:tcW w:w="68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pPr>
              <w:widowControl/>
              <w:wordWrap w:val="0"/>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941"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3199" w:type="dxa"/>
            <w:tcBorders>
              <w:top w:val="nil"/>
              <w:left w:val="nil"/>
              <w:bottom w:val="outset" w:color="auto" w:sz="8" w:space="0"/>
              <w:right w:val="single" w:color="auto" w:sz="8" w:space="0"/>
            </w:tcBorders>
            <w:shd w:val="clear" w:color="auto" w:fill="auto"/>
            <w:tcMar>
              <w:left w:w="57" w:type="dxa"/>
              <w:right w:w="57" w:type="dxa"/>
            </w:tcMar>
            <w:vAlign w:val="center"/>
          </w:tcPr>
          <w:p>
            <w:pPr>
              <w:widowControl/>
              <w:wordWrap w:val="0"/>
            </w:pPr>
            <w:r>
              <w:rPr>
                <w:rFonts w:hint="eastAsia" w:ascii="宋体" w:hAnsi="宋体" w:eastAsia="宋体" w:cs="宋体"/>
                <w:kern w:val="0"/>
                <w:sz w:val="20"/>
                <w:szCs w:val="20"/>
              </w:rPr>
              <w:t>5.要求行政机关确认或重新出具已获取信息</w:t>
            </w:r>
          </w:p>
        </w:tc>
        <w:tc>
          <w:tcPr>
            <w:tcW w:w="685" w:type="dxa"/>
            <w:tcBorders>
              <w:top w:val="nil"/>
              <w:left w:val="nil"/>
              <w:bottom w:val="outset" w:color="auto" w:sz="8" w:space="0"/>
              <w:right w:val="single" w:color="auto" w:sz="8" w:space="0"/>
            </w:tcBorders>
            <w:shd w:val="clear" w:color="auto" w:fill="auto"/>
            <w:tcMar>
              <w:left w:w="57" w:type="dxa"/>
              <w:right w:w="57" w:type="dxa"/>
            </w:tcMar>
            <w:vAlign w:val="center"/>
          </w:tcPr>
          <w:p>
            <w:pPr>
              <w:widowControl/>
              <w:wordWrap w:val="0"/>
              <w:jc w:val="center"/>
            </w:pPr>
            <w:r>
              <w:rPr>
                <w:rFonts w:hint="eastAsia"/>
              </w:rPr>
              <w:t>0</w:t>
            </w:r>
          </w:p>
        </w:tc>
        <w:tc>
          <w:tcPr>
            <w:tcW w:w="693" w:type="dxa"/>
            <w:tcBorders>
              <w:top w:val="nil"/>
              <w:left w:val="nil"/>
              <w:bottom w:val="outset" w:color="auto" w:sz="8" w:space="0"/>
              <w:right w:val="single" w:color="auto" w:sz="8" w:space="0"/>
            </w:tcBorders>
            <w:shd w:val="clear" w:color="auto" w:fill="auto"/>
            <w:tcMar>
              <w:left w:w="57" w:type="dxa"/>
              <w:right w:w="57" w:type="dxa"/>
            </w:tcMar>
            <w:vAlign w:val="center"/>
          </w:tcPr>
          <w:p>
            <w:pPr>
              <w:widowControl/>
              <w:wordWrap w:val="0"/>
              <w:jc w:val="center"/>
            </w:pPr>
            <w:r>
              <w:t>0</w:t>
            </w:r>
          </w:p>
        </w:tc>
        <w:tc>
          <w:tcPr>
            <w:tcW w:w="693" w:type="dxa"/>
            <w:tcBorders>
              <w:top w:val="nil"/>
              <w:left w:val="nil"/>
              <w:bottom w:val="outset" w:color="auto" w:sz="8" w:space="0"/>
              <w:right w:val="single" w:color="auto" w:sz="8" w:space="0"/>
            </w:tcBorders>
            <w:shd w:val="clear" w:color="auto" w:fill="auto"/>
            <w:tcMar>
              <w:left w:w="57" w:type="dxa"/>
              <w:right w:w="57" w:type="dxa"/>
            </w:tcMar>
            <w:vAlign w:val="center"/>
          </w:tcPr>
          <w:p>
            <w:pPr>
              <w:widowControl/>
              <w:wordWrap w:val="0"/>
              <w:jc w:val="center"/>
            </w:pPr>
            <w:r>
              <w:t>0</w:t>
            </w:r>
          </w:p>
        </w:tc>
        <w:tc>
          <w:tcPr>
            <w:tcW w:w="693" w:type="dxa"/>
            <w:tcBorders>
              <w:top w:val="nil"/>
              <w:left w:val="nil"/>
              <w:bottom w:val="outset" w:color="auto" w:sz="8" w:space="0"/>
              <w:right w:val="single" w:color="auto" w:sz="8" w:space="0"/>
            </w:tcBorders>
            <w:shd w:val="clear" w:color="auto" w:fill="auto"/>
            <w:tcMar>
              <w:left w:w="57" w:type="dxa"/>
              <w:right w:w="57" w:type="dxa"/>
            </w:tcMar>
            <w:vAlign w:val="center"/>
          </w:tcPr>
          <w:p>
            <w:pPr>
              <w:widowControl/>
              <w:wordWrap w:val="0"/>
              <w:jc w:val="center"/>
            </w:pPr>
            <w:r>
              <w:t>0</w:t>
            </w:r>
          </w:p>
        </w:tc>
        <w:tc>
          <w:tcPr>
            <w:tcW w:w="693" w:type="dxa"/>
            <w:tcBorders>
              <w:top w:val="nil"/>
              <w:left w:val="nil"/>
              <w:bottom w:val="outset" w:color="auto" w:sz="8" w:space="0"/>
              <w:right w:val="single" w:color="auto" w:sz="8" w:space="0"/>
            </w:tcBorders>
            <w:shd w:val="clear" w:color="auto" w:fill="auto"/>
            <w:tcMar>
              <w:left w:w="57" w:type="dxa"/>
              <w:right w:w="57" w:type="dxa"/>
            </w:tcMar>
            <w:vAlign w:val="center"/>
          </w:tcPr>
          <w:p>
            <w:pPr>
              <w:widowControl/>
              <w:wordWrap w:val="0"/>
              <w:jc w:val="center"/>
            </w:pPr>
            <w:r>
              <w:t>0</w:t>
            </w:r>
          </w:p>
        </w:tc>
        <w:tc>
          <w:tcPr>
            <w:tcW w:w="693" w:type="dxa"/>
            <w:tcBorders>
              <w:top w:val="nil"/>
              <w:left w:val="nil"/>
              <w:bottom w:val="outset" w:color="auto" w:sz="8" w:space="0"/>
              <w:right w:val="single" w:color="auto" w:sz="8" w:space="0"/>
            </w:tcBorders>
            <w:shd w:val="clear" w:color="auto" w:fill="auto"/>
            <w:tcMar>
              <w:left w:w="57" w:type="dxa"/>
              <w:right w:w="57" w:type="dxa"/>
            </w:tcMar>
            <w:vAlign w:val="center"/>
          </w:tcPr>
          <w:p>
            <w:pPr>
              <w:widowControl/>
              <w:wordWrap w:val="0"/>
              <w:jc w:val="center"/>
            </w:pPr>
            <w:r>
              <w:rPr>
                <w:rFonts w:hint="eastAsia"/>
              </w:rPr>
              <w:t>0</w:t>
            </w:r>
          </w:p>
        </w:tc>
        <w:tc>
          <w:tcPr>
            <w:tcW w:w="693" w:type="dxa"/>
            <w:tcBorders>
              <w:top w:val="nil"/>
              <w:left w:val="nil"/>
              <w:bottom w:val="outset" w:color="auto" w:sz="8" w:space="0"/>
              <w:right w:val="single" w:color="auto" w:sz="8" w:space="0"/>
            </w:tcBorders>
            <w:shd w:val="clear" w:color="auto" w:fill="auto"/>
            <w:tcMar>
              <w:left w:w="57" w:type="dxa"/>
              <w:right w:w="57" w:type="dxa"/>
            </w:tcMar>
          </w:tcPr>
          <w:p>
            <w:pPr>
              <w:widowControl/>
              <w:wordWrap w:val="0"/>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6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941" w:type="dxa"/>
            <w:vMerge w:val="restart"/>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widowControl/>
              <w:wordWrap w:val="0"/>
              <w:jc w:val="left"/>
            </w:pPr>
            <w:r>
              <w:rPr>
                <w:rFonts w:hint="eastAsia" w:ascii="宋体" w:hAnsi="宋体" w:eastAsia="宋体" w:cs="宋体"/>
                <w:kern w:val="0"/>
                <w:sz w:val="20"/>
                <w:szCs w:val="20"/>
              </w:rPr>
              <w:t>（六）其他处理</w:t>
            </w:r>
          </w:p>
        </w:tc>
        <w:tc>
          <w:tcPr>
            <w:tcW w:w="319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pPr>
            <w:r>
              <w:rPr>
                <w:rFonts w:hint="eastAsia" w:ascii="宋体" w:hAnsi="宋体" w:eastAsia="宋体" w:cs="宋体"/>
                <w:kern w:val="0"/>
                <w:sz w:val="20"/>
                <w:szCs w:val="20"/>
              </w:rPr>
              <w:t>1.申请人无正当理由逾期不补正、行政机关不再处理其政府信息公开申请</w:t>
            </w:r>
          </w:p>
        </w:tc>
        <w:tc>
          <w:tcPr>
            <w:tcW w:w="68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pPr>
              <w:widowControl/>
              <w:wordWrap w:val="0"/>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941"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319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pPr>
            <w:r>
              <w:rPr>
                <w:rFonts w:hint="eastAsia" w:ascii="宋体" w:hAnsi="宋体" w:eastAsia="宋体" w:cs="宋体"/>
                <w:kern w:val="0"/>
                <w:sz w:val="20"/>
                <w:szCs w:val="20"/>
              </w:rPr>
              <w:t>2.申请人逾期未按收费通知要求缴纳费用、行政机关不再处理其政府信息公开申请</w:t>
            </w:r>
          </w:p>
        </w:tc>
        <w:tc>
          <w:tcPr>
            <w:tcW w:w="68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pPr>
              <w:widowControl/>
              <w:wordWrap w:val="0"/>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941"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3199"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left"/>
            </w:pPr>
            <w:r>
              <w:rPr>
                <w:rFonts w:hint="eastAsia" w:ascii="宋体" w:hAnsi="宋体" w:eastAsia="宋体" w:cs="宋体"/>
                <w:kern w:val="0"/>
                <w:sz w:val="20"/>
                <w:szCs w:val="20"/>
              </w:rPr>
              <w:t>3.其他</w:t>
            </w:r>
          </w:p>
        </w:tc>
        <w:tc>
          <w:tcPr>
            <w:tcW w:w="68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pPr>
              <w:widowControl/>
              <w:wordWrap w:val="0"/>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4140"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left"/>
            </w:pPr>
            <w:r>
              <w:rPr>
                <w:rFonts w:hint="eastAsia" w:ascii="宋体" w:hAnsi="宋体" w:eastAsia="宋体" w:cs="宋体"/>
                <w:kern w:val="0"/>
                <w:sz w:val="20"/>
                <w:szCs w:val="20"/>
              </w:rPr>
              <w:t>（七）总计</w:t>
            </w:r>
          </w:p>
        </w:tc>
        <w:tc>
          <w:tcPr>
            <w:tcW w:w="68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4905"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wordWrap w:val="0"/>
              <w:jc w:val="left"/>
            </w:pPr>
            <w:r>
              <w:rPr>
                <w:rFonts w:hint="eastAsia" w:ascii="宋体" w:hAnsi="宋体" w:eastAsia="宋体" w:cs="宋体"/>
                <w:kern w:val="0"/>
                <w:sz w:val="20"/>
                <w:szCs w:val="20"/>
              </w:rPr>
              <w:t>四、结转下年度继续办理</w:t>
            </w:r>
          </w:p>
        </w:tc>
        <w:tc>
          <w:tcPr>
            <w:tcW w:w="68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pPr>
              <w:widowControl/>
              <w:wordWrap w:val="0"/>
              <w:jc w:val="center"/>
            </w:pPr>
            <w:r>
              <w:rPr>
                <w:rFonts w:hint="eastAsia"/>
              </w:rPr>
              <w:t>0</w:t>
            </w:r>
          </w:p>
        </w:tc>
      </w:tr>
    </w:tbl>
    <w:p>
      <w:pPr>
        <w:widowControl/>
        <w:shd w:val="clear" w:color="auto" w:fill="FFFFFF"/>
        <w:rPr>
          <w:rFonts w:ascii="宋体" w:hAnsi="宋体" w:eastAsia="宋体" w:cs="宋体"/>
          <w:color w:val="333333"/>
          <w:sz w:val="16"/>
          <w:szCs w:val="16"/>
        </w:rPr>
      </w:pPr>
    </w:p>
    <w:p>
      <w:pPr>
        <w:pStyle w:val="5"/>
        <w:widowControl/>
        <w:shd w:val="clear" w:color="auto" w:fill="FFFFFF"/>
        <w:spacing w:beforeAutospacing="0" w:afterAutospacing="0"/>
        <w:ind w:firstLine="420"/>
        <w:jc w:val="both"/>
        <w:rPr>
          <w:rFonts w:ascii="黑体" w:hAnsi="黑体" w:eastAsia="黑体" w:cs="宋体"/>
          <w:bCs/>
          <w:color w:val="333333"/>
          <w:sz w:val="32"/>
          <w:szCs w:val="32"/>
          <w:shd w:val="clear" w:color="auto" w:fill="FFFFFF"/>
        </w:rPr>
      </w:pPr>
      <w:r>
        <w:rPr>
          <w:rFonts w:hint="eastAsia" w:ascii="黑体" w:hAnsi="黑体" w:eastAsia="黑体" w:cs="宋体"/>
          <w:bCs/>
          <w:color w:val="333333"/>
          <w:sz w:val="32"/>
          <w:szCs w:val="32"/>
          <w:shd w:val="clear" w:color="auto" w:fill="FFFFFF"/>
        </w:rPr>
        <w:t>四、政府信息公开行政复议、行政诉讼情况</w:t>
      </w:r>
    </w:p>
    <w:tbl>
      <w:tblPr>
        <w:tblStyle w:val="6"/>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50"/>
        <w:gridCol w:w="650"/>
        <w:gridCol w:w="650"/>
        <w:gridCol w:w="650"/>
        <w:gridCol w:w="650"/>
        <w:gridCol w:w="649"/>
        <w:gridCol w:w="649"/>
        <w:gridCol w:w="650"/>
        <w:gridCol w:w="650"/>
        <w:gridCol w:w="650"/>
        <w:gridCol w:w="650"/>
        <w:gridCol w:w="650"/>
        <w:gridCol w:w="650"/>
        <w:gridCol w:w="650"/>
        <w:gridCol w:w="65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50"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wordWrap w:val="0"/>
              <w:jc w:val="center"/>
            </w:pPr>
            <w:r>
              <w:rPr>
                <w:rFonts w:hint="eastAsia" w:ascii="宋体" w:hAnsi="宋体" w:eastAsia="宋体" w:cs="宋体"/>
                <w:kern w:val="0"/>
                <w:sz w:val="20"/>
                <w:szCs w:val="20"/>
              </w:rPr>
              <w:t>行政复议</w:t>
            </w:r>
          </w:p>
        </w:tc>
        <w:tc>
          <w:tcPr>
            <w:tcW w:w="6498" w:type="dxa"/>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wordWrap w:val="0"/>
              <w:jc w:val="center"/>
            </w:pPr>
            <w:r>
              <w:rPr>
                <w:rFonts w:hint="eastAsia" w:ascii="宋体" w:hAnsi="宋体" w:eastAsia="宋体" w:cs="宋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50"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wordWrap w:val="0"/>
              <w:jc w:val="center"/>
            </w:pPr>
            <w:r>
              <w:rPr>
                <w:rFonts w:hint="eastAsia" w:ascii="宋体" w:hAnsi="宋体" w:eastAsia="宋体" w:cs="宋体"/>
                <w:kern w:val="0"/>
                <w:sz w:val="20"/>
                <w:szCs w:val="20"/>
              </w:rPr>
              <w:t>结果维持</w:t>
            </w:r>
          </w:p>
        </w:tc>
        <w:tc>
          <w:tcPr>
            <w:tcW w:w="650"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wordWrap w:val="0"/>
              <w:jc w:val="center"/>
            </w:pPr>
            <w:r>
              <w:rPr>
                <w:rFonts w:hint="eastAsia" w:ascii="宋体" w:hAnsi="宋体" w:eastAsia="宋体" w:cs="宋体"/>
                <w:kern w:val="0"/>
                <w:sz w:val="20"/>
                <w:szCs w:val="20"/>
              </w:rPr>
              <w:t>结果纠正</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wordWrap w:val="0"/>
              <w:jc w:val="center"/>
            </w:pPr>
            <w:r>
              <w:rPr>
                <w:rFonts w:hint="eastAsia" w:ascii="宋体" w:hAnsi="宋体" w:eastAsia="宋体" w:cs="宋体"/>
                <w:kern w:val="0"/>
                <w:sz w:val="20"/>
                <w:szCs w:val="20"/>
              </w:rPr>
              <w:t>其他结果</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wordWrap w:val="0"/>
              <w:jc w:val="center"/>
            </w:pPr>
            <w:r>
              <w:rPr>
                <w:rFonts w:hint="eastAsia" w:ascii="宋体" w:hAnsi="宋体" w:eastAsia="宋体" w:cs="宋体"/>
                <w:kern w:val="0"/>
                <w:sz w:val="20"/>
                <w:szCs w:val="20"/>
              </w:rPr>
              <w:t>尚未审结</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wordWrap w:val="0"/>
              <w:jc w:val="center"/>
            </w:pPr>
            <w:r>
              <w:rPr>
                <w:rFonts w:hint="eastAsia" w:ascii="宋体" w:hAnsi="宋体" w:eastAsia="宋体" w:cs="宋体"/>
                <w:kern w:val="0"/>
                <w:sz w:val="20"/>
                <w:szCs w:val="20"/>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wordWrap w:val="0"/>
              <w:jc w:val="center"/>
            </w:pPr>
            <w:r>
              <w:rPr>
                <w:rFonts w:hint="eastAsia" w:ascii="宋体" w:hAnsi="宋体" w:eastAsia="宋体" w:cs="宋体"/>
                <w:kern w:val="0"/>
                <w:sz w:val="20"/>
                <w:szCs w:val="20"/>
              </w:rPr>
              <w:t>未经复议直接起诉</w:t>
            </w:r>
          </w:p>
        </w:tc>
        <w:tc>
          <w:tcPr>
            <w:tcW w:w="3250"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wordWrap w:val="0"/>
              <w:jc w:val="center"/>
            </w:pPr>
            <w:r>
              <w:rPr>
                <w:rFonts w:hint="eastAsia" w:ascii="宋体" w:hAnsi="宋体" w:eastAsia="宋体" w:cs="宋体"/>
                <w:kern w:val="0"/>
                <w:sz w:val="20"/>
                <w:szCs w:val="20"/>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5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sz w:val="24"/>
              </w:rPr>
            </w:pPr>
          </w:p>
        </w:tc>
        <w:tc>
          <w:tcPr>
            <w:tcW w:w="65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sz w:val="24"/>
              </w:rPr>
            </w:pPr>
          </w:p>
        </w:tc>
        <w:tc>
          <w:tcPr>
            <w:tcW w:w="65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sz w:val="24"/>
              </w:rPr>
            </w:pPr>
          </w:p>
        </w:tc>
        <w:tc>
          <w:tcPr>
            <w:tcW w:w="65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sz w:val="24"/>
              </w:rPr>
            </w:pPr>
          </w:p>
        </w:tc>
        <w:tc>
          <w:tcPr>
            <w:tcW w:w="65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sz w:val="24"/>
              </w:rPr>
            </w:pP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wordWrap w:val="0"/>
              <w:jc w:val="center"/>
            </w:pPr>
            <w:r>
              <w:rPr>
                <w:rFonts w:hint="eastAsia" w:ascii="宋体" w:hAnsi="宋体" w:eastAsia="宋体" w:cs="宋体"/>
                <w:kern w:val="0"/>
                <w:sz w:val="20"/>
                <w:szCs w:val="20"/>
              </w:rPr>
              <w:t>结果维持</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wordWrap w:val="0"/>
              <w:jc w:val="center"/>
            </w:pPr>
            <w:r>
              <w:rPr>
                <w:rFonts w:hint="eastAsia" w:ascii="宋体" w:hAnsi="宋体" w:eastAsia="宋体" w:cs="宋体"/>
                <w:kern w:val="0"/>
                <w:sz w:val="20"/>
                <w:szCs w:val="20"/>
              </w:rPr>
              <w:t>结果纠正</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wordWrap w:val="0"/>
              <w:jc w:val="center"/>
            </w:pPr>
            <w:r>
              <w:rPr>
                <w:rFonts w:hint="eastAsia" w:ascii="宋体" w:hAnsi="宋体" w:eastAsia="宋体" w:cs="宋体"/>
                <w:kern w:val="0"/>
                <w:sz w:val="20"/>
                <w:szCs w:val="20"/>
              </w:rPr>
              <w:t>其他结果</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wordWrap w:val="0"/>
              <w:jc w:val="center"/>
            </w:pPr>
            <w:r>
              <w:rPr>
                <w:rFonts w:hint="eastAsia" w:ascii="宋体" w:hAnsi="宋体" w:eastAsia="宋体" w:cs="宋体"/>
                <w:kern w:val="0"/>
                <w:sz w:val="20"/>
                <w:szCs w:val="20"/>
              </w:rPr>
              <w:t>尚未审结</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wordWrap w:val="0"/>
              <w:jc w:val="center"/>
            </w:pPr>
            <w:r>
              <w:rPr>
                <w:rFonts w:hint="eastAsia" w:ascii="宋体" w:hAnsi="宋体" w:eastAsia="宋体" w:cs="宋体"/>
                <w:color w:val="000000"/>
                <w:kern w:val="0"/>
                <w:sz w:val="20"/>
                <w:szCs w:val="20"/>
              </w:rPr>
              <w:t>总计</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wordWrap w:val="0"/>
              <w:jc w:val="center"/>
            </w:pPr>
            <w:r>
              <w:rPr>
                <w:rFonts w:hint="eastAsia" w:ascii="宋体" w:hAnsi="宋体" w:eastAsia="宋体" w:cs="宋体"/>
                <w:kern w:val="0"/>
                <w:sz w:val="20"/>
                <w:szCs w:val="20"/>
              </w:rPr>
              <w:t>结果维持</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wordWrap w:val="0"/>
              <w:jc w:val="center"/>
            </w:pPr>
            <w:r>
              <w:rPr>
                <w:rFonts w:hint="eastAsia" w:ascii="宋体" w:hAnsi="宋体" w:eastAsia="宋体" w:cs="宋体"/>
                <w:kern w:val="0"/>
                <w:sz w:val="20"/>
                <w:szCs w:val="20"/>
              </w:rPr>
              <w:t>结果纠正</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wordWrap w:val="0"/>
              <w:jc w:val="center"/>
            </w:pPr>
            <w:r>
              <w:rPr>
                <w:rFonts w:hint="eastAsia" w:ascii="宋体" w:hAnsi="宋体" w:eastAsia="宋体" w:cs="宋体"/>
                <w:color w:val="000000"/>
                <w:kern w:val="0"/>
                <w:sz w:val="20"/>
                <w:szCs w:val="20"/>
              </w:rPr>
              <w:t>其他结果</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wordWrap w:val="0"/>
              <w:jc w:val="center"/>
            </w:pPr>
            <w:r>
              <w:rPr>
                <w:rFonts w:hint="eastAsia" w:ascii="宋体" w:hAnsi="宋体" w:eastAsia="宋体" w:cs="宋体"/>
                <w:kern w:val="0"/>
                <w:sz w:val="20"/>
                <w:szCs w:val="20"/>
              </w:rPr>
              <w:t>尚未审结</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wordWrap w:val="0"/>
              <w:jc w:val="center"/>
            </w:pPr>
            <w:r>
              <w:rPr>
                <w:rFonts w:hint="eastAsia" w:ascii="宋体" w:hAnsi="宋体" w:eastAsia="宋体" w:cs="宋体"/>
                <w:color w:val="000000"/>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wordWrap w:val="0"/>
              <w:jc w:val="center"/>
            </w:pPr>
            <w:r>
              <w:rPr>
                <w:rFonts w:hint="eastAsia"/>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wordWrap w:val="0"/>
              <w:jc w:val="center"/>
            </w:pPr>
            <w: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wordWrap w:val="0"/>
              <w:jc w:val="center"/>
            </w:pPr>
            <w: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wordWrap w:val="0"/>
              <w:jc w:val="center"/>
            </w:pPr>
            <w: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wordWrap w:val="0"/>
              <w:jc w:val="center"/>
            </w:pPr>
            <w: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wordWrap w:val="0"/>
              <w:jc w:val="center"/>
            </w:pPr>
            <w:r>
              <w:rPr>
                <w:rFonts w:hint="eastAsia"/>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tcPr>
          <w:p>
            <w:pPr>
              <w:widowControl/>
              <w:wordWrap w:val="0"/>
              <w:jc w:val="center"/>
            </w:pPr>
          </w:p>
          <w:p>
            <w:pPr>
              <w:widowControl/>
              <w:wordWrap w:val="0"/>
              <w:jc w:val="center"/>
            </w:pPr>
            <w:r>
              <w:rPr>
                <w:rFonts w:hint="eastAsia"/>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wordWrap w:val="0"/>
              <w:jc w:val="center"/>
            </w:pPr>
            <w:r>
              <w:rPr>
                <w:rFonts w:hint="eastAsia"/>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wordWrap w:val="0"/>
              <w:jc w:val="center"/>
            </w:pPr>
            <w: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wordWrap w:val="0"/>
              <w:jc w:val="center"/>
            </w:pPr>
            <w: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wordWrap w:val="0"/>
              <w:jc w:val="center"/>
            </w:pPr>
            <w: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wordWrap w:val="0"/>
              <w:jc w:val="center"/>
            </w:pPr>
            <w: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wordWrap w:val="0"/>
              <w:jc w:val="center"/>
            </w:pPr>
            <w:r>
              <w:rPr>
                <w:rFonts w:hint="eastAsia"/>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wordWrap w:val="0"/>
              <w:jc w:val="center"/>
            </w:pPr>
            <w:r>
              <w:rPr>
                <w:rFonts w:hint="eastAsia"/>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sz w:val="24"/>
              </w:rPr>
            </w:pPr>
            <w:r>
              <w:rPr>
                <w:rFonts w:hint="eastAsia" w:ascii="宋体"/>
                <w:sz w:val="24"/>
              </w:rPr>
              <w:t>0</w:t>
            </w:r>
          </w:p>
        </w:tc>
      </w:tr>
    </w:tbl>
    <w:p>
      <w:pPr>
        <w:widowControl/>
        <w:jc w:val="left"/>
      </w:pPr>
    </w:p>
    <w:p>
      <w:pPr>
        <w:pStyle w:val="5"/>
        <w:widowControl/>
        <w:shd w:val="clear" w:color="auto" w:fill="FFFFFF"/>
        <w:spacing w:beforeAutospacing="0" w:afterAutospacing="0"/>
        <w:ind w:firstLine="640" w:firstLineChars="200"/>
        <w:jc w:val="both"/>
        <w:rPr>
          <w:rFonts w:ascii="黑体" w:hAnsi="黑体" w:eastAsia="黑体" w:cs="宋体"/>
          <w:bCs/>
          <w:color w:val="333333"/>
          <w:sz w:val="32"/>
          <w:szCs w:val="32"/>
          <w:shd w:val="clear" w:color="auto" w:fill="FFFFFF"/>
        </w:rPr>
      </w:pPr>
      <w:r>
        <w:rPr>
          <w:rFonts w:hint="eastAsia" w:ascii="黑体" w:hAnsi="黑体" w:eastAsia="黑体" w:cs="宋体"/>
          <w:bCs/>
          <w:color w:val="333333"/>
          <w:sz w:val="32"/>
          <w:szCs w:val="32"/>
          <w:shd w:val="clear" w:color="auto" w:fill="FFFFFF"/>
        </w:rPr>
        <w:t>五、存在的主要问题及改进情况</w:t>
      </w:r>
    </w:p>
    <w:p>
      <w:pPr>
        <w:pStyle w:val="5"/>
        <w:widowControl/>
        <w:shd w:val="clear" w:color="auto" w:fill="FFFFFF"/>
        <w:spacing w:beforeAutospacing="0" w:afterAutospacing="0"/>
        <w:ind w:firstLine="800" w:firstLineChars="250"/>
        <w:jc w:val="both"/>
        <w:rPr>
          <w:rFonts w:ascii="仿宋_GB2312" w:hAnsi="仿宋_GB2312" w:eastAsia="仿宋_GB2312" w:cs="仿宋_GB2312"/>
          <w:bCs/>
          <w:color w:val="333333"/>
          <w:sz w:val="32"/>
          <w:szCs w:val="32"/>
          <w:shd w:val="clear" w:color="auto" w:fill="FFFFFF"/>
        </w:rPr>
      </w:pPr>
      <w:r>
        <w:rPr>
          <w:rFonts w:hint="eastAsia" w:ascii="仿宋_GB2312" w:hAnsi="仿宋_GB2312" w:eastAsia="仿宋_GB2312" w:cs="仿宋_GB2312"/>
          <w:bCs/>
          <w:color w:val="333333"/>
          <w:sz w:val="32"/>
          <w:szCs w:val="32"/>
          <w:shd w:val="clear" w:color="auto" w:fill="FFFFFF"/>
        </w:rPr>
        <w:t>2021年，我局不断加强政府信息公开工作标准化、规范化建设，形成了完善的组织架构，健全的工作体制，常态的更新机制，标准的操作流程。但依然存在一些问题：一是政策解读缺失，由于规范性文件制定较少，本级政策解读不多，同时存在解读不及时的现象；二是政务公开人员缺少，由于单位工作调整，工作人员刚接手工作，专业知识、技能还不强，对《政府信息公开条例》的学习、培训和交流还不够；三是工作主动性缺乏，由于承担工作职责较多，非专职人员，工作积极性、主动性受限，导致部分主动公开的信息内容还不够完善、不够及时。</w:t>
      </w:r>
    </w:p>
    <w:p>
      <w:pPr>
        <w:pStyle w:val="5"/>
        <w:widowControl/>
        <w:shd w:val="clear" w:color="auto" w:fill="FFFFFF"/>
        <w:spacing w:beforeAutospacing="0" w:afterAutospacing="0"/>
        <w:ind w:firstLine="640" w:firstLineChars="200"/>
        <w:jc w:val="both"/>
        <w:rPr>
          <w:rFonts w:ascii="仿宋_GB2312" w:hAnsi="仿宋_GB2312" w:eastAsia="仿宋_GB2312" w:cs="仿宋_GB2312"/>
          <w:bCs/>
          <w:color w:val="333333"/>
          <w:sz w:val="32"/>
          <w:szCs w:val="32"/>
          <w:shd w:val="clear" w:color="auto" w:fill="FFFFFF"/>
        </w:rPr>
      </w:pPr>
      <w:r>
        <w:rPr>
          <w:rFonts w:hint="eastAsia" w:ascii="仿宋_GB2312" w:hAnsi="仿宋_GB2312" w:eastAsia="仿宋_GB2312" w:cs="仿宋_GB2312"/>
          <w:bCs/>
          <w:color w:val="333333"/>
          <w:sz w:val="32"/>
          <w:szCs w:val="32"/>
          <w:shd w:val="clear" w:color="auto" w:fill="FFFFFF"/>
        </w:rPr>
        <w:t>下一步改进计划：一是多维学习强素质。加强政务公开信息员专业知识的培养，熟练掌握后台系统内的相关业务，增强工作本领。二是完善机制促公开。对照《条例》，健全和完善政务公开制度，认真梳理公开事项，规范公开内容，提高公开质量。三是明确职责提质效。进一步明确局属各单位、机关各股室的职责任务，分工不分家，层层落实责任，层层抓好提升。</w:t>
      </w:r>
    </w:p>
    <w:p>
      <w:pPr>
        <w:pStyle w:val="5"/>
        <w:widowControl/>
        <w:shd w:val="clear" w:color="auto" w:fill="FFFFFF"/>
        <w:spacing w:beforeAutospacing="0" w:afterAutospacing="0"/>
        <w:ind w:firstLine="640" w:firstLineChars="200"/>
        <w:jc w:val="both"/>
        <w:rPr>
          <w:rFonts w:ascii="黑体" w:hAnsi="黑体" w:eastAsia="黑体" w:cs="宋体"/>
          <w:bCs/>
          <w:color w:val="333333"/>
          <w:sz w:val="32"/>
          <w:szCs w:val="32"/>
          <w:shd w:val="clear" w:color="auto" w:fill="FFFFFF"/>
        </w:rPr>
      </w:pPr>
      <w:r>
        <w:rPr>
          <w:rFonts w:hint="eastAsia" w:ascii="黑体" w:hAnsi="黑体" w:eastAsia="黑体" w:cs="宋体"/>
          <w:bCs/>
          <w:color w:val="333333"/>
          <w:sz w:val="32"/>
          <w:szCs w:val="32"/>
          <w:shd w:val="clear" w:color="auto" w:fill="FFFFFF"/>
        </w:rPr>
        <w:t>六、其他需要报告的事项</w:t>
      </w:r>
    </w:p>
    <w:p>
      <w:pPr>
        <w:pStyle w:val="5"/>
        <w:widowControl/>
        <w:shd w:val="clear" w:color="auto" w:fill="FFFFFF"/>
        <w:spacing w:beforeAutospacing="0" w:afterAutospacing="0"/>
        <w:ind w:firstLine="420"/>
        <w:jc w:val="both"/>
        <w:rPr>
          <w:rFonts w:ascii="仿宋_GB2312" w:hAnsi="仿宋_GB2312" w:eastAsia="仿宋_GB2312" w:cs="仿宋_GB2312"/>
          <w:bCs/>
          <w:color w:val="333333"/>
          <w:sz w:val="32"/>
          <w:szCs w:val="32"/>
          <w:shd w:val="clear" w:color="auto" w:fill="FFFFFF"/>
        </w:rPr>
      </w:pPr>
      <w:r>
        <w:rPr>
          <w:rFonts w:hint="eastAsia" w:ascii="仿宋_GB2312" w:hAnsi="仿宋_GB2312" w:eastAsia="仿宋_GB2312" w:cs="仿宋_GB2312"/>
          <w:bCs/>
          <w:color w:val="333333"/>
          <w:sz w:val="32"/>
          <w:szCs w:val="32"/>
          <w:shd w:val="clear" w:color="auto" w:fill="FFFFFF"/>
        </w:rPr>
        <w:t>按照《国务院办公厅关于印发〈政府信息公开信息处理费管理办法〉的通知》（国办函〔2020〕109号）规定的按件、按量收费标准，本年度没有产生信息公开处理费。</w:t>
      </w:r>
    </w:p>
    <w:p>
      <w:pPr>
        <w:pStyle w:val="5"/>
        <w:widowControl/>
        <w:shd w:val="clear" w:color="auto" w:fill="FFFFFF"/>
        <w:spacing w:beforeAutospacing="0" w:afterAutospacing="0"/>
        <w:ind w:firstLine="420"/>
        <w:jc w:val="both"/>
        <w:rPr>
          <w:rFonts w:ascii="仿宋_GB2312" w:hAnsi="仿宋_GB2312" w:eastAsia="仿宋_GB2312" w:cs="仿宋_GB2312"/>
          <w:bCs/>
          <w:color w:val="333333"/>
          <w:sz w:val="32"/>
          <w:szCs w:val="32"/>
          <w:shd w:val="clear" w:color="auto" w:fill="FFFFFF"/>
        </w:rPr>
      </w:pPr>
    </w:p>
    <w:p>
      <w:pPr>
        <w:pStyle w:val="5"/>
        <w:widowControl/>
        <w:shd w:val="clear" w:color="auto" w:fill="FFFFFF"/>
        <w:spacing w:beforeAutospacing="0" w:afterAutospacing="0"/>
        <w:ind w:firstLine="420"/>
        <w:jc w:val="both"/>
        <w:rPr>
          <w:rFonts w:ascii="仿宋_GB2312" w:hAnsi="仿宋_GB2312" w:eastAsia="仿宋_GB2312" w:cs="仿宋_GB2312"/>
          <w:bCs/>
          <w:color w:val="333333"/>
          <w:sz w:val="32"/>
          <w:szCs w:val="32"/>
          <w:shd w:val="clear" w:color="auto" w:fill="FFFFFF"/>
        </w:rPr>
      </w:pPr>
      <w:r>
        <w:rPr>
          <w:rFonts w:hint="eastAsia" w:ascii="仿宋_GB2312" w:hAnsi="仿宋_GB2312" w:eastAsia="仿宋_GB2312" w:cs="仿宋_GB2312"/>
          <w:bCs/>
          <w:color w:val="333333"/>
          <w:sz w:val="32"/>
          <w:szCs w:val="32"/>
          <w:shd w:val="clear" w:color="auto" w:fill="FFFFFF"/>
        </w:rPr>
        <w:t xml:space="preserve">                            </w:t>
      </w:r>
    </w:p>
    <w:p>
      <w:pPr>
        <w:pStyle w:val="5"/>
        <w:widowControl/>
        <w:shd w:val="clear" w:color="auto" w:fill="FFFFFF"/>
        <w:spacing w:beforeAutospacing="0" w:afterAutospacing="0"/>
        <w:ind w:firstLine="4800" w:firstLineChars="1500"/>
        <w:jc w:val="both"/>
        <w:rPr>
          <w:rFonts w:ascii="仿宋_GB2312" w:hAnsi="仿宋_GB2312" w:eastAsia="仿宋_GB2312" w:cs="仿宋_GB2312"/>
          <w:bCs/>
          <w:color w:val="333333"/>
          <w:sz w:val="32"/>
          <w:szCs w:val="32"/>
          <w:shd w:val="clear" w:color="auto" w:fill="FFFFFF"/>
        </w:rPr>
      </w:pPr>
      <w:r>
        <w:rPr>
          <w:rFonts w:hint="eastAsia" w:ascii="仿宋_GB2312" w:hAnsi="仿宋_GB2312" w:eastAsia="仿宋_GB2312" w:cs="仿宋_GB2312"/>
          <w:bCs/>
          <w:color w:val="333333"/>
          <w:sz w:val="32"/>
          <w:szCs w:val="32"/>
          <w:shd w:val="clear" w:color="auto" w:fill="FFFFFF"/>
        </w:rPr>
        <w:t xml:space="preserve"> 舒城县审计局              </w:t>
      </w:r>
    </w:p>
    <w:p>
      <w:pPr>
        <w:pStyle w:val="5"/>
        <w:widowControl/>
        <w:shd w:val="clear" w:color="auto" w:fill="FFFFFF"/>
        <w:spacing w:beforeAutospacing="0" w:afterAutospacing="0"/>
        <w:ind w:firstLine="4640" w:firstLineChars="1450"/>
        <w:jc w:val="both"/>
        <w:rPr>
          <w:rFonts w:ascii="仿宋_GB2312" w:hAnsi="仿宋_GB2312" w:eastAsia="仿宋_GB2312" w:cs="仿宋_GB2312"/>
          <w:bCs/>
          <w:color w:val="333333"/>
          <w:sz w:val="32"/>
          <w:szCs w:val="32"/>
          <w:shd w:val="clear" w:color="auto" w:fill="FFFFFF"/>
        </w:rPr>
      </w:pPr>
      <w:r>
        <w:rPr>
          <w:rFonts w:hint="eastAsia" w:ascii="仿宋_GB2312" w:hAnsi="仿宋_GB2312" w:eastAsia="仿宋_GB2312" w:cs="仿宋_GB2312"/>
          <w:bCs/>
          <w:color w:val="333333"/>
          <w:sz w:val="32"/>
          <w:szCs w:val="32"/>
          <w:shd w:val="clear" w:color="auto" w:fill="FFFFFF"/>
        </w:rPr>
        <w:t>2022年1月1</w:t>
      </w:r>
      <w:r>
        <w:rPr>
          <w:rFonts w:hint="eastAsia" w:ascii="仿宋_GB2312" w:hAnsi="仿宋_GB2312" w:eastAsia="仿宋_GB2312" w:cs="仿宋_GB2312"/>
          <w:bCs/>
          <w:color w:val="333333"/>
          <w:sz w:val="32"/>
          <w:szCs w:val="32"/>
          <w:shd w:val="clear" w:color="auto" w:fill="FFFFFF"/>
          <w:lang w:val="en-US" w:eastAsia="zh-CN"/>
        </w:rPr>
        <w:t>7</w:t>
      </w:r>
      <w:r>
        <w:rPr>
          <w:rFonts w:hint="eastAsia" w:ascii="仿宋_GB2312" w:hAnsi="仿宋_GB2312" w:eastAsia="仿宋_GB2312" w:cs="仿宋_GB2312"/>
          <w:bCs/>
          <w:color w:val="333333"/>
          <w:sz w:val="32"/>
          <w:szCs w:val="32"/>
          <w:shd w:val="clear" w:color="auto" w:fill="FFFFFF"/>
        </w:rPr>
        <w:t>日</w:t>
      </w:r>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楷体_GB2312">
    <w:altName w:val="方正楷体_GBK"/>
    <w:panose1 w:val="02010609030101010101"/>
    <w:charset w:val="86"/>
    <w:family w:val="modern"/>
    <w:pitch w:val="default"/>
    <w:sig w:usb0="00000000" w:usb1="00000000" w:usb2="0000001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4A0"/>
    <w:rsid w:val="000613E2"/>
    <w:rsid w:val="000A3617"/>
    <w:rsid w:val="000E0069"/>
    <w:rsid w:val="001102CA"/>
    <w:rsid w:val="00123E02"/>
    <w:rsid w:val="00171E98"/>
    <w:rsid w:val="00180EB7"/>
    <w:rsid w:val="001A7CC7"/>
    <w:rsid w:val="001F3E95"/>
    <w:rsid w:val="00212683"/>
    <w:rsid w:val="00264C59"/>
    <w:rsid w:val="002E7BD8"/>
    <w:rsid w:val="003627D3"/>
    <w:rsid w:val="003D0AF9"/>
    <w:rsid w:val="003F2A3C"/>
    <w:rsid w:val="00484EEB"/>
    <w:rsid w:val="00643101"/>
    <w:rsid w:val="006634E0"/>
    <w:rsid w:val="00746A72"/>
    <w:rsid w:val="007D7F82"/>
    <w:rsid w:val="00863B56"/>
    <w:rsid w:val="00874FEF"/>
    <w:rsid w:val="008B5483"/>
    <w:rsid w:val="008B6EEF"/>
    <w:rsid w:val="008C779F"/>
    <w:rsid w:val="008E2A9A"/>
    <w:rsid w:val="008E5984"/>
    <w:rsid w:val="009441CA"/>
    <w:rsid w:val="009A54A0"/>
    <w:rsid w:val="009F7A5B"/>
    <w:rsid w:val="00A163C7"/>
    <w:rsid w:val="00A8073A"/>
    <w:rsid w:val="00A93792"/>
    <w:rsid w:val="00AE28DA"/>
    <w:rsid w:val="00B03C46"/>
    <w:rsid w:val="00B33426"/>
    <w:rsid w:val="00B35746"/>
    <w:rsid w:val="00B85D85"/>
    <w:rsid w:val="00BA5C6C"/>
    <w:rsid w:val="00BB7195"/>
    <w:rsid w:val="00C04AEC"/>
    <w:rsid w:val="00D914C2"/>
    <w:rsid w:val="00DC72E8"/>
    <w:rsid w:val="00DF6F92"/>
    <w:rsid w:val="00E40024"/>
    <w:rsid w:val="00E53D0D"/>
    <w:rsid w:val="00EE2AC8"/>
    <w:rsid w:val="00F64C3A"/>
    <w:rsid w:val="00F8737C"/>
    <w:rsid w:val="00FB51F7"/>
    <w:rsid w:val="00FD3529"/>
    <w:rsid w:val="00FE57E7"/>
    <w:rsid w:val="08081655"/>
    <w:rsid w:val="0B7B7332"/>
    <w:rsid w:val="0BB80FF2"/>
    <w:rsid w:val="13BB7794"/>
    <w:rsid w:val="1FC51802"/>
    <w:rsid w:val="228E4AA4"/>
    <w:rsid w:val="30C96D44"/>
    <w:rsid w:val="4E7B5A93"/>
    <w:rsid w:val="5D231ED6"/>
    <w:rsid w:val="655F347A"/>
    <w:rsid w:val="75E900BE"/>
    <w:rsid w:val="F7EDFC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Hyperlink"/>
    <w:basedOn w:val="7"/>
    <w:semiHidden/>
    <w:unhideWhenUsed/>
    <w:qFormat/>
    <w:uiPriority w:val="99"/>
    <w:rPr>
      <w:color w:val="0000FF"/>
      <w:u w:val="single"/>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1503</Words>
  <Characters>1549</Characters>
  <Lines>309</Lines>
  <Paragraphs>339</Paragraphs>
  <TotalTime>101</TotalTime>
  <ScaleCrop>false</ScaleCrop>
  <LinksUpToDate>false</LinksUpToDate>
  <CharactersWithSpaces>2713</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2022-01-14T17:49:00Z</dcterms:created>
  <dc:creator>gyb1</dc:creator>
  <cp:lastModifiedBy>administrator</cp:lastModifiedBy>
  <cp:lastPrinted>2022-01-14T17:25:00Z</cp:lastPrinted>
  <dcterms:modified xsi:type="dcterms:W3CDTF">2022-08-25T10:50:11Z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623CDA3938AB4EE9857CD534BFEB1807</vt:lpwstr>
  </property>
</Properties>
</file>