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EECE1" w:themeColor="background2"/>
  <w:body>
    <w:p>
      <w:pPr>
        <w:jc w:val="right"/>
      </w:pPr>
      <w:r>
        <w:drawing>
          <wp:anchor distT="0" distB="0" distL="114300" distR="114300" simplePos="0" relativeHeight="251661312" behindDoc="0" locked="1" layoutInCell="1" allowOverlap="1">
            <wp:simplePos x="0" y="0"/>
            <wp:positionH relativeFrom="margin">
              <wp:align>center</wp:align>
            </wp:positionH>
            <wp:positionV relativeFrom="page">
              <wp:posOffset>1080135</wp:posOffset>
            </wp:positionV>
            <wp:extent cx="5391150" cy="600075"/>
            <wp:effectExtent l="0" t="0" r="0" b="0"/>
            <wp:wrapSquare wrapText="bothSides"/>
            <wp:docPr id="3" name="图片 3" descr="TempHea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TempHead"/>
                    <pic:cNvPicPr>
                      <a:picLocks noChangeAspect="true" noChangeArrowheads="true"/>
                    </pic:cNvPicPr>
                  </pic:nvPicPr>
                  <pic:blipFill>
                    <a:blip r:embed="rId6">
                      <a:extLst>
                        <a:ext uri="{28A0092B-C50C-407E-A947-70E740481C1C}">
                          <a14:useLocalDpi xmlns:a14="http://schemas.microsoft.com/office/drawing/2010/main" val="false"/>
                        </a:ext>
                      </a:extLst>
                    </a:blip>
                    <a:srcRect/>
                    <a:stretch>
                      <a:fillRect/>
                    </a:stretch>
                  </pic:blipFill>
                  <pic:spPr>
                    <a:xfrm>
                      <a:off x="0" y="0"/>
                      <a:ext cx="5391150" cy="600075"/>
                    </a:xfrm>
                    <a:prstGeom prst="rect">
                      <a:avLst/>
                    </a:prstGeom>
                    <a:noFill/>
                    <a:ln>
                      <a:noFill/>
                    </a:ln>
                  </pic:spPr>
                </pic:pic>
              </a:graphicData>
            </a:graphic>
          </wp:anchor>
        </w:drawing>
      </w:r>
      <w:r>
        <w:drawing>
          <wp:anchor distT="0" distB="0" distL="114300" distR="114300" simplePos="0" relativeHeight="251659264" behindDoc="1" locked="0" layoutInCell="1" allowOverlap="1">
            <wp:simplePos x="0" y="0"/>
            <wp:positionH relativeFrom="margin">
              <wp:align>center</wp:align>
            </wp:positionH>
            <wp:positionV relativeFrom="page">
              <wp:posOffset>1800225</wp:posOffset>
            </wp:positionV>
            <wp:extent cx="6120130" cy="79375"/>
            <wp:effectExtent l="0" t="0" r="0" b="0"/>
            <wp:wrapSquare wrapText="bothSides"/>
            <wp:docPr id="2" name="图片 2" descr="TempHead"/>
            <wp:cNvGraphicFramePr/>
            <a:graphic xmlns:a="http://schemas.openxmlformats.org/drawingml/2006/main">
              <a:graphicData uri="http://schemas.openxmlformats.org/drawingml/2006/picture">
                <pic:pic xmlns:pic="http://schemas.openxmlformats.org/drawingml/2006/picture">
                  <pic:nvPicPr>
                    <pic:cNvPr id="2" name="图片 2" descr="TempHead"/>
                    <pic:cNvPicPr preferRelativeResize="false">
                      <a:picLocks noChangeArrowheads="true"/>
                    </pic:cNvPicPr>
                  </pic:nvPicPr>
                  <pic:blipFill>
                    <a:blip r:embed="rId7">
                      <a:extLst>
                        <a:ext uri="{28A0092B-C50C-407E-A947-70E740481C1C}">
                          <a14:useLocalDpi xmlns:a14="http://schemas.microsoft.com/office/drawing/2010/main" val="false"/>
                        </a:ext>
                      </a:extLst>
                    </a:blip>
                    <a:srcRect/>
                    <a:stretch>
                      <a:fillRect/>
                    </a:stretch>
                  </pic:blipFill>
                  <pic:spPr>
                    <a:xfrm>
                      <a:off x="0" y="0"/>
                      <a:ext cx="6120130" cy="79375"/>
                    </a:xfrm>
                    <a:prstGeom prst="rect">
                      <a:avLst/>
                    </a:prstGeom>
                    <a:noFill/>
                    <a:ln>
                      <a:noFill/>
                    </a:ln>
                  </pic:spPr>
                </pic:pic>
              </a:graphicData>
            </a:graphic>
          </wp:anchor>
        </w:drawing>
      </w:r>
      <w:r>
        <w:drawing>
          <wp:anchor distT="0" distB="0" distL="114300" distR="114300" simplePos="0" relativeHeight="251660288" behindDoc="1" locked="0" layoutInCell="1" allowOverlap="1">
            <wp:simplePos x="0" y="0"/>
            <wp:positionH relativeFrom="margin">
              <wp:align>center</wp:align>
            </wp:positionH>
            <wp:positionV relativeFrom="page">
              <wp:posOffset>9973310</wp:posOffset>
            </wp:positionV>
            <wp:extent cx="6120130" cy="79375"/>
            <wp:effectExtent l="0" t="0" r="0" b="0"/>
            <wp:wrapSquare wrapText="bothSides"/>
            <wp:docPr id="1" name="图片 1" descr="TempHead"/>
            <wp:cNvGraphicFramePr/>
            <a:graphic xmlns:a="http://schemas.openxmlformats.org/drawingml/2006/main">
              <a:graphicData uri="http://schemas.openxmlformats.org/drawingml/2006/picture">
                <pic:pic xmlns:pic="http://schemas.openxmlformats.org/drawingml/2006/picture">
                  <pic:nvPicPr>
                    <pic:cNvPr id="1" name="图片 1" descr="TempHead"/>
                    <pic:cNvPicPr preferRelativeResize="false">
                      <a:picLocks noChangeArrowheads="true"/>
                    </pic:cNvPicPr>
                  </pic:nvPicPr>
                  <pic:blipFill>
                    <a:blip r:embed="rId8">
                      <a:extLst>
                        <a:ext uri="{28A0092B-C50C-407E-A947-70E740481C1C}">
                          <a14:useLocalDpi xmlns:a14="http://schemas.microsoft.com/office/drawing/2010/main" val="false"/>
                        </a:ext>
                      </a:extLst>
                    </a:blip>
                    <a:srcRect/>
                    <a:stretch>
                      <a:fillRect/>
                    </a:stretch>
                  </pic:blipFill>
                  <pic:spPr>
                    <a:xfrm>
                      <a:off x="0" y="0"/>
                      <a:ext cx="6120130" cy="79375"/>
                    </a:xfrm>
                    <a:prstGeom prst="rect">
                      <a:avLst/>
                    </a:prstGeom>
                    <a:noFill/>
                    <a:ln>
                      <a:noFill/>
                    </a:ln>
                  </pic:spPr>
                </pic:pic>
              </a:graphicData>
            </a:graphic>
          </wp:anchor>
        </w:drawing>
      </w:r>
    </w:p>
    <w:p>
      <w:pPr>
        <w:tabs>
          <w:tab w:val="left" w:pos="1264"/>
        </w:tabs>
        <w:spacing w:line="560" w:lineRule="exact"/>
      </w:pPr>
      <w:r>
        <w:tab/>
      </w:r>
    </w:p>
    <w:p>
      <w:pPr>
        <w:spacing w:line="640" w:lineRule="exact"/>
        <w:jc w:val="center"/>
        <w:rPr>
          <w:rFonts w:ascii="方正小标宋简体" w:eastAsia="方正小标宋简体" w:hAnsiTheme="minorHAnsi" w:cstheme="minorBidi"/>
          <w:sz w:val="44"/>
          <w:szCs w:val="44"/>
        </w:rPr>
      </w:pPr>
      <w:r>
        <w:rPr>
          <w:rFonts w:hint="eastAsia" w:ascii="方正小标宋简体" w:eastAsia="方正小标宋简体" w:hAnsiTheme="minorHAnsi" w:cstheme="minorBidi"/>
          <w:sz w:val="44"/>
          <w:szCs w:val="44"/>
        </w:rPr>
        <w:t>舒城县文化旅游体育局2021年政府信息</w:t>
      </w:r>
    </w:p>
    <w:p>
      <w:pPr>
        <w:spacing w:line="640" w:lineRule="exact"/>
        <w:jc w:val="center"/>
        <w:rPr>
          <w:rFonts w:ascii="方正小标宋简体" w:eastAsia="方正小标宋简体" w:hAnsiTheme="minorHAnsi" w:cstheme="minorBidi"/>
          <w:sz w:val="44"/>
          <w:szCs w:val="44"/>
        </w:rPr>
      </w:pPr>
      <w:r>
        <w:rPr>
          <w:rFonts w:hint="eastAsia" w:ascii="方正小标宋简体" w:eastAsia="方正小标宋简体" w:hAnsiTheme="minorHAnsi" w:cstheme="minorBidi"/>
          <w:sz w:val="44"/>
          <w:szCs w:val="44"/>
        </w:rPr>
        <w:t>公开工作年度报告</w:t>
      </w:r>
    </w:p>
    <w:p/>
    <w:p>
      <w:pPr>
        <w:spacing w:line="560" w:lineRule="exact"/>
        <w:ind w:firstLine="632" w:firstLineChars="200"/>
      </w:pPr>
      <w:bookmarkStart w:id="0" w:name="OLE_LINK2"/>
      <w:bookmarkStart w:id="1" w:name="OLE_LINK1"/>
      <w:r>
        <w:rPr>
          <w:rFonts w:hint="eastAsia"/>
        </w:rPr>
        <w:t>根据《中华人民共和国政府信息公开条例》（以下简称《条例》）和省、市、县相关规定，特向社会公布舒城县文化旅游体育局2021年政府信息公开工作年度报告。本报告由总体情况、主动公开政府信息情况、收到和处理政府信息公开申请情况、政府信息公开行政复议、行政诉讼情况、存在的主要问题及改进情况、其他需要报告的事项共六个部分组成。本报告中所列数据的统计期限自2021年1月1日起至2021年12月31日止。本年度报告电子版可在舒城县人民政府门户网站“政府信息公开年度报告”栏目查阅及下载。如对本报告有疑问，请与舒城县文化旅游体育局联系，地址：舒城县城关镇文化广场会展中心四楼，邮编：231300，电话：0564-8627847。</w:t>
      </w:r>
    </w:p>
    <w:p>
      <w:pPr>
        <w:spacing w:line="560" w:lineRule="exact"/>
        <w:ind w:firstLine="632" w:firstLineChars="200"/>
        <w:rPr>
          <w:rFonts w:ascii="黑体" w:hAnsi="黑体" w:eastAsia="黑体"/>
        </w:rPr>
      </w:pPr>
      <w:r>
        <w:rPr>
          <w:rFonts w:hint="eastAsia" w:ascii="黑体" w:hAnsi="黑体" w:eastAsia="黑体"/>
        </w:rPr>
        <w:t>一、总体情况</w:t>
      </w:r>
    </w:p>
    <w:p>
      <w:pPr>
        <w:spacing w:line="560" w:lineRule="exact"/>
        <w:ind w:firstLine="632" w:firstLineChars="200"/>
      </w:pPr>
      <w:r>
        <w:rPr>
          <w:rFonts w:hint="eastAsia" w:ascii="楷体" w:hAnsi="楷体" w:eastAsia="楷体"/>
          <w:b/>
        </w:rPr>
        <w:t>（一）主动公开。</w:t>
      </w:r>
      <w:r>
        <w:rPr>
          <w:rFonts w:hint="eastAsia"/>
        </w:rPr>
        <w:t>本年度，我局结合实际工作和国家、省、市、县年度政务公开重点工作任务分工，积极主动公开我局政府信息，共公开发布606条信息。其中主要公开重大决策预公开8条、政策法规27条、规划计划8条、决策部署落实情况12条、建议提案办理11条、机构设置17条、机构领导24条、人事信息15条、财政资金40条、应急管理7条、权责清单和动态调整情况9条、行政权力运行130条、“双随机一公开”11条、精准扶贫10条、招标采购2条、政策解读11条、主动回应26条、监督保障56条、重点领域信息114条等，主动召开新闻发布会1次，上线舒城县政风行风热线1次。</w:t>
      </w:r>
    </w:p>
    <w:p>
      <w:pPr>
        <w:spacing w:line="560" w:lineRule="exact"/>
        <w:ind w:firstLine="632" w:firstLineChars="200"/>
      </w:pPr>
      <w:r>
        <w:rPr>
          <w:rFonts w:hint="eastAsia" w:ascii="楷体" w:hAnsi="楷体" w:eastAsia="楷体"/>
          <w:b/>
        </w:rPr>
        <w:t>（二）依申请公开。</w:t>
      </w:r>
      <w:r>
        <w:rPr>
          <w:rFonts w:hint="eastAsia"/>
        </w:rPr>
        <w:t>我局高度重视依申请公开工作，积极完善依申请公开制度，参加市县组织的专项培训，提升我局经办人员依申请公开办理能力。2021年，舒城县文化旅游体育局未收到依申请公开事项。</w:t>
      </w:r>
    </w:p>
    <w:p>
      <w:pPr>
        <w:spacing w:line="560" w:lineRule="exact"/>
        <w:ind w:firstLine="632" w:firstLineChars="200"/>
      </w:pPr>
      <w:r>
        <w:rPr>
          <w:rFonts w:hint="eastAsia" w:ascii="楷体" w:hAnsi="楷体" w:eastAsia="楷体"/>
          <w:b/>
        </w:rPr>
        <w:t>（三）政府信息管理。</w:t>
      </w:r>
      <w:r>
        <w:rPr>
          <w:rFonts w:hint="eastAsia"/>
          <w:b/>
        </w:rPr>
        <w:t>一是</w:t>
      </w:r>
      <w:r>
        <w:rPr>
          <w:rFonts w:hint="eastAsia"/>
        </w:rPr>
        <w:t>做好规范性文件清理工作。2021年底，开展规范性文件集中清理工作，我局现行继续有效规范性文件共3件，均为代县政府或县政府办拟草文件。</w:t>
      </w:r>
      <w:r>
        <w:rPr>
          <w:rFonts w:hint="eastAsia"/>
          <w:b/>
        </w:rPr>
        <w:t>二是</w:t>
      </w:r>
      <w:r>
        <w:rPr>
          <w:rFonts w:hint="eastAsia"/>
        </w:rPr>
        <w:t>严格执行“分级审核，先审后发”程序和“经办人员初审、业务股室负责人复审、分管负责人终审”的三级审核制度。</w:t>
      </w:r>
      <w:r>
        <w:rPr>
          <w:rFonts w:hint="eastAsia"/>
          <w:b/>
        </w:rPr>
        <w:t>三是</w:t>
      </w:r>
      <w:r>
        <w:rPr>
          <w:rFonts w:hint="eastAsia"/>
        </w:rPr>
        <w:t>加强隐私排查。我局政务公开未发生泄密以及因舆情风险评估不到位而引发损害国家利益、社会稳定的情形，公民个人隐私得到有效保护。</w:t>
      </w:r>
    </w:p>
    <w:p>
      <w:pPr>
        <w:spacing w:line="560" w:lineRule="exact"/>
        <w:ind w:firstLine="632" w:firstLineChars="200"/>
      </w:pPr>
      <w:r>
        <w:rPr>
          <w:rFonts w:hint="eastAsia" w:ascii="楷体" w:hAnsi="楷体" w:eastAsia="楷体"/>
          <w:b/>
        </w:rPr>
        <w:t>（四）政府信息平台建设。</w:t>
      </w:r>
      <w:r>
        <w:rPr>
          <w:rFonts w:hint="eastAsia"/>
          <w:b/>
        </w:rPr>
        <w:t>一是</w:t>
      </w:r>
      <w:r>
        <w:rPr>
          <w:rFonts w:hint="eastAsia"/>
        </w:rPr>
        <w:t>坚持以舒城县人民政府门户网站的“县文旅体局政府信息公开栏”、舒城县图书馆微信公众号、舒城县文化馆微信公众号、舒城县图书馆官网为政府信息公开主要平台，加强日常政务信息的更新发布及平台的维护。</w:t>
      </w:r>
      <w:r>
        <w:rPr>
          <w:rFonts w:hint="eastAsia"/>
          <w:b/>
        </w:rPr>
        <w:t>二是</w:t>
      </w:r>
      <w:r>
        <w:rPr>
          <w:rFonts w:hint="eastAsia"/>
        </w:rPr>
        <w:t>根据舒城县政务公开室部署安排，在舒城县图书馆设置政</w:t>
      </w:r>
      <w:bookmarkStart w:id="2" w:name="_GoBack"/>
      <w:bookmarkEnd w:id="2"/>
      <w:r>
        <w:rPr>
          <w:rFonts w:hint="eastAsia"/>
        </w:rPr>
        <w:t>府信息公开集中查阅点，让群众获取政府信息的渠道更加畅通和便捷。</w:t>
      </w:r>
      <w:r>
        <w:rPr>
          <w:rFonts w:hint="eastAsia"/>
          <w:b/>
        </w:rPr>
        <w:t>三是</w:t>
      </w:r>
      <w:r>
        <w:rPr>
          <w:rFonts w:hint="eastAsia"/>
        </w:rPr>
        <w:t>利用12345市长热线和舒城县文旅体局政务服务窗口加大与群众的沟通交流，畅通政民互动渠道。</w:t>
      </w:r>
    </w:p>
    <w:p>
      <w:pPr>
        <w:spacing w:line="560" w:lineRule="exact"/>
        <w:ind w:firstLine="632" w:firstLineChars="200"/>
        <w:rPr>
          <w:rFonts w:ascii="仿宋_GB2312" w:hAnsi="宋体" w:cs="宋体"/>
        </w:rPr>
      </w:pPr>
      <w:r>
        <w:rPr>
          <w:rFonts w:hint="eastAsia" w:ascii="楷体" w:hAnsi="楷体" w:eastAsia="楷体" w:cs="宋体"/>
          <w:b/>
        </w:rPr>
        <w:t>（五）监督保障。</w:t>
      </w:r>
      <w:r>
        <w:rPr>
          <w:rFonts w:hint="eastAsia" w:ascii="仿宋_GB2312" w:hAnsi="宋体" w:cs="宋体"/>
          <w:b/>
        </w:rPr>
        <w:t>一是</w:t>
      </w:r>
      <w:r>
        <w:rPr>
          <w:rFonts w:hint="eastAsia" w:ascii="仿宋_GB2312" w:hAnsi="宋体" w:cs="宋体"/>
        </w:rPr>
        <w:t>严格按照省、市、县测评标准，对照省、市、县及专业机构反馈给我局的监测问题清单逐项进行整改，并将整改报告和整改台账上传至“监督保障”栏目进行公开。</w:t>
      </w:r>
      <w:r>
        <w:rPr>
          <w:rFonts w:hint="eastAsia" w:ascii="仿宋_GB2312" w:hAnsi="宋体" w:cs="宋体"/>
          <w:b/>
        </w:rPr>
        <w:t>二是</w:t>
      </w:r>
      <w:r>
        <w:rPr>
          <w:rFonts w:hint="eastAsia" w:ascii="仿宋_GB2312" w:hAnsi="宋体" w:cs="宋体"/>
        </w:rPr>
        <w:t>建立健全政府信息公开制度，完善政府信息公开工作社会评议制度、信息公开责任追究制度、保密审查制度、依申请公开制度、政府信息公开年度报告制度、政策解读制度、政务舆情回应制度等制度。</w:t>
      </w:r>
      <w:r>
        <w:rPr>
          <w:rFonts w:hint="eastAsia" w:ascii="仿宋_GB2312" w:hAnsi="宋体" w:cs="宋体"/>
          <w:b/>
        </w:rPr>
        <w:t>三是</w:t>
      </w:r>
      <w:r>
        <w:rPr>
          <w:rFonts w:hint="eastAsia" w:ascii="仿宋_GB2312" w:hAnsi="宋体" w:cs="宋体"/>
        </w:rPr>
        <w:t>加强政务公开经验交流。</w:t>
      </w:r>
    </w:p>
    <w:p>
      <w:pPr>
        <w:spacing w:line="560" w:lineRule="exact"/>
        <w:ind w:firstLine="632" w:firstLineChars="200"/>
        <w:rPr>
          <w:rFonts w:ascii="黑体" w:hAnsi="黑体" w:eastAsia="黑体" w:cs="宋体"/>
          <w:color w:val="333333"/>
        </w:rPr>
      </w:pPr>
      <w:r>
        <w:rPr>
          <w:rFonts w:hint="eastAsia" w:ascii="黑体" w:hAnsi="黑体" w:eastAsia="黑体" w:cs="宋体"/>
          <w:color w:val="333333"/>
        </w:rPr>
        <w:t>二、主动公开政府信息情况</w:t>
      </w:r>
    </w:p>
    <w:tbl>
      <w:tblPr>
        <w:tblStyle w:val="3"/>
        <w:tblW w:w="9740" w:type="dxa"/>
        <w:jc w:val="center"/>
        <w:tblLayout w:type="autofit"/>
        <w:tblCellMar>
          <w:top w:w="0" w:type="dxa"/>
          <w:left w:w="0" w:type="dxa"/>
          <w:bottom w:w="0" w:type="dxa"/>
          <w:right w:w="0" w:type="dxa"/>
        </w:tblCellMar>
      </w:tblPr>
      <w:tblGrid>
        <w:gridCol w:w="2435"/>
        <w:gridCol w:w="2435"/>
        <w:gridCol w:w="2435"/>
        <w:gridCol w:w="2435"/>
      </w:tblGrid>
      <w:tr>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Theme="minorHAnsi" w:hAnsiTheme="minorHAnsi" w:eastAsiaTheme="minorEastAsia" w:cstheme="minorBidi"/>
                <w:sz w:val="21"/>
                <w:szCs w:val="24"/>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Theme="minorHAnsi" w:hAnsiTheme="minorHAnsi" w:eastAsiaTheme="minorEastAsia" w:cstheme="minorBidi"/>
                <w:sz w:val="21"/>
                <w:szCs w:val="24"/>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Theme="minorHAnsi" w:hAnsiTheme="minorHAnsi" w:eastAsiaTheme="minorEastAsia" w:cstheme="minorBidi"/>
                <w:sz w:val="21"/>
                <w:szCs w:val="24"/>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24</w:t>
            </w:r>
          </w:p>
        </w:tc>
      </w:tr>
      <w:tr>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color w:val="000000"/>
                <w:kern w:val="0"/>
                <w:sz w:val="20"/>
                <w:szCs w:val="20"/>
              </w:rPr>
              <w:t>第二十条第（六）项</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Theme="minorHAnsi" w:hAnsiTheme="minorHAnsi" w:eastAsiaTheme="minorEastAsia" w:cstheme="minorBidi"/>
                <w:sz w:val="21"/>
                <w:szCs w:val="24"/>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1</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Theme="minorHAnsi" w:hAnsiTheme="minorHAnsi" w:eastAsiaTheme="minorEastAsia" w:cstheme="minorBidi"/>
                <w:sz w:val="21"/>
                <w:szCs w:val="24"/>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r>
      <w:tr>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color w:val="000000"/>
                <w:kern w:val="0"/>
                <w:sz w:val="20"/>
                <w:szCs w:val="20"/>
              </w:rPr>
              <w:t>第二十条第（八）项</w:t>
            </w:r>
          </w:p>
        </w:tc>
      </w:tr>
      <w:tr>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Theme="minorHAnsi" w:hAnsiTheme="minorHAnsi" w:eastAsiaTheme="minorEastAsia" w:cstheme="minorBidi"/>
                <w:sz w:val="21"/>
                <w:szCs w:val="24"/>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ascii="宋体" w:hAnsiTheme="minorHAnsi" w:eastAsiaTheme="minorEastAsia" w:cstheme="minorBidi"/>
                <w:sz w:val="24"/>
                <w:szCs w:val="24"/>
              </w:rPr>
            </w:pPr>
            <w:r>
              <w:rPr>
                <w:rFonts w:hint="eastAsia" w:ascii="宋体" w:hAnsiTheme="minorHAnsi" w:eastAsiaTheme="minorEastAsia" w:cstheme="minorBidi"/>
                <w:sz w:val="24"/>
                <w:szCs w:val="24"/>
              </w:rPr>
              <w:t>0</w:t>
            </w:r>
          </w:p>
        </w:tc>
      </w:tr>
    </w:tbl>
    <w:p>
      <w:pPr>
        <w:spacing w:line="560" w:lineRule="exact"/>
        <w:ind w:firstLine="632" w:firstLineChars="200"/>
        <w:rPr>
          <w:rFonts w:ascii="黑体" w:hAnsi="黑体" w:eastAsia="黑体" w:cs="宋体"/>
          <w:color w:val="333333"/>
        </w:rPr>
      </w:pPr>
      <w:r>
        <w:rPr>
          <w:rFonts w:hint="eastAsia" w:ascii="黑体" w:hAnsi="黑体" w:eastAsia="黑体" w:cs="宋体"/>
          <w:color w:val="333333"/>
        </w:rPr>
        <w:t>三、收到和处理政府信息公开申请情况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4"/>
        <w:gridCol w:w="940"/>
        <w:gridCol w:w="3201"/>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rPr>
                <w:rFonts w:asciiTheme="minorHAnsi" w:hAnsiTheme="minorHAnsi" w:eastAsiaTheme="minorEastAsia" w:cstheme="minorBidi"/>
                <w:sz w:val="21"/>
                <w:szCs w:val="24"/>
              </w:rPr>
            </w:pPr>
            <w:r>
              <w:rPr>
                <w:rFonts w:ascii="宋体" w:hAnsi="宋体" w:eastAsia="宋体" w:cs="宋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hAnsiTheme="minorHAnsi" w:eastAsiaTheme="minorEastAsia" w:cstheme="minorBidi"/>
                <w:sz w:val="24"/>
                <w:szCs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kern w:val="0"/>
                <w:sz w:val="20"/>
                <w:szCs w:val="20"/>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hAnsiTheme="minorHAnsi" w:eastAsiaTheme="minorEastAsia" w:cstheme="minorBidi"/>
                <w:sz w:val="24"/>
                <w:szCs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kern w:val="0"/>
                <w:sz w:val="20"/>
                <w:szCs w:val="20"/>
              </w:rPr>
              <w:t>商业</w:t>
            </w:r>
          </w:p>
          <w:p>
            <w:pPr>
              <w:widowControl/>
              <w:wordWrap w:val="0"/>
              <w:jc w:val="center"/>
              <w:rPr>
                <w:rFonts w:asciiTheme="minorHAnsi" w:hAnsiTheme="minorHAnsi" w:eastAsiaTheme="minorEastAsia" w:cstheme="minorBidi"/>
                <w:sz w:val="21"/>
                <w:szCs w:val="24"/>
              </w:rPr>
            </w:pPr>
            <w:r>
              <w:rPr>
                <w:rFonts w:hint="eastAsia" w:ascii="宋体" w:hAnsi="宋体" w:eastAsia="宋体" w:cs="宋体"/>
                <w:kern w:val="0"/>
                <w:sz w:val="20"/>
                <w:szCs w:val="20"/>
              </w:rPr>
              <w:t>企业</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kern w:val="0"/>
                <w:sz w:val="20"/>
                <w:szCs w:val="20"/>
              </w:rPr>
              <w:t>科研</w:t>
            </w:r>
          </w:p>
          <w:p>
            <w:pPr>
              <w:widowControl/>
              <w:wordWrap w:val="0"/>
              <w:jc w:val="center"/>
              <w:rPr>
                <w:rFonts w:asciiTheme="minorHAnsi" w:hAnsiTheme="minorHAnsi" w:eastAsiaTheme="minorEastAsia" w:cstheme="minorBidi"/>
                <w:sz w:val="21"/>
                <w:szCs w:val="24"/>
              </w:rPr>
            </w:pPr>
            <w:r>
              <w:rPr>
                <w:rFonts w:hint="eastAsia" w:ascii="宋体" w:hAnsi="宋体" w:eastAsia="宋体" w:cs="宋体"/>
                <w:kern w:val="0"/>
                <w:sz w:val="20"/>
                <w:szCs w:val="20"/>
              </w:rPr>
              <w:t>机构</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kern w:val="0"/>
                <w:sz w:val="20"/>
                <w:szCs w:val="20"/>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hAnsiTheme="minorHAnsi" w:eastAsiaTheme="minorEastAsia" w:cstheme="minorBidi"/>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Theme="minorHAnsi" w:hAnsiTheme="minorHAnsi" w:eastAsiaTheme="minorEastAsia" w:cstheme="minorBidi"/>
                <w:sz w:val="21"/>
                <w:szCs w:val="24"/>
              </w:rPr>
            </w:pPr>
            <w:r>
              <w:rPr>
                <w:rFonts w:hint="eastAsia" w:ascii="宋体" w:hAnsi="宋体" w:eastAsia="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Theme="minorHAnsi" w:hAnsiTheme="minorHAnsi" w:eastAsiaTheme="minorEastAsia" w:cstheme="minorBidi"/>
                <w:sz w:val="21"/>
                <w:szCs w:val="24"/>
              </w:rPr>
            </w:pPr>
            <w:r>
              <w:rPr>
                <w:rFonts w:hint="eastAsia" w:ascii="宋体" w:hAnsi="宋体" w:eastAsia="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rPr>
                <w:rFonts w:asciiTheme="minorHAnsi" w:hAnsiTheme="minorHAnsi" w:eastAsiaTheme="minorEastAsia" w:cstheme="minorBidi"/>
                <w:sz w:val="21"/>
                <w:szCs w:val="24"/>
              </w:rPr>
            </w:pPr>
            <w:r>
              <w:rPr>
                <w:rFonts w:hint="eastAsia" w:ascii="宋体" w:hAnsi="宋体" w:eastAsia="宋体" w:cs="宋体"/>
                <w:kern w:val="0"/>
                <w:sz w:val="20"/>
                <w:szCs w:val="20"/>
              </w:rPr>
              <w:t>0三、本年度办理结果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Theme="minorHAnsi" w:hAnsiTheme="minorHAnsi" w:eastAsiaTheme="minorEastAsia" w:cstheme="minorBidi"/>
                <w:sz w:val="21"/>
                <w:szCs w:val="24"/>
              </w:rPr>
            </w:pPr>
            <w:r>
              <w:rPr>
                <w:rFonts w:hint="eastAsia" w:ascii="宋体" w:hAnsi="宋体" w:eastAsia="宋体" w:cs="宋体"/>
                <w:kern w:val="0"/>
                <w:sz w:val="20"/>
                <w:szCs w:val="20"/>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Theme="minorHAnsi" w:hAnsiTheme="minorHAnsi" w:eastAsiaTheme="minorEastAsia" w:cstheme="minorBidi"/>
                <w:sz w:val="21"/>
                <w:szCs w:val="24"/>
              </w:rPr>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rPr>
                <w:rFonts w:asciiTheme="minorHAnsi" w:hAnsiTheme="minorHAnsi" w:eastAsiaTheme="minorEastAsia" w:cstheme="minorBidi"/>
                <w:sz w:val="21"/>
                <w:szCs w:val="24"/>
              </w:rPr>
            </w:pPr>
            <w:r>
              <w:rPr>
                <w:rFonts w:hint="eastAsia" w:ascii="宋体" w:hAnsi="宋体" w:eastAsia="宋体" w:cs="宋体"/>
                <w:kern w:val="0"/>
                <w:sz w:val="20"/>
                <w:szCs w:val="20"/>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Theme="minorHAnsi" w:hAnsiTheme="minorHAnsi" w:eastAsiaTheme="minorEastAsia" w:cstheme="minorBidi"/>
                <w:sz w:val="21"/>
                <w:szCs w:val="24"/>
              </w:rPr>
            </w:pPr>
            <w:r>
              <w:rPr>
                <w:rFonts w:hint="eastAsia" w:ascii="宋体" w:hAnsi="宋体" w:eastAsia="宋体" w:cs="宋体"/>
                <w:kern w:val="0"/>
                <w:sz w:val="20"/>
                <w:szCs w:val="20"/>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Theme="minorHAnsi" w:hAnsiTheme="minorHAnsi" w:eastAsiaTheme="minorEastAsia" w:cstheme="minorBidi"/>
                <w:sz w:val="21"/>
                <w:szCs w:val="24"/>
              </w:rPr>
            </w:pPr>
            <w:r>
              <w:rPr>
                <w:rFonts w:hint="eastAsia" w:ascii="宋体" w:hAnsi="宋体" w:eastAsia="宋体" w:cs="宋体"/>
                <w:kern w:val="0"/>
                <w:sz w:val="20"/>
                <w:szCs w:val="20"/>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Theme="minorHAnsi" w:hAnsiTheme="minorHAnsi" w:eastAsiaTheme="minorEastAsia" w:cstheme="minorBidi"/>
                <w:sz w:val="21"/>
                <w:szCs w:val="24"/>
              </w:rPr>
            </w:pPr>
            <w:r>
              <w:rPr>
                <w:rFonts w:hint="eastAsia" w:ascii="宋体" w:hAnsi="宋体" w:eastAsia="宋体" w:cs="宋体"/>
                <w:kern w:val="0"/>
                <w:sz w:val="20"/>
                <w:szCs w:val="20"/>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Theme="minorHAnsi" w:hAnsiTheme="minorHAnsi" w:eastAsiaTheme="minorEastAsia" w:cstheme="minorBidi"/>
                <w:sz w:val="21"/>
                <w:szCs w:val="24"/>
              </w:rPr>
            </w:pPr>
            <w:r>
              <w:rPr>
                <w:rFonts w:hint="eastAsia" w:ascii="宋体" w:hAnsi="宋体" w:eastAsia="宋体" w:cs="宋体"/>
                <w:kern w:val="0"/>
                <w:sz w:val="20"/>
                <w:szCs w:val="20"/>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Theme="minorHAnsi" w:hAnsiTheme="minorHAnsi" w:eastAsiaTheme="minorEastAsia" w:cstheme="minorBidi"/>
                <w:sz w:val="21"/>
                <w:szCs w:val="24"/>
              </w:rPr>
            </w:pPr>
            <w:r>
              <w:rPr>
                <w:rFonts w:hint="eastAsia" w:ascii="宋体" w:hAnsi="宋体" w:eastAsia="宋体" w:cs="宋体"/>
                <w:kern w:val="0"/>
                <w:sz w:val="20"/>
                <w:szCs w:val="20"/>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Theme="minorHAnsi" w:hAnsiTheme="minorHAnsi" w:eastAsiaTheme="minorEastAsia" w:cstheme="minorBidi"/>
                <w:sz w:val="21"/>
                <w:szCs w:val="24"/>
              </w:rPr>
            </w:pPr>
            <w:r>
              <w:rPr>
                <w:rFonts w:hint="eastAsia" w:ascii="宋体" w:hAnsi="宋体" w:eastAsia="宋体" w:cs="宋体"/>
                <w:kern w:val="0"/>
                <w:sz w:val="20"/>
                <w:szCs w:val="20"/>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Theme="minorHAnsi" w:hAnsiTheme="minorHAnsi" w:eastAsiaTheme="minorEastAsia" w:cstheme="minorBidi"/>
                <w:sz w:val="21"/>
                <w:szCs w:val="24"/>
              </w:rPr>
            </w:pPr>
            <w:r>
              <w:rPr>
                <w:rFonts w:hint="eastAsia" w:ascii="宋体" w:hAnsi="宋体" w:eastAsia="宋体" w:cs="宋体"/>
                <w:kern w:val="0"/>
                <w:sz w:val="20"/>
                <w:szCs w:val="20"/>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Theme="minorHAnsi" w:hAnsiTheme="minorHAnsi" w:eastAsiaTheme="minorEastAsia" w:cstheme="minorBidi"/>
                <w:sz w:val="21"/>
                <w:szCs w:val="24"/>
              </w:rPr>
            </w:pPr>
            <w:r>
              <w:rPr>
                <w:rFonts w:hint="eastAsia" w:ascii="宋体" w:hAnsi="宋体" w:eastAsia="宋体" w:cs="宋体"/>
                <w:kern w:val="0"/>
                <w:sz w:val="20"/>
                <w:szCs w:val="20"/>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rPr>
                <w:rFonts w:asciiTheme="minorHAnsi" w:hAnsiTheme="minorHAnsi" w:eastAsiaTheme="minorEastAsia" w:cstheme="minorBidi"/>
                <w:sz w:val="21"/>
                <w:szCs w:val="24"/>
              </w:rPr>
            </w:pPr>
            <w:r>
              <w:rPr>
                <w:rFonts w:hint="eastAsia" w:ascii="宋体" w:hAnsi="宋体" w:eastAsia="宋体" w:cs="宋体"/>
                <w:kern w:val="0"/>
                <w:sz w:val="20"/>
                <w:szCs w:val="20"/>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Theme="minorHAnsi" w:hAnsiTheme="minorHAnsi" w:eastAsiaTheme="minorEastAsia" w:cstheme="minorBidi"/>
                <w:sz w:val="21"/>
                <w:szCs w:val="24"/>
              </w:rPr>
            </w:pPr>
            <w:r>
              <w:rPr>
                <w:rFonts w:hint="eastAsia" w:ascii="宋体" w:hAnsi="宋体" w:eastAsia="宋体" w:cs="宋体"/>
                <w:kern w:val="0"/>
                <w:sz w:val="20"/>
                <w:szCs w:val="20"/>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Theme="minorHAnsi" w:hAnsiTheme="minorHAnsi" w:eastAsiaTheme="minorEastAsia" w:cstheme="minorBidi"/>
                <w:sz w:val="21"/>
                <w:szCs w:val="24"/>
              </w:rPr>
            </w:pPr>
            <w:r>
              <w:rPr>
                <w:rFonts w:hint="eastAsia" w:ascii="宋体" w:hAnsi="宋体" w:eastAsia="宋体" w:cs="宋体"/>
                <w:kern w:val="0"/>
                <w:sz w:val="20"/>
                <w:szCs w:val="20"/>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Theme="minorHAnsi" w:hAnsiTheme="minorHAnsi" w:eastAsiaTheme="minorEastAsia" w:cstheme="minorBidi"/>
                <w:sz w:val="21"/>
                <w:szCs w:val="24"/>
              </w:rPr>
            </w:pPr>
            <w:r>
              <w:rPr>
                <w:rFonts w:hint="eastAsia" w:ascii="宋体" w:hAnsi="宋体" w:eastAsia="宋体" w:cs="宋体"/>
                <w:kern w:val="0"/>
                <w:sz w:val="20"/>
                <w:szCs w:val="20"/>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rPr>
                <w:rFonts w:asciiTheme="minorHAnsi" w:hAnsiTheme="minorHAnsi" w:eastAsiaTheme="minorEastAsia" w:cstheme="minorBidi"/>
                <w:sz w:val="21"/>
                <w:szCs w:val="24"/>
              </w:rPr>
            </w:pPr>
            <w:r>
              <w:rPr>
                <w:rFonts w:hint="eastAsia" w:ascii="宋体" w:hAnsi="宋体" w:eastAsia="宋体" w:cs="宋体"/>
                <w:kern w:val="0"/>
                <w:sz w:val="20"/>
                <w:szCs w:val="20"/>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Theme="minorHAnsi" w:hAnsiTheme="minorHAnsi" w:eastAsiaTheme="minorEastAsia" w:cstheme="minorBidi"/>
                <w:sz w:val="21"/>
                <w:szCs w:val="24"/>
              </w:rPr>
            </w:pPr>
            <w:r>
              <w:rPr>
                <w:rFonts w:hint="eastAsia" w:ascii="宋体" w:hAnsi="宋体" w:eastAsia="宋体" w:cs="宋体"/>
                <w:kern w:val="0"/>
                <w:sz w:val="20"/>
                <w:szCs w:val="20"/>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Theme="minorHAnsi" w:hAnsiTheme="minorHAnsi" w:eastAsiaTheme="minorEastAsia" w:cstheme="minorBidi"/>
                <w:sz w:val="21"/>
                <w:szCs w:val="24"/>
              </w:rPr>
            </w:pPr>
            <w:r>
              <w:rPr>
                <w:rFonts w:hint="eastAsia" w:ascii="宋体" w:hAnsi="宋体" w:eastAsia="宋体" w:cs="宋体"/>
                <w:kern w:val="0"/>
                <w:sz w:val="20"/>
                <w:szCs w:val="20"/>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Theme="minorHAnsi" w:hAnsiTheme="minorHAnsi" w:eastAsiaTheme="minorEastAsia" w:cstheme="minorBidi"/>
                <w:sz w:val="21"/>
                <w:szCs w:val="24"/>
              </w:rPr>
            </w:pPr>
            <w:r>
              <w:rPr>
                <w:rFonts w:hint="eastAsia" w:ascii="宋体" w:hAnsi="宋体" w:eastAsia="宋体" w:cs="宋体"/>
                <w:kern w:val="0"/>
                <w:sz w:val="20"/>
                <w:szCs w:val="20"/>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Theme="minorHAnsi" w:hAnsiTheme="minorHAnsi" w:eastAsiaTheme="minorEastAsia" w:cstheme="minorBidi"/>
                <w:sz w:val="21"/>
                <w:szCs w:val="24"/>
              </w:rPr>
            </w:pPr>
            <w:r>
              <w:rPr>
                <w:rFonts w:hint="eastAsia" w:ascii="宋体" w:hAnsi="宋体" w:eastAsia="宋体" w:cs="宋体"/>
                <w:kern w:val="0"/>
                <w:sz w:val="20"/>
                <w:szCs w:val="20"/>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rPr>
                <w:rFonts w:asciiTheme="minorHAnsi" w:hAnsiTheme="minorHAnsi" w:eastAsiaTheme="minorEastAsia" w:cstheme="minorBidi"/>
                <w:sz w:val="21"/>
                <w:szCs w:val="24"/>
              </w:rPr>
            </w:pPr>
            <w:r>
              <w:rPr>
                <w:rFonts w:hint="eastAsia" w:ascii="宋体" w:hAnsi="宋体" w:eastAsia="宋体" w:cs="宋体"/>
                <w:kern w:val="0"/>
                <w:sz w:val="20"/>
                <w:szCs w:val="20"/>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rPr>
                <w:rFonts w:asciiTheme="minorHAnsi" w:hAnsiTheme="minorHAnsi" w:eastAsiaTheme="minorEastAsia" w:cstheme="minorBidi"/>
                <w:sz w:val="21"/>
                <w:szCs w:val="24"/>
              </w:rPr>
            </w:pPr>
            <w:r>
              <w:rPr>
                <w:rFonts w:hint="eastAsia" w:ascii="宋体" w:hAnsi="宋体" w:eastAsia="宋体" w:cs="宋体"/>
                <w:kern w:val="0"/>
                <w:sz w:val="20"/>
                <w:szCs w:val="20"/>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rPr>
                <w:rFonts w:asciiTheme="minorHAnsi" w:hAnsiTheme="minorHAnsi" w:eastAsiaTheme="minorEastAsia" w:cstheme="minorBidi"/>
                <w:sz w:val="21"/>
                <w:szCs w:val="24"/>
              </w:rPr>
            </w:pPr>
            <w:r>
              <w:rPr>
                <w:rFonts w:hint="eastAsia" w:ascii="宋体" w:hAnsi="宋体" w:eastAsia="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rPr>
                <w:rFonts w:asciiTheme="minorHAnsi" w:hAnsiTheme="minorHAnsi" w:eastAsiaTheme="minorEastAsia" w:cstheme="minorBidi"/>
                <w:sz w:val="21"/>
                <w:szCs w:val="24"/>
              </w:rPr>
            </w:pPr>
            <w:r>
              <w:rPr>
                <w:rFonts w:hint="eastAsia" w:ascii="宋体" w:hAnsi="宋体" w:eastAsia="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Theme="minorHAnsi" w:hAnsiTheme="minorHAnsi" w:eastAsiaTheme="minorEastAsia" w:cstheme="minorBidi"/>
                <w:sz w:val="21"/>
                <w:szCs w:val="24"/>
              </w:rPr>
            </w:pPr>
            <w:r>
              <w:rPr>
                <w:rFonts w:hint="eastAsia" w:ascii="宋体" w:hAnsi="宋体" w:eastAsia="宋体" w:cs="宋体"/>
                <w:kern w:val="0"/>
                <w:sz w:val="20"/>
                <w:szCs w:val="20"/>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Theme="minorHAnsi" w:eastAsiaTheme="minorEastAsia" w:cstheme="minorBidi"/>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Theme="minorHAnsi" w:hAnsiTheme="minorHAnsi" w:eastAsiaTheme="minorEastAsia" w:cstheme="minorBidi"/>
                <w:sz w:val="21"/>
                <w:szCs w:val="24"/>
              </w:rPr>
            </w:pPr>
            <w:r>
              <w:rPr>
                <w:rFonts w:hint="eastAsia" w:ascii="宋体" w:hAnsi="宋体" w:eastAsia="宋体" w:cs="宋体"/>
                <w:kern w:val="0"/>
                <w:sz w:val="20"/>
                <w:szCs w:val="20"/>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Theme="minorHAnsi" w:hAnsiTheme="minorHAnsi" w:eastAsiaTheme="minorEastAsia" w:cstheme="minorBidi"/>
                <w:sz w:val="21"/>
                <w:szCs w:val="24"/>
              </w:rPr>
            </w:pPr>
            <w:r>
              <w:rPr>
                <w:rFonts w:hint="eastAsia" w:ascii="宋体" w:hAnsi="宋体" w:eastAsia="宋体" w:cs="宋体"/>
                <w:kern w:val="0"/>
                <w:sz w:val="20"/>
                <w:szCs w:val="20"/>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rPr>
                <w:rFonts w:ascii="宋体" w:hAnsiTheme="minorHAnsi" w:eastAsiaTheme="minorEastAsia" w:cstheme="minorBidi"/>
                <w:sz w:val="24"/>
                <w:szCs w:val="24"/>
              </w:rPr>
            </w:pPr>
            <w:r>
              <w:rPr>
                <w:rFonts w:hint="eastAsia" w:ascii="宋体" w:hAnsiTheme="minorHAnsi" w:eastAsiaTheme="minorEastAsia" w:cstheme="minorBidi"/>
                <w:sz w:val="24"/>
                <w:szCs w:val="24"/>
              </w:rPr>
              <w:t>0</w:t>
            </w:r>
          </w:p>
        </w:tc>
      </w:tr>
    </w:tbl>
    <w:p>
      <w:pPr>
        <w:spacing w:line="560" w:lineRule="exact"/>
        <w:ind w:firstLine="312" w:firstLineChars="200"/>
        <w:rPr>
          <w:rFonts w:ascii="宋体" w:hAnsi="宋体" w:eastAsia="宋体" w:cs="宋体"/>
          <w:color w:val="333333"/>
          <w:sz w:val="16"/>
          <w:szCs w:val="16"/>
        </w:rPr>
      </w:pPr>
    </w:p>
    <w:p>
      <w:pPr>
        <w:spacing w:line="560" w:lineRule="exact"/>
        <w:ind w:firstLine="632" w:firstLineChars="200"/>
        <w:rPr>
          <w:rFonts w:ascii="黑体" w:hAnsi="黑体" w:eastAsia="黑体" w:cs="宋体"/>
        </w:rPr>
      </w:pPr>
      <w:r>
        <w:rPr>
          <w:rFonts w:hint="eastAsia" w:ascii="黑体" w:hAnsi="黑体" w:eastAsia="黑体" w:cs="宋体"/>
        </w:rPr>
        <w:t>四、政府信息公开行政复议、行政诉讼情况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kern w:val="0"/>
                <w:sz w:val="20"/>
                <w:szCs w:val="20"/>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kern w:val="0"/>
                <w:sz w:val="20"/>
                <w:szCs w:val="20"/>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kern w:val="0"/>
                <w:sz w:val="20"/>
                <w:szCs w:val="20"/>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hAnsiTheme="minorHAnsi" w:eastAsiaTheme="minorEastAsia" w:cstheme="minorBidi"/>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hAnsiTheme="minorHAnsi" w:eastAsiaTheme="minorEastAsia" w:cstheme="minorBidi"/>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hAnsiTheme="minorHAnsi" w:eastAsiaTheme="minorEastAsia" w:cstheme="minorBidi"/>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hAnsiTheme="minorHAnsi" w:eastAsiaTheme="minorEastAsia" w:cstheme="minorBidi"/>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hAnsiTheme="minorHAnsi" w:eastAsiaTheme="minorEastAsia" w:cstheme="minorBidi"/>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kern w:val="0"/>
                <w:sz w:val="20"/>
                <w:szCs w:val="20"/>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kern w:val="0"/>
                <w:sz w:val="20"/>
                <w:szCs w:val="20"/>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color w:val="000000"/>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Theme="minorHAnsi" w:hAnsiTheme="minorHAnsi" w:eastAsiaTheme="minorEastAsia" w:cstheme="minorBidi"/>
                <w:sz w:val="21"/>
                <w:szCs w:val="24"/>
              </w:rPr>
            </w:pPr>
            <w:r>
              <w:rPr>
                <w:rFonts w:hint="eastAsia" w:asciiTheme="minorHAnsi" w:hAnsiTheme="minorHAnsi" w:eastAsiaTheme="minorEastAsia" w:cstheme="minorBidi"/>
                <w:sz w:val="21"/>
                <w:szCs w:val="24"/>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hAnsiTheme="minorHAnsi" w:eastAsiaTheme="minorEastAsia" w:cstheme="minorBidi"/>
                <w:sz w:val="24"/>
                <w:szCs w:val="24"/>
              </w:rPr>
            </w:pPr>
            <w:r>
              <w:rPr>
                <w:rFonts w:hint="eastAsia" w:ascii="宋体" w:hAnsiTheme="minorHAnsi" w:eastAsiaTheme="minorEastAsia" w:cstheme="minorBidi"/>
                <w:sz w:val="24"/>
                <w:szCs w:val="24"/>
              </w:rPr>
              <w:t>0</w:t>
            </w:r>
          </w:p>
        </w:tc>
      </w:tr>
    </w:tbl>
    <w:p>
      <w:pPr>
        <w:spacing w:line="560" w:lineRule="exact"/>
        <w:ind w:firstLine="632" w:firstLineChars="200"/>
        <w:rPr>
          <w:rFonts w:ascii="黑体" w:hAnsi="黑体" w:eastAsia="黑体" w:cs="宋体"/>
        </w:rPr>
      </w:pPr>
      <w:r>
        <w:rPr>
          <w:rFonts w:hint="eastAsia" w:ascii="黑体" w:hAnsi="黑体" w:eastAsia="黑体" w:cs="宋体"/>
        </w:rPr>
        <w:t>五、存在的主要问题及改进情况</w:t>
      </w:r>
    </w:p>
    <w:p>
      <w:pPr>
        <w:spacing w:line="560" w:lineRule="exact"/>
        <w:ind w:firstLine="632" w:firstLineChars="200"/>
        <w:rPr>
          <w:rFonts w:ascii="楷体" w:hAnsi="楷体" w:eastAsia="楷体" w:cs="宋体"/>
          <w:b/>
        </w:rPr>
      </w:pPr>
      <w:r>
        <w:rPr>
          <w:rFonts w:hint="eastAsia" w:ascii="楷体" w:hAnsi="楷体" w:eastAsia="楷体" w:cs="宋体"/>
          <w:b/>
        </w:rPr>
        <w:t>（一）存在问题</w:t>
      </w:r>
    </w:p>
    <w:p>
      <w:pPr>
        <w:spacing w:line="560" w:lineRule="exact"/>
        <w:ind w:firstLine="632" w:firstLineChars="200"/>
        <w:rPr>
          <w:rFonts w:ascii="仿宋_GB2312" w:hAnsi="宋体" w:cs="宋体"/>
        </w:rPr>
      </w:pPr>
      <w:r>
        <w:rPr>
          <w:rFonts w:hint="eastAsia" w:ascii="仿宋_GB2312" w:hAnsi="宋体" w:cs="宋体"/>
        </w:rPr>
        <w:t>2021年，我局政务公开工作取得了一些成绩，但与上级的要求相比，还存在一些不足，主要表现为：</w:t>
      </w:r>
      <w:r>
        <w:rPr>
          <w:rFonts w:hint="eastAsia" w:ascii="仿宋_GB2312" w:hAnsi="宋体" w:cs="宋体"/>
          <w:b/>
        </w:rPr>
        <w:t>一是</w:t>
      </w:r>
      <w:r>
        <w:rPr>
          <w:rFonts w:hint="eastAsia" w:ascii="仿宋_GB2312" w:hAnsi="宋体" w:cs="宋体"/>
        </w:rPr>
        <w:t>政府信息公开的内容还不够全面、公开的覆盖面还不够广；</w:t>
      </w:r>
      <w:r>
        <w:rPr>
          <w:rFonts w:hint="eastAsia" w:ascii="仿宋_GB2312" w:hAnsi="宋体" w:cs="宋体"/>
          <w:b/>
        </w:rPr>
        <w:t>二是</w:t>
      </w:r>
      <w:r>
        <w:rPr>
          <w:rFonts w:hint="eastAsia" w:ascii="仿宋_GB2312" w:hAnsi="宋体" w:cs="宋体"/>
        </w:rPr>
        <w:t>涉及政策解读的内容解读的方式还不够新颖、形式还不够灵活。</w:t>
      </w:r>
    </w:p>
    <w:p>
      <w:pPr>
        <w:spacing w:line="560" w:lineRule="exact"/>
        <w:ind w:firstLine="632" w:firstLineChars="200"/>
        <w:rPr>
          <w:rFonts w:ascii="楷体" w:hAnsi="楷体" w:eastAsia="楷体" w:cs="宋体"/>
          <w:b/>
        </w:rPr>
      </w:pPr>
      <w:r>
        <w:rPr>
          <w:rFonts w:hint="eastAsia" w:ascii="楷体" w:hAnsi="楷体" w:eastAsia="楷体" w:cs="宋体"/>
          <w:b/>
        </w:rPr>
        <w:t>（二）改进情况</w:t>
      </w:r>
    </w:p>
    <w:p>
      <w:pPr>
        <w:spacing w:line="560" w:lineRule="exact"/>
        <w:ind w:firstLine="632" w:firstLineChars="200"/>
        <w:rPr>
          <w:rFonts w:ascii="仿宋_GB2312" w:hAnsi="宋体" w:cs="宋体"/>
        </w:rPr>
      </w:pPr>
      <w:r>
        <w:rPr>
          <w:rFonts w:hint="eastAsia" w:ascii="仿宋_GB2312" w:hAnsi="宋体" w:cs="宋体"/>
        </w:rPr>
        <w:t>针对存在的不足，我局结合实际，采取切实有效措施加以改进。</w:t>
      </w:r>
      <w:r>
        <w:rPr>
          <w:rFonts w:hint="eastAsia" w:ascii="仿宋_GB2312" w:hAnsi="宋体" w:cs="宋体"/>
          <w:b/>
        </w:rPr>
        <w:t>一是</w:t>
      </w:r>
      <w:r>
        <w:rPr>
          <w:rFonts w:hint="eastAsia" w:ascii="仿宋_GB2312" w:hAnsi="宋体" w:cs="宋体"/>
        </w:rPr>
        <w:t>聚焦重点任务，做好行政权力运行、公共文化服务重点领域的信息公开工作，全力推进基层政务公开标准化规范化建设，保障信息公开及时、准确。</w:t>
      </w:r>
      <w:r>
        <w:rPr>
          <w:rFonts w:hint="eastAsia" w:ascii="仿宋_GB2312" w:hAnsi="宋体" w:cs="宋体"/>
          <w:b/>
        </w:rPr>
        <w:t>二是</w:t>
      </w:r>
      <w:r>
        <w:rPr>
          <w:rFonts w:hint="eastAsia" w:ascii="仿宋_GB2312" w:hAnsi="宋体" w:cs="宋体"/>
        </w:rPr>
        <w:t>创新政策解读形式。改进政策解读服务，积极创新解读方式，采取图文、音视频等形式开展政策解读，充分利用网站及政务新媒体等平台，着力提升政策解读服务的质量。</w:t>
      </w:r>
      <w:r>
        <w:rPr>
          <w:rFonts w:hint="eastAsia" w:ascii="仿宋_GB2312" w:hAnsi="宋体" w:cs="宋体"/>
          <w:b/>
        </w:rPr>
        <w:t>三是</w:t>
      </w:r>
      <w:r>
        <w:rPr>
          <w:rFonts w:hint="eastAsia" w:ascii="仿宋_GB2312" w:hAnsi="宋体" w:cs="宋体"/>
        </w:rPr>
        <w:t>强化学习培训。积极组织业务经办人员参加上级部门举办的政务公开培训，同时加强单位内部信息公开工作的宣传，深入学习《中华人民共和国政府信息公开条例》，进一步提升经办人员及相关股室负责人对信息公开工作的理解、认识、衔接、运用和落实能力，高起点、高标准推进我局政府信息公开工作走向深入。</w:t>
      </w:r>
    </w:p>
    <w:p>
      <w:pPr>
        <w:spacing w:line="560" w:lineRule="exact"/>
        <w:ind w:firstLine="632" w:firstLineChars="200"/>
        <w:rPr>
          <w:rFonts w:ascii="黑体" w:hAnsi="黑体" w:eastAsia="黑体" w:cs="宋体"/>
        </w:rPr>
      </w:pPr>
      <w:r>
        <w:rPr>
          <w:rFonts w:hint="eastAsia" w:ascii="黑体" w:hAnsi="黑体" w:eastAsia="黑体" w:cs="宋体"/>
        </w:rPr>
        <w:t>六、其他需要报告的事项</w:t>
      </w:r>
    </w:p>
    <w:p>
      <w:pPr>
        <w:spacing w:line="560" w:lineRule="exact"/>
        <w:ind w:firstLine="632" w:firstLineChars="200"/>
        <w:rPr>
          <w:rFonts w:ascii="仿宋_GB2312" w:hAnsi="宋体" w:cs="宋体"/>
        </w:rPr>
      </w:pPr>
      <w:r>
        <w:rPr>
          <w:rFonts w:hint="eastAsia" w:ascii="仿宋_GB2312" w:hAnsi="宋体" w:cs="宋体"/>
        </w:rPr>
        <w:t>按照《国务院办公厅关于印发&lt;政府信息公开信息处理费管理办法&gt;的通知》（国办函〔2020〕109号）规定的按件、按量收费标准，本年度没有产生信息公开处理费。</w:t>
      </w:r>
    </w:p>
    <w:bookmarkEnd w:id="0"/>
    <w:bookmarkEnd w:id="1"/>
    <w:p>
      <w:pPr>
        <w:spacing w:line="560" w:lineRule="exact"/>
        <w:ind w:firstLine="632" w:firstLineChars="200"/>
        <w:rPr>
          <w:rFonts w:ascii="仿宋_GB2312" w:hAnsi="宋体" w:cs="宋体"/>
        </w:rPr>
      </w:pPr>
    </w:p>
    <w:p>
      <w:pPr>
        <w:spacing w:line="560" w:lineRule="exact"/>
        <w:ind w:firstLine="632" w:firstLineChars="200"/>
        <w:rPr>
          <w:rFonts w:ascii="仿宋_GB2312" w:hAnsi="宋体" w:cs="宋体"/>
        </w:rPr>
      </w:pPr>
    </w:p>
    <w:p>
      <w:pPr>
        <w:spacing w:line="560" w:lineRule="exact"/>
        <w:ind w:firstLine="632" w:firstLineChars="200"/>
        <w:rPr>
          <w:rFonts w:ascii="仿宋_GB2312" w:hAnsi="宋体" w:cs="宋体"/>
        </w:rPr>
      </w:pPr>
    </w:p>
    <w:p>
      <w:pPr>
        <w:spacing w:line="560" w:lineRule="exact"/>
        <w:ind w:firstLine="632" w:firstLineChars="200"/>
        <w:rPr>
          <w:rFonts w:ascii="仿宋_GB2312" w:hAnsi="宋体" w:cs="宋体"/>
        </w:rPr>
      </w:pPr>
      <w:r>
        <w:rPr>
          <w:rFonts w:hint="eastAsia" w:ascii="仿宋_GB2312" w:hAnsi="宋体" w:cs="宋体"/>
        </w:rPr>
        <w:t xml:space="preserve">                        </w:t>
      </w:r>
    </w:p>
    <w:p>
      <w:pPr>
        <w:spacing w:line="560" w:lineRule="exact"/>
        <w:ind w:firstLine="632" w:firstLineChars="200"/>
        <w:rPr>
          <w:rFonts w:ascii="仿宋_GB2312" w:hAnsi="宋体" w:cs="宋体"/>
        </w:rPr>
      </w:pPr>
    </w:p>
    <w:p>
      <w:pPr>
        <w:spacing w:line="560" w:lineRule="exact"/>
        <w:ind w:firstLine="632" w:firstLineChars="200"/>
        <w:rPr>
          <w:rFonts w:ascii="仿宋_GB2312" w:hAnsi="宋体" w:cs="宋体"/>
        </w:rPr>
      </w:pPr>
    </w:p>
    <w:p>
      <w:pPr>
        <w:spacing w:line="560" w:lineRule="exact"/>
        <w:ind w:firstLine="632" w:firstLineChars="200"/>
        <w:rPr>
          <w:rFonts w:ascii="仿宋_GB2312" w:hAnsi="宋体" w:cs="宋体"/>
        </w:rPr>
      </w:pPr>
    </w:p>
    <w:p>
      <w:pPr>
        <w:spacing w:line="560" w:lineRule="exact"/>
        <w:ind w:firstLine="632" w:firstLineChars="200"/>
        <w:rPr>
          <w:rFonts w:ascii="仿宋_GB2312" w:hAnsi="宋体" w:cs="宋体"/>
        </w:rPr>
      </w:pPr>
    </w:p>
    <w:p>
      <w:pPr>
        <w:spacing w:line="560" w:lineRule="exact"/>
        <w:ind w:firstLine="632" w:firstLineChars="200"/>
        <w:rPr>
          <w:rFonts w:ascii="仿宋_GB2312" w:hAnsi="宋体" w:cs="宋体"/>
        </w:rPr>
      </w:pPr>
    </w:p>
    <w:p>
      <w:pPr>
        <w:spacing w:line="560" w:lineRule="exact"/>
        <w:ind w:firstLine="632" w:firstLineChars="200"/>
        <w:rPr>
          <w:rFonts w:ascii="仿宋_GB2312" w:hAnsi="宋体" w:cs="宋体"/>
        </w:rPr>
      </w:pPr>
      <w:r>
        <w:rPr>
          <w:rFonts w:hint="eastAsia" w:ascii="仿宋_GB2312" w:hAnsi="宋体" w:cs="宋体"/>
        </w:rPr>
        <w:t xml:space="preserve">                           舒城县文化旅游体育局</w:t>
      </w:r>
    </w:p>
    <w:p>
      <w:pPr>
        <w:spacing w:line="560" w:lineRule="exact"/>
        <w:ind w:firstLine="632" w:firstLineChars="200"/>
        <w:rPr>
          <w:rFonts w:ascii="仿宋_GB2312" w:hAnsi="宋体" w:cs="宋体"/>
        </w:rPr>
      </w:pPr>
      <w:r>
        <w:rPr>
          <w:rFonts w:hint="eastAsia" w:ascii="仿宋_GB2312" w:hAnsi="宋体" w:cs="宋体"/>
        </w:rPr>
        <w:t xml:space="preserve">                              2022年1月16日</w:t>
      </w:r>
    </w:p>
    <w:sectPr>
      <w:footerReference r:id="rId3" w:type="default"/>
      <w:footerReference r:id="rId4" w:type="even"/>
      <w:pgSz w:w="11907" w:h="16840"/>
      <w:pgMar w:top="1701" w:right="1474" w:bottom="1134" w:left="1588" w:header="851" w:footer="907" w:gutter="0"/>
      <w:cols w:space="425" w:num="1"/>
      <w:titlePg/>
      <w:docGrid w:type="linesAndChars" w:linePitch="636"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48"/>
        <w:tab w:val="clear" w:pos="8306"/>
      </w:tabs>
      <w:ind w:right="155"/>
      <w:rPr>
        <w:sz w:val="28"/>
        <w:szCs w:val="28"/>
      </w:rPr>
    </w:pPr>
    <w:r>
      <w:rPr>
        <w:rFonts w:hint="eastAsia"/>
        <w:kern w:val="0"/>
        <w:sz w:val="28"/>
        <w:szCs w:val="28"/>
      </w:rPr>
      <w:t xml:space="preserve">                                                     —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6</w:t>
    </w:r>
    <w:r>
      <w:rPr>
        <w:rFonts w:ascii="宋体" w:hAnsi="宋体" w:eastAsia="宋体"/>
        <w:kern w:val="0"/>
        <w:sz w:val="28"/>
        <w:szCs w:val="28"/>
      </w:rPr>
      <w:fldChar w:fldCharType="end"/>
    </w:r>
    <w:r>
      <w:rPr>
        <w:rFonts w:hint="eastAsia"/>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280" w:firstLineChars="100"/>
    </w:pPr>
    <w:r>
      <w:rPr>
        <w:rFonts w:hint="eastAsia"/>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2</w:t>
    </w:r>
    <w:r>
      <w:rPr>
        <w:rFonts w:ascii="宋体" w:hAnsi="宋体" w:eastAsia="宋体"/>
        <w:kern w:val="0"/>
        <w:sz w:val="28"/>
        <w:szCs w:val="28"/>
      </w:rPr>
      <w:fldChar w:fldCharType="end"/>
    </w:r>
    <w:r>
      <w:rPr>
        <w:rFonts w:hint="eastAsia"/>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43EFE"/>
    <w:rsid w:val="00021089"/>
    <w:rsid w:val="00037C1C"/>
    <w:rsid w:val="000A19BA"/>
    <w:rsid w:val="000C6038"/>
    <w:rsid w:val="001B650D"/>
    <w:rsid w:val="002905BB"/>
    <w:rsid w:val="003920E5"/>
    <w:rsid w:val="003A056B"/>
    <w:rsid w:val="00443EFE"/>
    <w:rsid w:val="0064719C"/>
    <w:rsid w:val="006A11DD"/>
    <w:rsid w:val="00705FC7"/>
    <w:rsid w:val="00743CD1"/>
    <w:rsid w:val="007874E1"/>
    <w:rsid w:val="00846780"/>
    <w:rsid w:val="008D587B"/>
    <w:rsid w:val="008E686F"/>
    <w:rsid w:val="009467E4"/>
    <w:rsid w:val="00950F8C"/>
    <w:rsid w:val="00991753"/>
    <w:rsid w:val="009B28E8"/>
    <w:rsid w:val="00B14F52"/>
    <w:rsid w:val="00B978B8"/>
    <w:rsid w:val="00BB1FB2"/>
    <w:rsid w:val="00C74E39"/>
    <w:rsid w:val="00D3356F"/>
    <w:rsid w:val="00D6075D"/>
    <w:rsid w:val="00D9264D"/>
    <w:rsid w:val="00DD0DD6"/>
    <w:rsid w:val="00E079DF"/>
    <w:rsid w:val="00E812C9"/>
    <w:rsid w:val="00F22AF4"/>
    <w:rsid w:val="00F759F5"/>
    <w:rsid w:val="00F945CF"/>
    <w:rsid w:val="00F946CD"/>
    <w:rsid w:val="7F3AD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sz w:val="18"/>
      <w:szCs w:val="18"/>
    </w:rPr>
  </w:style>
  <w:style w:type="character" w:customStyle="1" w:styleId="5">
    <w:name w:val="页脚 Char"/>
    <w:basedOn w:val="4"/>
    <w:link w:val="2"/>
    <w:qFormat/>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1608</Words>
  <Characters>1657</Characters>
  <Lines>276</Lines>
  <Paragraphs>326</Paragraphs>
  <TotalTime>68</TotalTime>
  <ScaleCrop>false</ScaleCrop>
  <LinksUpToDate>false</LinksUpToDate>
  <CharactersWithSpaces>2939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2022-01-16T15:55:00Z</dcterms:created>
  <dc:creator>gyb1</dc:creator>
  <cp:lastModifiedBy>administrator</cp:lastModifiedBy>
  <cp:lastPrinted>2022-01-19T15:03:00Z</cp:lastPrinted>
  <dcterms:modified xsi:type="dcterms:W3CDTF">2022-08-25T10:55:25Z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