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舒城县住房和城乡建设局（人民防空办公室）202</w:t>
      </w:r>
      <w:r>
        <w:rPr>
          <w:rFonts w:hint="eastAsia" w:ascii="Times New Roman" w:hAnsi="Times New Roman" w:eastAsia="方正小标宋简体" w:cs="Times New Roman"/>
          <w:sz w:val="44"/>
          <w:szCs w:val="44"/>
          <w:lang w:val="en-US" w:eastAsia="zh-CN"/>
        </w:rPr>
        <w:t>1</w:t>
      </w:r>
      <w:r>
        <w:rPr>
          <w:rFonts w:hint="eastAsia" w:ascii="Times New Roman" w:hAnsi="Times New Roman" w:eastAsia="方正小标宋简体" w:cs="Times New Roman"/>
          <w:sz w:val="44"/>
          <w:szCs w:val="44"/>
        </w:rPr>
        <w:t>年政府信息公开工作年度报告</w:t>
      </w:r>
    </w:p>
    <w:p>
      <w:pPr>
        <w:keepNext w:val="0"/>
        <w:keepLines w:val="0"/>
        <w:pageBreakBefore w:val="0"/>
        <w:kinsoku/>
        <w:wordWrap/>
        <w:overflowPunct/>
        <w:topLinePunct w:val="0"/>
        <w:autoSpaceDE/>
        <w:autoSpaceDN/>
        <w:bidi w:val="0"/>
        <w:spacing w:line="500" w:lineRule="exact"/>
        <w:textAlignment w:val="auto"/>
        <w:rPr>
          <w:rFonts w:hint="eastAsia" w:ascii="仿宋_GB2312"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根据《中华人民共和国政府信息公开条例》</w:t>
      </w:r>
      <w:r>
        <w:rPr>
          <w:rFonts w:hint="eastAsia" w:ascii="仿宋_GB2312" w:hAnsi="Times New Roman" w:eastAsia="仿宋_GB2312" w:cs="Times New Roman"/>
          <w:sz w:val="32"/>
          <w:szCs w:val="32"/>
          <w:lang w:val="en-US" w:eastAsia="zh-CN"/>
        </w:rPr>
        <w:t>（国务院令第</w:t>
      </w:r>
      <w:r>
        <w:rPr>
          <w:rFonts w:hint="default" w:ascii="仿宋_GB2312" w:hAnsi="Times New Roman" w:eastAsia="仿宋_GB2312" w:cs="Times New Roman"/>
          <w:sz w:val="32"/>
          <w:szCs w:val="32"/>
          <w:lang w:val="en-US" w:eastAsia="zh-CN"/>
        </w:rPr>
        <w:t>711号）</w:t>
      </w:r>
      <w:r>
        <w:rPr>
          <w:rFonts w:hint="eastAsia" w:ascii="仿宋_GB2312" w:hAnsi="Times New Roman" w:eastAsia="仿宋_GB2312" w:cs="Times New Roman"/>
          <w:sz w:val="32"/>
          <w:szCs w:val="32"/>
          <w:lang w:eastAsia="zh-CN"/>
        </w:rPr>
        <w:t>有关规定和要求，我局认真编制了202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年舒城县住房和城乡建设局（人民防空办公室）政府信息公开工作年度报告。</w:t>
      </w: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 xml:space="preserve">全文包括：总体情况、主动公开政府信息情况、收到和处理政府信息公开申请情况、政府信息公开行政复议及行政诉讼情况、存在的主要问题及改进情况和其他需要报告的事项。    </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本年度报告中使用数据统计期限为202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年1月1日至202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年12月31日。</w:t>
      </w:r>
      <w:r>
        <w:rPr>
          <w:rFonts w:ascii="仿宋_GB2312" w:hAnsi="宋体" w:eastAsia="仿宋_GB2312" w:cs="仿宋_GB2312"/>
          <w:i w:val="0"/>
          <w:iCs w:val="0"/>
          <w:caps w:val="0"/>
          <w:color w:val="000000"/>
          <w:spacing w:val="0"/>
          <w:sz w:val="32"/>
          <w:szCs w:val="32"/>
          <w:shd w:val="clear" w:fill="FFFFFF"/>
        </w:rPr>
        <w:t>本年度报告可在</w:t>
      </w:r>
      <w:r>
        <w:rPr>
          <w:rFonts w:hint="eastAsia" w:ascii="仿宋_GB2312" w:hAnsi="宋体" w:eastAsia="仿宋_GB2312" w:cs="仿宋_GB2312"/>
          <w:i w:val="0"/>
          <w:iCs w:val="0"/>
          <w:caps w:val="0"/>
          <w:color w:val="000000"/>
          <w:spacing w:val="0"/>
          <w:sz w:val="32"/>
          <w:szCs w:val="32"/>
          <w:shd w:val="clear" w:fill="FFFFFF"/>
          <w:lang w:eastAsia="zh-CN"/>
        </w:rPr>
        <w:t>舒城县</w:t>
      </w:r>
      <w:r>
        <w:rPr>
          <w:rFonts w:hint="default" w:ascii="仿宋_GB2312" w:hAnsi="宋体" w:eastAsia="仿宋_GB2312" w:cs="仿宋_GB2312"/>
          <w:i w:val="0"/>
          <w:iCs w:val="0"/>
          <w:caps w:val="0"/>
          <w:color w:val="000000"/>
          <w:spacing w:val="0"/>
          <w:sz w:val="32"/>
          <w:szCs w:val="32"/>
          <w:shd w:val="clear" w:fill="FFFFFF"/>
        </w:rPr>
        <w:t>住房和城乡建设局政府信息公开平台下载。</w:t>
      </w:r>
      <w:r>
        <w:rPr>
          <w:rFonts w:hint="eastAsia" w:ascii="仿宋_GB2312" w:hAnsi="Times New Roman" w:eastAsia="仿宋_GB2312" w:cs="Times New Roman"/>
          <w:sz w:val="32"/>
          <w:szCs w:val="32"/>
          <w:lang w:eastAsia="zh-CN"/>
        </w:rPr>
        <w:t>如对本报告有任何疑问，请与舒城县住房和城乡建设局（人民防空办公室）联系，联系电话：0564-2782819；联系地址：舒城县城关镇梅河西路与高峰路交叉口西北角舒城县住房和城乡建设局 ；邮编：231300。</w:t>
      </w:r>
    </w:p>
    <w:p>
      <w:pPr>
        <w:keepNext w:val="0"/>
        <w:keepLines w:val="0"/>
        <w:pageBreakBefore w:val="0"/>
        <w:numPr>
          <w:ilvl w:val="0"/>
          <w:numId w:val="1"/>
        </w:numPr>
        <w:kinsoku/>
        <w:wordWrap/>
        <w:overflowPunct/>
        <w:topLinePunct w:val="0"/>
        <w:autoSpaceDE/>
        <w:autoSpaceDN/>
        <w:bidi w:val="0"/>
        <w:adjustRightInd/>
        <w:snapToGrid/>
        <w:spacing w:line="540" w:lineRule="exact"/>
        <w:ind w:left="-10" w:leftChars="0" w:firstLine="640" w:firstLineChars="0"/>
        <w:jc w:val="both"/>
        <w:textAlignment w:val="auto"/>
        <w:rPr>
          <w:rFonts w:hint="eastAsia" w:ascii="黑体" w:hAnsi="黑体" w:eastAsia="黑体" w:cs="Times New Roman"/>
          <w:sz w:val="32"/>
          <w:szCs w:val="32"/>
        </w:rPr>
      </w:pPr>
      <w:r>
        <w:rPr>
          <w:rFonts w:hint="eastAsia" w:ascii="黑体" w:hAnsi="黑体" w:eastAsia="黑体" w:cs="Times New Roman"/>
          <w:sz w:val="32"/>
          <w:szCs w:val="32"/>
        </w:rPr>
        <w:t>总体情况</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Times New Roman" w:eastAsia="仿宋_GB2312" w:cs="Times New Roman"/>
          <w:sz w:val="32"/>
          <w:szCs w:val="32"/>
          <w:lang w:val="en-US" w:eastAsia="zh-CN"/>
        </w:rPr>
      </w:pPr>
      <w:r>
        <w:rPr>
          <w:rFonts w:hint="eastAsia" w:ascii="楷体_GB2312" w:hAnsi="Times New Roman" w:eastAsia="楷体_GB2312" w:cs="Times New Roman"/>
          <w:b/>
          <w:sz w:val="32"/>
          <w:szCs w:val="32"/>
          <w:lang w:eastAsia="zh-CN"/>
        </w:rPr>
        <w:t>（一）</w:t>
      </w:r>
      <w:r>
        <w:rPr>
          <w:rFonts w:hint="eastAsia" w:ascii="楷体_GB2312" w:hAnsi="Times New Roman" w:eastAsia="楷体_GB2312" w:cs="Times New Roman"/>
          <w:b/>
          <w:sz w:val="32"/>
          <w:szCs w:val="32"/>
        </w:rPr>
        <w:t>主动公开</w:t>
      </w:r>
      <w:r>
        <w:rPr>
          <w:rFonts w:hint="eastAsia" w:ascii="楷体_GB2312" w:hAnsi="Times New Roman" w:eastAsia="楷体_GB2312" w:cs="Times New Roman"/>
          <w:b/>
          <w:sz w:val="32"/>
          <w:szCs w:val="32"/>
          <w:lang w:eastAsia="zh-CN"/>
        </w:rPr>
        <w:t>。</w:t>
      </w:r>
      <w:r>
        <w:rPr>
          <w:rFonts w:hint="eastAsia" w:ascii="仿宋_GB2312" w:hAnsi="Times New Roman" w:eastAsia="仿宋_GB2312" w:cs="Times New Roman"/>
          <w:sz w:val="32"/>
          <w:szCs w:val="32"/>
          <w:lang w:val="en-US" w:eastAsia="zh-CN"/>
        </w:rPr>
        <w:t>我局全年主动公开政府信息1311条（含说明），其中部门基本信息计815条，</w:t>
      </w:r>
      <w:r>
        <w:rPr>
          <w:rFonts w:hint="default" w:ascii="仿宋_GB2312" w:hAnsi="Times New Roman" w:eastAsia="仿宋_GB2312" w:cs="Times New Roman"/>
          <w:sz w:val="32"/>
          <w:szCs w:val="32"/>
          <w:lang w:val="en-US" w:eastAsia="zh-CN"/>
        </w:rPr>
        <w:t>保障性住房、农村危房改造、房地产市场监管等民生及重点领域信息</w:t>
      </w:r>
      <w:r>
        <w:rPr>
          <w:rFonts w:hint="eastAsia" w:ascii="仿宋_GB2312" w:hAnsi="Times New Roman" w:eastAsia="仿宋_GB2312" w:cs="Times New Roman"/>
          <w:sz w:val="32"/>
          <w:szCs w:val="32"/>
          <w:lang w:val="en-US" w:eastAsia="zh-CN"/>
        </w:rPr>
        <w:t xml:space="preserve">计496条。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本年度重点工作落实情况：对照上级疫情防控要求，认真落实疫情防控职责，共同做好疫情防控任务，全年共发布疫情防控政策和日常工作开展信息7条；积极主动公开</w:t>
      </w:r>
      <w:r>
        <w:rPr>
          <w:rFonts w:hint="default" w:ascii="仿宋_GB2312" w:hAnsi="Times New Roman" w:eastAsia="仿宋_GB2312" w:cs="Times New Roman"/>
          <w:sz w:val="32"/>
          <w:szCs w:val="32"/>
          <w:lang w:val="en-US" w:eastAsia="zh-CN"/>
        </w:rPr>
        <w:t>“十四五”城乡建设发展规划</w:t>
      </w:r>
      <w:r>
        <w:rPr>
          <w:rFonts w:hint="eastAsia" w:ascii="仿宋_GB2312" w:hAnsi="Times New Roman" w:eastAsia="仿宋_GB2312" w:cs="Times New Roman"/>
          <w:sz w:val="32"/>
          <w:szCs w:val="32"/>
          <w:lang w:val="en-US" w:eastAsia="zh-CN"/>
        </w:rPr>
        <w:t>、</w:t>
      </w:r>
      <w:r>
        <w:rPr>
          <w:rFonts w:hint="default" w:ascii="仿宋_GB2312" w:hAnsi="Times New Roman" w:eastAsia="仿宋_GB2312" w:cs="Times New Roman"/>
          <w:sz w:val="32"/>
          <w:szCs w:val="32"/>
          <w:lang w:val="en-US" w:eastAsia="zh-CN"/>
        </w:rPr>
        <w:t>“十四五”住房发展规划</w:t>
      </w:r>
      <w:r>
        <w:rPr>
          <w:rFonts w:hint="eastAsia" w:ascii="仿宋_GB2312" w:hAnsi="Times New Roman" w:eastAsia="仿宋_GB2312" w:cs="Times New Roman"/>
          <w:sz w:val="32"/>
          <w:szCs w:val="32"/>
          <w:lang w:val="en-US" w:eastAsia="zh-CN"/>
        </w:rPr>
        <w:t>及相关规划信息计7条；发布财政预决算及“三公”经费信息8条；发布专家解读4条，图片、媒体、动漫视频及新闻发布会解读5条，持续优化文字性解读材料，避免简单摘抄、与原文雷同、标题化，重点加强制定背景、依据、制定过程、保障措施、创新举措等内容解读；积极转载上级重要政策解读，发布上级政策解读10条；发布房地产、住房保障等涉及群众切身利益领域的主动回应信息计26条。</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楷体_GB2312" w:hAnsi="Times New Roman" w:eastAsia="楷体_GB2312" w:cs="Times New Roman"/>
          <w:b/>
          <w:sz w:val="32"/>
          <w:szCs w:val="32"/>
          <w:lang w:eastAsia="zh-CN"/>
        </w:rPr>
      </w:pPr>
      <w:r>
        <w:rPr>
          <w:rFonts w:hint="eastAsia" w:ascii="楷体_GB2312" w:hAnsi="Times New Roman" w:eastAsia="楷体_GB2312" w:cs="Times New Roman"/>
          <w:b/>
          <w:sz w:val="32"/>
          <w:szCs w:val="32"/>
        </w:rPr>
        <w:t>（二）依申请公开</w:t>
      </w:r>
      <w:r>
        <w:rPr>
          <w:rFonts w:hint="eastAsia" w:ascii="楷体_GB2312" w:hAnsi="Times New Roman" w:eastAsia="楷体_GB2312" w:cs="Times New Roman"/>
          <w:b/>
          <w:sz w:val="32"/>
          <w:szCs w:val="32"/>
          <w:lang w:eastAsia="zh-CN"/>
        </w:rPr>
        <w:t>。</w:t>
      </w:r>
      <w:r>
        <w:rPr>
          <w:rFonts w:hint="eastAsia" w:ascii="仿宋_GB2312" w:hAnsi="Times New Roman" w:eastAsia="仿宋_GB2312" w:cs="Times New Roman"/>
          <w:sz w:val="32"/>
          <w:szCs w:val="32"/>
          <w:lang w:eastAsia="zh-CN"/>
        </w:rPr>
        <w:t>规范依申请公开办理流程，做好依申请公开接收、办理、答复、存档等工作环节，从收到申请之日起</w:t>
      </w:r>
      <w:r>
        <w:rPr>
          <w:rFonts w:hint="default" w:ascii="仿宋_GB2312" w:hAnsi="Times New Roman" w:eastAsia="仿宋_GB2312" w:cs="Times New Roman"/>
          <w:sz w:val="32"/>
          <w:szCs w:val="32"/>
          <w:lang w:eastAsia="zh-CN"/>
        </w:rPr>
        <w:t>20个工作日内，对相关依申请公开信息按规定时限回复</w:t>
      </w:r>
      <w:r>
        <w:rPr>
          <w:rFonts w:hint="eastAsia" w:ascii="仿宋_GB2312" w:hAnsi="Times New Roman" w:eastAsia="仿宋_GB2312" w:cs="Times New Roman"/>
          <w:sz w:val="32"/>
          <w:szCs w:val="32"/>
          <w:lang w:eastAsia="zh-CN"/>
        </w:rPr>
        <w:t>；根据</w:t>
      </w:r>
      <w:r>
        <w:rPr>
          <w:rFonts w:hint="eastAsia" w:ascii="仿宋_GB2312" w:hAnsi="Times New Roman" w:eastAsia="仿宋_GB2312" w:cs="Times New Roman"/>
          <w:sz w:val="32"/>
          <w:szCs w:val="32"/>
          <w:lang w:val="en-US" w:eastAsia="zh-CN"/>
        </w:rPr>
        <w:t>市、县政务公开办要求，我局积极做好依申请公</w:t>
      </w:r>
      <w:r>
        <w:rPr>
          <w:rFonts w:hint="default" w:ascii="仿宋_GB2312" w:hAnsi="Times New Roman" w:eastAsia="仿宋_GB2312" w:cs="Times New Roman"/>
          <w:sz w:val="32"/>
          <w:szCs w:val="32"/>
          <w:lang w:val="en-US" w:eastAsia="zh-CN"/>
        </w:rPr>
        <w:t>开数据迁移工作</w:t>
      </w:r>
      <w:r>
        <w:rPr>
          <w:rFonts w:hint="eastAsia" w:ascii="仿宋_GB2312" w:hAnsi="Times New Roman" w:eastAsia="仿宋_GB2312" w:cs="Times New Roman"/>
          <w:sz w:val="32"/>
          <w:szCs w:val="32"/>
          <w:lang w:val="en-US" w:eastAsia="zh-CN"/>
        </w:rPr>
        <w:t>，于11月底前完成线下依申请办理的录入工作</w:t>
      </w:r>
      <w:r>
        <w:rPr>
          <w:rFonts w:hint="default"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2021年，</w:t>
      </w:r>
      <w:r>
        <w:rPr>
          <w:rFonts w:hint="default" w:ascii="仿宋_GB2312" w:hAnsi="Times New Roman" w:eastAsia="仿宋_GB2312" w:cs="Times New Roman"/>
          <w:sz w:val="32"/>
          <w:szCs w:val="32"/>
          <w:lang w:eastAsia="zh-CN"/>
        </w:rPr>
        <w:t>我局共受理政府信息公开申请</w:t>
      </w:r>
      <w:r>
        <w:rPr>
          <w:rFonts w:hint="eastAsia" w:ascii="仿宋_GB2312" w:hAnsi="Times New Roman" w:eastAsia="仿宋_GB2312" w:cs="Times New Roman"/>
          <w:sz w:val="32"/>
          <w:szCs w:val="32"/>
          <w:lang w:val="en-US" w:eastAsia="zh-CN"/>
        </w:rPr>
        <w:t>2</w:t>
      </w:r>
      <w:r>
        <w:rPr>
          <w:rFonts w:hint="default" w:ascii="仿宋_GB2312" w:hAnsi="Times New Roman" w:eastAsia="仿宋_GB2312" w:cs="Times New Roman"/>
          <w:sz w:val="32"/>
          <w:szCs w:val="32"/>
          <w:lang w:eastAsia="zh-CN"/>
        </w:rPr>
        <w:t>件，均</w:t>
      </w:r>
      <w:r>
        <w:rPr>
          <w:rFonts w:hint="eastAsia" w:ascii="仿宋_GB2312" w:hAnsi="Times New Roman" w:eastAsia="仿宋_GB2312" w:cs="Times New Roman"/>
          <w:sz w:val="32"/>
          <w:szCs w:val="32"/>
          <w:lang w:eastAsia="zh-CN"/>
        </w:rPr>
        <w:t>已</w:t>
      </w:r>
      <w:r>
        <w:rPr>
          <w:rFonts w:hint="default" w:ascii="仿宋_GB2312" w:hAnsi="Times New Roman" w:eastAsia="仿宋_GB2312" w:cs="Times New Roman"/>
          <w:sz w:val="32"/>
          <w:szCs w:val="32"/>
          <w:lang w:eastAsia="zh-CN"/>
        </w:rPr>
        <w:t>按规定要求答复。</w:t>
      </w:r>
      <w:r>
        <w:rPr>
          <w:rFonts w:hint="default" w:ascii="仿宋_GB2312" w:hAnsi="Times New Roman" w:eastAsia="仿宋_GB2312" w:cs="Times New Roman"/>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仿宋_GB2312" w:hAnsi="仿宋" w:eastAsia="仿宋_GB2312" w:cs="仿宋"/>
          <w:kern w:val="2"/>
          <w:sz w:val="32"/>
          <w:szCs w:val="32"/>
          <w:shd w:val="clear" w:color="auto" w:fill="FFFFFF"/>
          <w:lang w:val="en-US" w:eastAsia="zh-CN" w:bidi="ar-SA"/>
        </w:rPr>
      </w:pPr>
      <w:r>
        <w:rPr>
          <w:rFonts w:hint="eastAsia" w:ascii="楷体_GB2312" w:hAnsi="Times New Roman" w:eastAsia="楷体_GB2312" w:cs="Times New Roman"/>
          <w:b/>
          <w:sz w:val="32"/>
          <w:szCs w:val="32"/>
        </w:rPr>
        <w:t>（三）政府信息管理</w:t>
      </w:r>
      <w:r>
        <w:rPr>
          <w:rFonts w:hint="eastAsia" w:ascii="楷体_GB2312" w:hAnsi="Times New Roman" w:eastAsia="楷体_GB2312" w:cs="Times New Roman"/>
          <w:b/>
          <w:sz w:val="32"/>
          <w:szCs w:val="32"/>
          <w:lang w:eastAsia="zh-CN"/>
        </w:rPr>
        <w:t>。</w:t>
      </w:r>
      <w:r>
        <w:rPr>
          <w:rFonts w:hint="default" w:ascii="仿宋_GB2312" w:hAnsi="仿宋" w:eastAsia="仿宋_GB2312" w:cs="仿宋"/>
          <w:kern w:val="2"/>
          <w:sz w:val="32"/>
          <w:szCs w:val="32"/>
          <w:shd w:val="clear" w:color="auto" w:fill="FFFFFF"/>
          <w:lang w:val="en-US" w:eastAsia="zh-CN" w:bidi="ar-SA"/>
        </w:rPr>
        <w:t>严格落实信息管理（部门或股室负责人初审、</w:t>
      </w:r>
      <w:r>
        <w:rPr>
          <w:rFonts w:hint="eastAsia" w:ascii="仿宋_GB2312" w:hAnsi="仿宋" w:eastAsia="仿宋_GB2312" w:cs="仿宋"/>
          <w:kern w:val="2"/>
          <w:sz w:val="32"/>
          <w:szCs w:val="32"/>
          <w:shd w:val="clear" w:color="auto" w:fill="FFFFFF"/>
          <w:lang w:val="en-US" w:eastAsia="zh-CN" w:bidi="ar-SA"/>
        </w:rPr>
        <w:t>办公室主任</w:t>
      </w:r>
      <w:r>
        <w:rPr>
          <w:rFonts w:hint="default" w:ascii="仿宋_GB2312" w:hAnsi="仿宋" w:eastAsia="仿宋_GB2312" w:cs="仿宋"/>
          <w:kern w:val="2"/>
          <w:sz w:val="32"/>
          <w:szCs w:val="32"/>
          <w:shd w:val="clear" w:color="auto" w:fill="FFFFFF"/>
          <w:lang w:val="en-US" w:eastAsia="zh-CN" w:bidi="ar-SA"/>
        </w:rPr>
        <w:t>复审、局分管信息公开领导终审）三级负责制，同时定期开展自查，加强信息公开目录内容安全和信息保障情况的监测力度。</w:t>
      </w:r>
      <w:r>
        <w:rPr>
          <w:rFonts w:hint="eastAsia" w:ascii="仿宋_GB2312" w:hAnsi="仿宋" w:eastAsia="仿宋_GB2312" w:cs="仿宋"/>
          <w:kern w:val="2"/>
          <w:sz w:val="32"/>
          <w:szCs w:val="32"/>
          <w:shd w:val="clear" w:color="auto" w:fill="FFFFFF"/>
          <w:lang w:val="en-US" w:eastAsia="zh-CN" w:bidi="ar-SA"/>
        </w:rPr>
        <w:t>加强规范性文件制定宣传，做到全年所有规范性文件均配套政策解读，同时相应页面提供文件下载。2021年，经清理确定继续有效（含拟修订）及新制定规范性文件（含代政府办草拟）共计22件。</w:t>
      </w:r>
    </w:p>
    <w:p>
      <w:pPr>
        <w:pStyle w:val="9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楷体_GB2312" w:hAnsi="Times New Roman" w:eastAsia="楷体_GB2312" w:cs="Times New Roman"/>
          <w:b/>
          <w:sz w:val="32"/>
          <w:szCs w:val="32"/>
          <w:lang w:eastAsia="zh-CN"/>
        </w:rPr>
      </w:pPr>
      <w:r>
        <w:rPr>
          <w:rFonts w:hint="eastAsia" w:ascii="楷体_GB2312" w:hAnsi="Times New Roman" w:eastAsia="楷体_GB2312" w:cs="Times New Roman"/>
          <w:b/>
          <w:sz w:val="32"/>
          <w:szCs w:val="32"/>
        </w:rPr>
        <w:t>（四）政府信息平台建设</w:t>
      </w:r>
      <w:r>
        <w:rPr>
          <w:rFonts w:hint="eastAsia" w:ascii="楷体_GB2312" w:hAnsi="Times New Roman" w:eastAsia="楷体_GB2312" w:cs="Times New Roman"/>
          <w:b/>
          <w:sz w:val="32"/>
          <w:szCs w:val="32"/>
          <w:lang w:eastAsia="zh-CN"/>
        </w:rPr>
        <w:t>。</w:t>
      </w:r>
      <w:r>
        <w:rPr>
          <w:rFonts w:hint="eastAsia" w:ascii="仿宋_GB2312" w:hAnsi="仿宋" w:eastAsia="仿宋_GB2312" w:cs="仿宋"/>
          <w:kern w:val="2"/>
          <w:sz w:val="32"/>
          <w:szCs w:val="32"/>
          <w:shd w:val="clear" w:color="auto" w:fill="FFFFFF"/>
          <w:lang w:val="en-US" w:eastAsia="zh-CN" w:bidi="ar-SA"/>
        </w:rPr>
        <w:t>我局依托舒城县人民政府网站公开政府信息，加强政府网站内容建设和信息发布审核，进一步提升信息公开平台发布功能，不断优化、规范栏目设置，不断提升信息发布质量和效率，使公开信息格式更规范、内容更严谨、要素更充分、可读性更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eastAsia" w:ascii="黑体" w:hAnsi="黑体" w:eastAsia="黑体" w:cs="Times New Roman"/>
          <w:sz w:val="32"/>
          <w:szCs w:val="32"/>
        </w:rPr>
      </w:pPr>
      <w:r>
        <w:rPr>
          <w:rFonts w:hint="eastAsia" w:ascii="楷体_GB2312" w:hAnsi="Times New Roman" w:eastAsia="楷体_GB2312" w:cs="Times New Roman"/>
          <w:b/>
          <w:sz w:val="32"/>
          <w:szCs w:val="32"/>
        </w:rPr>
        <w:t>（五）监督保障</w:t>
      </w:r>
      <w:bookmarkStart w:id="0" w:name="_GoBack"/>
      <w:bookmarkEnd w:id="0"/>
      <w:r>
        <w:rPr>
          <w:rFonts w:hint="eastAsia" w:ascii="楷体_GB2312" w:hAnsi="Times New Roman" w:eastAsia="楷体_GB2312" w:cs="Times New Roman"/>
          <w:b/>
          <w:sz w:val="32"/>
          <w:szCs w:val="32"/>
          <w:lang w:eastAsia="zh-CN"/>
        </w:rPr>
        <w:t>。</w:t>
      </w:r>
      <w:r>
        <w:rPr>
          <w:rFonts w:hint="eastAsia" w:ascii="仿宋_GB2312" w:hAnsi="仿宋" w:eastAsia="仿宋_GB2312" w:cs="仿宋"/>
          <w:kern w:val="2"/>
          <w:sz w:val="32"/>
          <w:szCs w:val="32"/>
          <w:shd w:val="clear" w:color="auto" w:fill="FFFFFF"/>
          <w:lang w:val="en-US" w:eastAsia="zh-CN" w:bidi="ar-SA"/>
        </w:rPr>
        <w:t>一</w:t>
      </w:r>
      <w:r>
        <w:rPr>
          <w:rFonts w:hint="default" w:ascii="仿宋_GB2312" w:hAnsi="仿宋" w:eastAsia="仿宋_GB2312" w:cs="仿宋"/>
          <w:kern w:val="2"/>
          <w:sz w:val="32"/>
          <w:szCs w:val="32"/>
          <w:shd w:val="clear" w:color="auto" w:fill="FFFFFF"/>
          <w:lang w:val="en-US" w:eastAsia="zh-CN" w:bidi="ar-SA"/>
        </w:rPr>
        <w:t>是加强</w:t>
      </w:r>
      <w:r>
        <w:rPr>
          <w:rFonts w:hint="eastAsia" w:ascii="仿宋_GB2312" w:hAnsi="仿宋" w:eastAsia="仿宋_GB2312" w:cs="仿宋"/>
          <w:kern w:val="2"/>
          <w:sz w:val="32"/>
          <w:szCs w:val="32"/>
          <w:shd w:val="clear" w:color="auto" w:fill="FFFFFF"/>
          <w:lang w:val="en-US" w:eastAsia="zh-CN" w:bidi="ar-SA"/>
        </w:rPr>
        <w:t>监测整改。全年共进行政务公开季度整改5次（含市抽测1次），不定期对</w:t>
      </w:r>
      <w:r>
        <w:rPr>
          <w:rFonts w:hint="default" w:ascii="仿宋_GB2312" w:hAnsi="仿宋" w:eastAsia="仿宋_GB2312" w:cs="仿宋"/>
          <w:kern w:val="2"/>
          <w:sz w:val="32"/>
          <w:szCs w:val="32"/>
          <w:shd w:val="clear" w:color="auto" w:fill="FFFFFF"/>
          <w:lang w:val="en-US" w:eastAsia="zh-CN" w:bidi="ar-SA"/>
        </w:rPr>
        <w:t>县三方政府网站监测</w:t>
      </w:r>
      <w:r>
        <w:rPr>
          <w:rFonts w:hint="eastAsia" w:ascii="仿宋_GB2312" w:hAnsi="仿宋" w:eastAsia="仿宋_GB2312" w:cs="仿宋"/>
          <w:kern w:val="2"/>
          <w:sz w:val="32"/>
          <w:szCs w:val="32"/>
          <w:shd w:val="clear" w:color="auto" w:fill="FFFFFF"/>
          <w:lang w:val="en-US" w:eastAsia="zh-CN" w:bidi="ar-SA"/>
        </w:rPr>
        <w:t>情况（不及时更新内容及空白栏目）整改3次</w:t>
      </w:r>
      <w:r>
        <w:rPr>
          <w:rFonts w:hint="default" w:ascii="仿宋_GB2312" w:hAnsi="仿宋" w:eastAsia="仿宋_GB2312" w:cs="仿宋"/>
          <w:kern w:val="2"/>
          <w:sz w:val="32"/>
          <w:szCs w:val="32"/>
          <w:shd w:val="clear" w:color="auto" w:fill="FFFFFF"/>
          <w:lang w:val="en-US" w:eastAsia="zh-CN" w:bidi="ar-SA"/>
        </w:rPr>
        <w:t>。</w:t>
      </w:r>
      <w:r>
        <w:rPr>
          <w:rFonts w:hint="eastAsia" w:ascii="仿宋_GB2312" w:hAnsi="仿宋" w:eastAsia="仿宋_GB2312" w:cs="仿宋"/>
          <w:kern w:val="2"/>
          <w:sz w:val="32"/>
          <w:szCs w:val="32"/>
          <w:shd w:val="clear" w:color="auto" w:fill="FFFFFF"/>
          <w:lang w:val="en-US" w:eastAsia="zh-CN" w:bidi="ar-SA"/>
        </w:rPr>
        <w:t>二是积极参加市、县级信息公开培训。三是</w:t>
      </w:r>
      <w:r>
        <w:rPr>
          <w:rFonts w:hint="default" w:ascii="仿宋_GB2312" w:hAnsi="仿宋" w:eastAsia="仿宋_GB2312" w:cs="仿宋"/>
          <w:kern w:val="2"/>
          <w:sz w:val="32"/>
          <w:szCs w:val="32"/>
          <w:shd w:val="clear" w:color="auto" w:fill="FFFFFF"/>
          <w:lang w:val="en-US" w:eastAsia="zh-CN" w:bidi="ar-SA"/>
        </w:rPr>
        <w:t>完善相关政务公开管理机制，将政府信息公开</w:t>
      </w:r>
      <w:r>
        <w:rPr>
          <w:rFonts w:hint="eastAsia" w:ascii="仿宋_GB2312" w:hAnsi="仿宋" w:eastAsia="仿宋_GB2312" w:cs="仿宋"/>
          <w:kern w:val="2"/>
          <w:sz w:val="32"/>
          <w:szCs w:val="32"/>
          <w:shd w:val="clear" w:color="auto" w:fill="FFFFFF"/>
          <w:lang w:val="en-US" w:eastAsia="zh-CN" w:bidi="ar-SA"/>
        </w:rPr>
        <w:t>纳</w:t>
      </w:r>
      <w:r>
        <w:rPr>
          <w:rFonts w:hint="default" w:ascii="仿宋_GB2312" w:hAnsi="仿宋" w:eastAsia="仿宋_GB2312" w:cs="仿宋"/>
          <w:kern w:val="2"/>
          <w:sz w:val="32"/>
          <w:szCs w:val="32"/>
          <w:shd w:val="clear" w:color="auto" w:fill="FFFFFF"/>
          <w:lang w:val="en-US" w:eastAsia="zh-CN" w:bidi="ar-SA"/>
        </w:rPr>
        <w:t>入机关干部考核，</w:t>
      </w:r>
      <w:r>
        <w:rPr>
          <w:rFonts w:hint="eastAsia" w:ascii="仿宋_GB2312" w:hAnsi="仿宋" w:eastAsia="仿宋_GB2312" w:cs="仿宋"/>
          <w:kern w:val="2"/>
          <w:sz w:val="32"/>
          <w:szCs w:val="32"/>
          <w:shd w:val="clear" w:color="auto" w:fill="FFFFFF"/>
          <w:lang w:val="en-US" w:eastAsia="zh-CN" w:bidi="ar-SA"/>
        </w:rPr>
        <w:t>本年度我局</w:t>
      </w:r>
      <w:r>
        <w:rPr>
          <w:rFonts w:hint="default" w:ascii="仿宋_GB2312" w:hAnsi="仿宋" w:eastAsia="仿宋_GB2312" w:cs="仿宋"/>
          <w:kern w:val="2"/>
          <w:sz w:val="32"/>
          <w:szCs w:val="32"/>
          <w:shd w:val="clear" w:color="auto" w:fill="FFFFFF"/>
          <w:lang w:val="en-US" w:eastAsia="zh-CN" w:bidi="ar-SA"/>
        </w:rPr>
        <w:t>未因政务公开出现问题造成严重负面影响而开展责任追究的情况。</w:t>
      </w:r>
    </w:p>
    <w:p>
      <w:pPr>
        <w:keepNext w:val="0"/>
        <w:keepLines w:val="0"/>
        <w:pageBreakBefore w:val="0"/>
        <w:kinsoku/>
        <w:overflowPunct/>
        <w:topLinePunct w:val="0"/>
        <w:autoSpaceDE/>
        <w:autoSpaceDN/>
        <w:bidi w:val="0"/>
        <w:adjustRightInd/>
        <w:snapToGrid/>
        <w:spacing w:line="440" w:lineRule="exact"/>
        <w:ind w:firstLine="640" w:firstLineChars="200"/>
        <w:textAlignment w:val="auto"/>
        <w:rPr>
          <w:rFonts w:hint="eastAsia" w:ascii="黑体" w:hAnsi="黑体" w:eastAsia="黑体" w:cs="Times New Roman"/>
          <w:sz w:val="32"/>
          <w:szCs w:val="32"/>
        </w:rPr>
      </w:pPr>
    </w:p>
    <w:p>
      <w:pPr>
        <w:keepNext w:val="0"/>
        <w:keepLines w:val="0"/>
        <w:pageBreakBefore w:val="0"/>
        <w:kinsoku/>
        <w:overflowPunct/>
        <w:topLinePunct w:val="0"/>
        <w:autoSpaceDE/>
        <w:autoSpaceDN/>
        <w:bidi w:val="0"/>
        <w:adjustRightInd/>
        <w:snapToGrid/>
        <w:spacing w:line="44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二、主动公开政府信息情况</w:t>
      </w:r>
    </w:p>
    <w:tbl>
      <w:tblPr>
        <w:tblStyle w:val="5"/>
        <w:tblW w:w="8926" w:type="dxa"/>
        <w:jc w:val="center"/>
        <w:tblLayout w:type="autofit"/>
        <w:tblCellMar>
          <w:top w:w="0" w:type="dxa"/>
          <w:left w:w="0" w:type="dxa"/>
          <w:bottom w:w="0" w:type="dxa"/>
          <w:right w:w="0" w:type="dxa"/>
        </w:tblCellMar>
      </w:tblPr>
      <w:tblGrid>
        <w:gridCol w:w="2133"/>
        <w:gridCol w:w="2080"/>
        <w:gridCol w:w="2435"/>
        <w:gridCol w:w="2278"/>
      </w:tblGrid>
      <w:tr>
        <w:tblPrEx>
          <w:tblCellMar>
            <w:top w:w="0" w:type="dxa"/>
            <w:left w:w="0" w:type="dxa"/>
            <w:bottom w:w="0" w:type="dxa"/>
            <w:right w:w="0" w:type="dxa"/>
          </w:tblCellMar>
        </w:tblPrEx>
        <w:trPr>
          <w:trHeight w:val="454" w:hRule="atLeast"/>
          <w:jc w:val="center"/>
        </w:trPr>
        <w:tc>
          <w:tcPr>
            <w:tcW w:w="8926"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第二十条第（一）项</w:t>
            </w:r>
          </w:p>
        </w:tc>
      </w:tr>
      <w:tr>
        <w:tblPrEx>
          <w:tblCellMar>
            <w:top w:w="0" w:type="dxa"/>
            <w:left w:w="0" w:type="dxa"/>
            <w:bottom w:w="0" w:type="dxa"/>
            <w:right w:w="0" w:type="dxa"/>
          </w:tblCellMar>
        </w:tblPrEx>
        <w:trPr>
          <w:trHeight w:val="454" w:hRule="atLeast"/>
          <w:jc w:val="center"/>
        </w:trPr>
        <w:tc>
          <w:tcPr>
            <w:tcW w:w="21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208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本年废止件数</w:t>
            </w:r>
          </w:p>
        </w:tc>
        <w:tc>
          <w:tcPr>
            <w:tcW w:w="227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现行有效件数</w:t>
            </w:r>
          </w:p>
        </w:tc>
      </w:tr>
      <w:tr>
        <w:tblPrEx>
          <w:tblCellMar>
            <w:top w:w="0" w:type="dxa"/>
            <w:left w:w="0" w:type="dxa"/>
            <w:bottom w:w="0" w:type="dxa"/>
            <w:right w:w="0" w:type="dxa"/>
          </w:tblCellMar>
        </w:tblPrEx>
        <w:trPr>
          <w:trHeight w:val="454" w:hRule="atLeast"/>
          <w:jc w:val="center"/>
        </w:trPr>
        <w:tc>
          <w:tcPr>
            <w:tcW w:w="21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规章</w:t>
            </w:r>
          </w:p>
        </w:tc>
        <w:tc>
          <w:tcPr>
            <w:tcW w:w="20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2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CellMar>
            <w:top w:w="0" w:type="dxa"/>
            <w:left w:w="0" w:type="dxa"/>
            <w:bottom w:w="0" w:type="dxa"/>
            <w:right w:w="0" w:type="dxa"/>
          </w:tblCellMar>
        </w:tblPrEx>
        <w:trPr>
          <w:trHeight w:val="454" w:hRule="atLeast"/>
          <w:jc w:val="center"/>
        </w:trPr>
        <w:tc>
          <w:tcPr>
            <w:tcW w:w="21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行政规范性文件</w:t>
            </w:r>
          </w:p>
        </w:tc>
        <w:tc>
          <w:tcPr>
            <w:tcW w:w="20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22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r>
      <w:tr>
        <w:tblPrEx>
          <w:tblCellMar>
            <w:top w:w="0" w:type="dxa"/>
            <w:left w:w="0" w:type="dxa"/>
            <w:bottom w:w="0" w:type="dxa"/>
            <w:right w:w="0" w:type="dxa"/>
          </w:tblCellMar>
        </w:tblPrEx>
        <w:trPr>
          <w:trHeight w:val="454" w:hRule="atLeast"/>
          <w:jc w:val="center"/>
        </w:trPr>
        <w:tc>
          <w:tcPr>
            <w:tcW w:w="8926"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第二十条第（五）项</w:t>
            </w:r>
          </w:p>
        </w:tc>
      </w:tr>
      <w:tr>
        <w:tblPrEx>
          <w:tblCellMar>
            <w:top w:w="0" w:type="dxa"/>
            <w:left w:w="0" w:type="dxa"/>
            <w:bottom w:w="0" w:type="dxa"/>
            <w:right w:w="0" w:type="dxa"/>
          </w:tblCellMar>
        </w:tblPrEx>
        <w:trPr>
          <w:trHeight w:val="454" w:hRule="atLeast"/>
          <w:jc w:val="center"/>
        </w:trPr>
        <w:tc>
          <w:tcPr>
            <w:tcW w:w="21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6793"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CellMar>
            <w:top w:w="0" w:type="dxa"/>
            <w:left w:w="0" w:type="dxa"/>
            <w:bottom w:w="0" w:type="dxa"/>
            <w:right w:w="0" w:type="dxa"/>
          </w:tblCellMar>
        </w:tblPrEx>
        <w:trPr>
          <w:trHeight w:val="454" w:hRule="atLeast"/>
          <w:jc w:val="center"/>
        </w:trPr>
        <w:tc>
          <w:tcPr>
            <w:tcW w:w="21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行政许可</w:t>
            </w:r>
          </w:p>
        </w:tc>
        <w:tc>
          <w:tcPr>
            <w:tcW w:w="6793"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667</w:t>
            </w:r>
          </w:p>
        </w:tc>
      </w:tr>
      <w:tr>
        <w:tblPrEx>
          <w:tblCellMar>
            <w:top w:w="0" w:type="dxa"/>
            <w:left w:w="0" w:type="dxa"/>
            <w:bottom w:w="0" w:type="dxa"/>
            <w:right w:w="0" w:type="dxa"/>
          </w:tblCellMar>
        </w:tblPrEx>
        <w:trPr>
          <w:trHeight w:val="454" w:hRule="atLeast"/>
          <w:jc w:val="center"/>
        </w:trPr>
        <w:tc>
          <w:tcPr>
            <w:tcW w:w="8926"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第二十条第（六）项</w:t>
            </w:r>
          </w:p>
        </w:tc>
      </w:tr>
      <w:tr>
        <w:tblPrEx>
          <w:tblCellMar>
            <w:top w:w="0" w:type="dxa"/>
            <w:left w:w="0" w:type="dxa"/>
            <w:bottom w:w="0" w:type="dxa"/>
            <w:right w:w="0" w:type="dxa"/>
          </w:tblCellMar>
        </w:tblPrEx>
        <w:trPr>
          <w:trHeight w:val="454" w:hRule="atLeast"/>
          <w:jc w:val="center"/>
        </w:trPr>
        <w:tc>
          <w:tcPr>
            <w:tcW w:w="21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6793"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CellMar>
            <w:top w:w="0" w:type="dxa"/>
            <w:left w:w="0" w:type="dxa"/>
            <w:bottom w:w="0" w:type="dxa"/>
            <w:right w:w="0" w:type="dxa"/>
          </w:tblCellMar>
        </w:tblPrEx>
        <w:trPr>
          <w:trHeight w:val="454" w:hRule="atLeast"/>
          <w:jc w:val="center"/>
        </w:trPr>
        <w:tc>
          <w:tcPr>
            <w:tcW w:w="21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行政处罚</w:t>
            </w:r>
          </w:p>
        </w:tc>
        <w:tc>
          <w:tcPr>
            <w:tcW w:w="6793"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CellMar>
            <w:top w:w="0" w:type="dxa"/>
            <w:left w:w="0" w:type="dxa"/>
            <w:bottom w:w="0" w:type="dxa"/>
            <w:right w:w="0" w:type="dxa"/>
          </w:tblCellMar>
        </w:tblPrEx>
        <w:trPr>
          <w:trHeight w:val="454" w:hRule="atLeast"/>
          <w:jc w:val="center"/>
        </w:trPr>
        <w:tc>
          <w:tcPr>
            <w:tcW w:w="21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行政强制</w:t>
            </w:r>
          </w:p>
        </w:tc>
        <w:tc>
          <w:tcPr>
            <w:tcW w:w="6793"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CellMar>
            <w:top w:w="0" w:type="dxa"/>
            <w:left w:w="0" w:type="dxa"/>
            <w:bottom w:w="0" w:type="dxa"/>
            <w:right w:w="0" w:type="dxa"/>
          </w:tblCellMar>
        </w:tblPrEx>
        <w:trPr>
          <w:trHeight w:val="454" w:hRule="atLeast"/>
          <w:jc w:val="center"/>
        </w:trPr>
        <w:tc>
          <w:tcPr>
            <w:tcW w:w="8926"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第二十条第（八）项</w:t>
            </w:r>
          </w:p>
        </w:tc>
      </w:tr>
      <w:tr>
        <w:tblPrEx>
          <w:tblCellMar>
            <w:top w:w="0" w:type="dxa"/>
            <w:left w:w="0" w:type="dxa"/>
            <w:bottom w:w="0" w:type="dxa"/>
            <w:right w:w="0" w:type="dxa"/>
          </w:tblCellMar>
        </w:tblPrEx>
        <w:trPr>
          <w:trHeight w:val="454" w:hRule="atLeast"/>
          <w:jc w:val="center"/>
        </w:trPr>
        <w:tc>
          <w:tcPr>
            <w:tcW w:w="21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6793"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本年收费金额（单位：万元）</w:t>
            </w:r>
          </w:p>
        </w:tc>
      </w:tr>
      <w:tr>
        <w:tblPrEx>
          <w:tblCellMar>
            <w:top w:w="0" w:type="dxa"/>
            <w:left w:w="0" w:type="dxa"/>
            <w:bottom w:w="0" w:type="dxa"/>
            <w:right w:w="0" w:type="dxa"/>
          </w:tblCellMar>
        </w:tblPrEx>
        <w:trPr>
          <w:trHeight w:val="454" w:hRule="atLeast"/>
          <w:jc w:val="center"/>
        </w:trPr>
        <w:tc>
          <w:tcPr>
            <w:tcW w:w="21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行政事业性收费</w:t>
            </w:r>
          </w:p>
        </w:tc>
        <w:tc>
          <w:tcPr>
            <w:tcW w:w="6793"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keepNext w:val="0"/>
        <w:keepLines w:val="0"/>
        <w:pageBreakBefore w:val="0"/>
        <w:numPr>
          <w:ilvl w:val="0"/>
          <w:numId w:val="0"/>
        </w:numPr>
        <w:kinsoku/>
        <w:overflowPunct/>
        <w:topLinePunct w:val="0"/>
        <w:autoSpaceDE/>
        <w:autoSpaceDN/>
        <w:bidi w:val="0"/>
        <w:adjustRightInd/>
        <w:snapToGrid/>
        <w:spacing w:line="440" w:lineRule="exact"/>
        <w:ind w:firstLine="640" w:firstLineChars="200"/>
        <w:textAlignment w:val="auto"/>
        <w:rPr>
          <w:rFonts w:hint="eastAsia" w:ascii="黑体" w:hAnsi="黑体" w:eastAsia="黑体" w:cs="Times New Roman"/>
          <w:sz w:val="32"/>
          <w:szCs w:val="32"/>
          <w:lang w:eastAsia="zh-CN"/>
        </w:rPr>
      </w:pPr>
    </w:p>
    <w:p>
      <w:pPr>
        <w:keepNext w:val="0"/>
        <w:keepLines w:val="0"/>
        <w:pageBreakBefore w:val="0"/>
        <w:numPr>
          <w:ilvl w:val="0"/>
          <w:numId w:val="0"/>
        </w:numPr>
        <w:kinsoku/>
        <w:overflowPunct/>
        <w:topLinePunct w:val="0"/>
        <w:autoSpaceDE/>
        <w:autoSpaceDN/>
        <w:bidi w:val="0"/>
        <w:adjustRightInd/>
        <w:snapToGrid/>
        <w:spacing w:line="44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lang w:eastAsia="zh-CN"/>
        </w:rPr>
        <w:t>三</w:t>
      </w:r>
      <w:r>
        <w:rPr>
          <w:rFonts w:hint="eastAsia" w:ascii="黑体" w:hAnsi="黑体" w:eastAsia="黑体" w:cs="Times New Roman"/>
          <w:sz w:val="32"/>
          <w:szCs w:val="32"/>
        </w:rPr>
        <w:t>、收到和处理政府信息公开申请情况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5"/>
        <w:gridCol w:w="1028"/>
        <w:gridCol w:w="3551"/>
        <w:gridCol w:w="619"/>
        <w:gridCol w:w="619"/>
        <w:gridCol w:w="619"/>
        <w:gridCol w:w="619"/>
        <w:gridCol w:w="619"/>
        <w:gridCol w:w="619"/>
        <w:gridCol w:w="6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4958"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（本列数据的勾稽关系为：第一项加第二项之和，等于第三项加第四项之和）</w:t>
            </w:r>
          </w:p>
        </w:tc>
        <w:tc>
          <w:tcPr>
            <w:tcW w:w="56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kern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495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567" w:type="dxa"/>
            <w:vMerge w:val="restart"/>
            <w:tcBorders>
              <w:top w:val="nil"/>
              <w:left w:val="nil"/>
              <w:bottom w:val="single" w:color="auto" w:sz="8" w:space="0"/>
              <w:right w:val="single" w:color="auto" w:sz="8" w:space="0"/>
            </w:tcBorders>
            <w:shd w:val="clear" w:color="auto" w:fill="auto"/>
            <w:tcMar>
              <w:left w:w="57" w:type="dxa"/>
              <w:right w:w="57" w:type="dxa"/>
            </w:tcMar>
            <w:textDirection w:val="tbLrV"/>
            <w:vAlign w:val="center"/>
          </w:tcPr>
          <w:p>
            <w:pPr>
              <w:keepNext w:val="0"/>
              <w:keepLines w:val="0"/>
              <w:pageBreakBefore w:val="0"/>
              <w:widowControl/>
              <w:kinsoku/>
              <w:wordWrap w:val="0"/>
              <w:overflowPunct/>
              <w:topLinePunct w:val="0"/>
              <w:autoSpaceDE/>
              <w:autoSpaceDN/>
              <w:bidi w:val="0"/>
              <w:adjustRightInd/>
              <w:snapToGrid/>
              <w:spacing w:line="440" w:lineRule="exact"/>
              <w:ind w:left="113" w:right="113"/>
              <w:jc w:val="center"/>
              <w:textAlignment w:val="auto"/>
              <w:rPr>
                <w:rFonts w:hint="eastAsia" w:ascii="仿宋" w:hAnsi="仿宋" w:eastAsia="仿宋" w:cs="仿宋"/>
                <w:sz w:val="24"/>
                <w:szCs w:val="24"/>
              </w:rPr>
            </w:pPr>
            <w:r>
              <w:rPr>
                <w:rFonts w:hint="eastAsia" w:ascii="仿宋" w:hAnsi="仿宋" w:eastAsia="仿宋" w:cs="仿宋"/>
                <w:kern w:val="0"/>
                <w:sz w:val="24"/>
                <w:szCs w:val="24"/>
              </w:rPr>
              <w:t>自然人</w:t>
            </w:r>
          </w:p>
        </w:tc>
        <w:tc>
          <w:tcPr>
            <w:tcW w:w="56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kern w:val="0"/>
                <w:sz w:val="24"/>
                <w:szCs w:val="24"/>
              </w:rPr>
              <w:t>法人或其他组织</w:t>
            </w:r>
          </w:p>
        </w:tc>
        <w:tc>
          <w:tcPr>
            <w:tcW w:w="567"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5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567"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kern w:val="0"/>
                <w:sz w:val="24"/>
                <w:szCs w:val="24"/>
              </w:rPr>
              <w:t>商业企业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kern w:val="0"/>
                <w:sz w:val="24"/>
                <w:szCs w:val="24"/>
              </w:rPr>
              <w:t>科研</w:t>
            </w:r>
          </w:p>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kern w:val="0"/>
                <w:sz w:val="24"/>
                <w:szCs w:val="24"/>
              </w:rPr>
              <w:t>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kern w:val="0"/>
                <w:sz w:val="24"/>
                <w:szCs w:val="24"/>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kern w:val="0"/>
                <w:sz w:val="24"/>
                <w:szCs w:val="24"/>
              </w:rPr>
              <w:t>法律服务机构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kern w:val="0"/>
                <w:sz w:val="24"/>
                <w:szCs w:val="24"/>
              </w:rPr>
              <w:t>其他</w:t>
            </w:r>
          </w:p>
        </w:tc>
        <w:tc>
          <w:tcPr>
            <w:tcW w:w="567"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495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一、本年新收政府信息公开申请数量</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495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二、上年结转政府信息公开申请数量</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三、本年度办理结果</w:t>
            </w:r>
          </w:p>
        </w:tc>
        <w:tc>
          <w:tcPr>
            <w:tcW w:w="419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（一）予以公开</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419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（二）部分公开（区分处理的，只计这一情形，不计其他情形）</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（三）不予公开</w:t>
            </w:r>
          </w:p>
        </w:tc>
        <w:tc>
          <w:tcPr>
            <w:tcW w:w="3252"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1.属于国家秘密</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3252"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2.其他法律行政法规禁止公开</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3252"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3.危及“三安全一稳定”</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3252"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4.保护第三方合法权益</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3252"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5.属于三类内部事务信息</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3252"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6.属于四类过程性信息</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3252"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7.属于行政执法案卷</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3252"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8.属于行政查询事项</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（四）无法提供</w:t>
            </w:r>
          </w:p>
        </w:tc>
        <w:tc>
          <w:tcPr>
            <w:tcW w:w="3252"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1.本机关不掌握相关政府信息</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3252"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2.没有现成信息需要另行制作</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3252"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3.补正后申请内容仍不明确</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（五）不予处理</w:t>
            </w:r>
          </w:p>
        </w:tc>
        <w:tc>
          <w:tcPr>
            <w:tcW w:w="3252"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1.信访举报投诉类申请</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3252"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2.重复申请</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3252"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3.要求提供公开出版物</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3252"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4.无正当理由大量反复申请</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325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kern w:val="0"/>
                <w:sz w:val="24"/>
                <w:szCs w:val="24"/>
              </w:rPr>
              <w:t>5.要求行政机关确认或重新出具已获取信息</w:t>
            </w:r>
          </w:p>
        </w:tc>
        <w:tc>
          <w:tcPr>
            <w:tcW w:w="56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（六）其他处理</w:t>
            </w:r>
          </w:p>
        </w:tc>
        <w:tc>
          <w:tcPr>
            <w:tcW w:w="32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kern w:val="0"/>
                <w:sz w:val="24"/>
                <w:szCs w:val="24"/>
              </w:rPr>
              <w:t>1.申请人无正当理由逾期不补正、行政机关不再处理其政府信息公开申请</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32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kern w:val="0"/>
                <w:sz w:val="24"/>
                <w:szCs w:val="24"/>
              </w:rPr>
              <w:t>2.申请人逾期未按收费通知要求缴纳费用、行政机关不再处理其政府信息公开申请</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325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3.其他</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textAlignment w:val="auto"/>
              <w:rPr>
                <w:rFonts w:hint="eastAsia" w:ascii="仿宋" w:hAnsi="仿宋" w:eastAsia="仿宋" w:cs="仿宋"/>
                <w:sz w:val="24"/>
                <w:szCs w:val="24"/>
              </w:rPr>
            </w:pPr>
          </w:p>
        </w:tc>
        <w:tc>
          <w:tcPr>
            <w:tcW w:w="419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（七）总计</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495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rPr>
              <w:t>四、结转下年度继续办理</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6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keepNext w:val="0"/>
        <w:keepLines w:val="0"/>
        <w:pageBreakBefore w:val="0"/>
        <w:kinsoku/>
        <w:overflowPunct/>
        <w:topLinePunct w:val="0"/>
        <w:autoSpaceDE/>
        <w:autoSpaceDN/>
        <w:bidi w:val="0"/>
        <w:adjustRightInd/>
        <w:snapToGrid/>
        <w:spacing w:line="480" w:lineRule="exact"/>
        <w:ind w:firstLine="640" w:firstLineChars="200"/>
        <w:textAlignment w:val="auto"/>
        <w:rPr>
          <w:rFonts w:hint="eastAsia" w:ascii="黑体" w:hAnsi="黑体" w:eastAsia="黑体" w:cs="Times New Roman"/>
          <w:sz w:val="32"/>
          <w:szCs w:val="32"/>
        </w:rPr>
      </w:pPr>
    </w:p>
    <w:p>
      <w:pPr>
        <w:keepNext w:val="0"/>
        <w:keepLines w:val="0"/>
        <w:pageBreakBefore w:val="0"/>
        <w:kinsoku/>
        <w:overflowPunct/>
        <w:topLinePunct w:val="0"/>
        <w:autoSpaceDE/>
        <w:autoSpaceDN/>
        <w:bidi w:val="0"/>
        <w:adjustRightInd/>
        <w:snapToGrid/>
        <w:spacing w:line="48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13"/>
        <w:gridCol w:w="513"/>
        <w:gridCol w:w="514"/>
        <w:gridCol w:w="514"/>
        <w:gridCol w:w="514"/>
        <w:gridCol w:w="769"/>
        <w:gridCol w:w="769"/>
        <w:gridCol w:w="769"/>
        <w:gridCol w:w="769"/>
        <w:gridCol w:w="514"/>
        <w:gridCol w:w="769"/>
        <w:gridCol w:w="769"/>
        <w:gridCol w:w="769"/>
        <w:gridCol w:w="769"/>
        <w:gridCol w:w="5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5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行政复议</w:t>
            </w:r>
          </w:p>
        </w:tc>
        <w:tc>
          <w:tcPr>
            <w:tcW w:w="454"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结果维持</w:t>
            </w:r>
          </w:p>
        </w:tc>
        <w:tc>
          <w:tcPr>
            <w:tcW w:w="45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结果纠正</w:t>
            </w:r>
          </w:p>
        </w:tc>
        <w:tc>
          <w:tcPr>
            <w:tcW w:w="45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其他结果</w:t>
            </w:r>
          </w:p>
        </w:tc>
        <w:tc>
          <w:tcPr>
            <w:tcW w:w="45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尚未审结</w:t>
            </w:r>
          </w:p>
        </w:tc>
        <w:tc>
          <w:tcPr>
            <w:tcW w:w="45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总计</w:t>
            </w:r>
          </w:p>
        </w:tc>
        <w:tc>
          <w:tcPr>
            <w:tcW w:w="45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未经复议直接起诉</w:t>
            </w:r>
          </w:p>
        </w:tc>
        <w:tc>
          <w:tcPr>
            <w:tcW w:w="45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80" w:lineRule="exact"/>
              <w:textAlignment w:val="auto"/>
              <w:rPr>
                <w:rFonts w:hint="eastAsia" w:ascii="仿宋" w:hAnsi="仿宋" w:eastAsia="仿宋" w:cs="仿宋"/>
                <w:sz w:val="21"/>
                <w:szCs w:val="21"/>
              </w:rPr>
            </w:pPr>
          </w:p>
        </w:tc>
        <w:tc>
          <w:tcPr>
            <w:tcW w:w="45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80" w:lineRule="exact"/>
              <w:textAlignment w:val="auto"/>
              <w:rPr>
                <w:rFonts w:hint="eastAsia" w:ascii="仿宋" w:hAnsi="仿宋" w:eastAsia="仿宋" w:cs="仿宋"/>
                <w:sz w:val="21"/>
                <w:szCs w:val="21"/>
              </w:rPr>
            </w:pPr>
          </w:p>
        </w:tc>
        <w:tc>
          <w:tcPr>
            <w:tcW w:w="45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80" w:lineRule="exact"/>
              <w:textAlignment w:val="auto"/>
              <w:rPr>
                <w:rFonts w:hint="eastAsia" w:ascii="仿宋" w:hAnsi="仿宋" w:eastAsia="仿宋" w:cs="仿宋"/>
                <w:sz w:val="21"/>
                <w:szCs w:val="21"/>
              </w:rPr>
            </w:pPr>
          </w:p>
        </w:tc>
        <w:tc>
          <w:tcPr>
            <w:tcW w:w="45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80" w:lineRule="exact"/>
              <w:textAlignment w:val="auto"/>
              <w:rPr>
                <w:rFonts w:hint="eastAsia" w:ascii="仿宋" w:hAnsi="仿宋" w:eastAsia="仿宋" w:cs="仿宋"/>
                <w:sz w:val="21"/>
                <w:szCs w:val="21"/>
              </w:rPr>
            </w:pPr>
          </w:p>
        </w:tc>
        <w:tc>
          <w:tcPr>
            <w:tcW w:w="45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80" w:lineRule="exact"/>
              <w:textAlignment w:val="auto"/>
              <w:rPr>
                <w:rFonts w:hint="eastAsia" w:ascii="仿宋" w:hAnsi="仿宋" w:eastAsia="仿宋" w:cs="仿宋"/>
                <w:sz w:val="21"/>
                <w:szCs w:val="21"/>
              </w:rPr>
            </w:pPr>
          </w:p>
        </w:tc>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结果维持</w:t>
            </w:r>
          </w:p>
        </w:tc>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结果纠正</w:t>
            </w:r>
          </w:p>
        </w:tc>
        <w:tc>
          <w:tcPr>
            <w:tcW w:w="6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其他结果</w:t>
            </w:r>
          </w:p>
        </w:tc>
        <w:tc>
          <w:tcPr>
            <w:tcW w:w="6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尚未审结</w:t>
            </w:r>
          </w:p>
        </w:tc>
        <w:tc>
          <w:tcPr>
            <w:tcW w:w="45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rPr>
              <w:t>总计</w:t>
            </w:r>
          </w:p>
        </w:tc>
        <w:tc>
          <w:tcPr>
            <w:tcW w:w="6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结果维持</w:t>
            </w:r>
          </w:p>
        </w:tc>
        <w:tc>
          <w:tcPr>
            <w:tcW w:w="6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结果纠正</w:t>
            </w:r>
          </w:p>
        </w:tc>
        <w:tc>
          <w:tcPr>
            <w:tcW w:w="6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rPr>
              <w:t>其他结果</w:t>
            </w:r>
          </w:p>
        </w:tc>
        <w:tc>
          <w:tcPr>
            <w:tcW w:w="6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rPr>
              <w:t>尚未审结</w:t>
            </w:r>
          </w:p>
        </w:tc>
        <w:tc>
          <w:tcPr>
            <w:tcW w:w="45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4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4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4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4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4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4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6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48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45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48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r>
    </w:tbl>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cs="Times New Roman"/>
          <w:sz w:val="32"/>
          <w:szCs w:val="32"/>
        </w:rPr>
      </w:pPr>
      <w:r>
        <w:rPr>
          <w:rFonts w:hint="eastAsia" w:ascii="黑体" w:hAnsi="黑体" w:eastAsia="黑体" w:cs="Times New Roman"/>
          <w:sz w:val="32"/>
          <w:szCs w:val="32"/>
        </w:rPr>
        <w:t>五、存在的主要问题及改进情况</w:t>
      </w:r>
    </w:p>
    <w:p>
      <w:pPr>
        <w:pStyle w:val="9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（一）存在问题</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 w:eastAsia="仿宋_GB2312" w:cs="仿宋"/>
          <w:kern w:val="2"/>
          <w:sz w:val="32"/>
          <w:szCs w:val="32"/>
          <w:shd w:val="clear" w:color="auto" w:fill="FFFFFF"/>
          <w:lang w:val="en-US" w:eastAsia="zh-CN" w:bidi="ar-SA"/>
        </w:rPr>
      </w:pPr>
      <w:r>
        <w:rPr>
          <w:rFonts w:hint="default" w:ascii="仿宋_GB2312" w:hAnsi="仿宋" w:eastAsia="仿宋_GB2312" w:cs="仿宋"/>
          <w:kern w:val="2"/>
          <w:sz w:val="32"/>
          <w:szCs w:val="32"/>
          <w:shd w:val="clear" w:color="auto" w:fill="FFFFFF"/>
          <w:lang w:val="en-US" w:eastAsia="zh-CN" w:bidi="ar-SA"/>
        </w:rPr>
        <w:t>2021年我局</w:t>
      </w:r>
      <w:r>
        <w:rPr>
          <w:rFonts w:hint="eastAsia" w:ascii="仿宋_GB2312" w:hAnsi="仿宋" w:eastAsia="仿宋_GB2312" w:cs="仿宋"/>
          <w:kern w:val="2"/>
          <w:sz w:val="32"/>
          <w:szCs w:val="32"/>
          <w:shd w:val="clear" w:color="auto" w:fill="FFFFFF"/>
          <w:lang w:val="en-US" w:eastAsia="zh-CN" w:bidi="ar-SA"/>
        </w:rPr>
        <w:t>政务</w:t>
      </w:r>
      <w:r>
        <w:rPr>
          <w:rFonts w:hint="default" w:ascii="仿宋_GB2312" w:hAnsi="仿宋" w:eastAsia="仿宋_GB2312" w:cs="仿宋"/>
          <w:kern w:val="2"/>
          <w:sz w:val="32"/>
          <w:szCs w:val="32"/>
          <w:shd w:val="clear" w:color="auto" w:fill="FFFFFF"/>
          <w:lang w:val="en-US" w:eastAsia="zh-CN" w:bidi="ar-SA"/>
        </w:rPr>
        <w:t>公开工作虽然取得</w:t>
      </w:r>
      <w:r>
        <w:rPr>
          <w:rFonts w:hint="eastAsia" w:ascii="仿宋_GB2312" w:hAnsi="仿宋" w:eastAsia="仿宋_GB2312" w:cs="仿宋"/>
          <w:kern w:val="2"/>
          <w:sz w:val="32"/>
          <w:szCs w:val="32"/>
          <w:shd w:val="clear" w:color="auto" w:fill="FFFFFF"/>
          <w:lang w:val="en-US" w:eastAsia="zh-CN" w:bidi="ar-SA"/>
        </w:rPr>
        <w:t>一定成绩</w:t>
      </w:r>
      <w:r>
        <w:rPr>
          <w:rFonts w:hint="default" w:ascii="仿宋_GB2312" w:hAnsi="仿宋" w:eastAsia="仿宋_GB2312" w:cs="仿宋"/>
          <w:kern w:val="2"/>
          <w:sz w:val="32"/>
          <w:szCs w:val="32"/>
          <w:shd w:val="clear" w:color="auto" w:fill="FFFFFF"/>
          <w:lang w:val="en-US" w:eastAsia="zh-CN" w:bidi="ar-SA"/>
        </w:rPr>
        <w:t>，但对照新时代新阶段政务公开工作面临的新形势、新任务、新要求，仍存在</w:t>
      </w:r>
      <w:r>
        <w:rPr>
          <w:rFonts w:hint="eastAsia" w:ascii="仿宋_GB2312" w:hAnsi="仿宋" w:eastAsia="仿宋_GB2312" w:cs="仿宋"/>
          <w:kern w:val="2"/>
          <w:sz w:val="32"/>
          <w:szCs w:val="32"/>
          <w:shd w:val="clear" w:color="auto" w:fill="FFFFFF"/>
          <w:lang w:val="en-US" w:eastAsia="zh-CN" w:bidi="ar-SA"/>
        </w:rPr>
        <w:t>以下</w:t>
      </w:r>
      <w:r>
        <w:rPr>
          <w:rFonts w:hint="default" w:ascii="仿宋_GB2312" w:hAnsi="仿宋" w:eastAsia="仿宋_GB2312" w:cs="仿宋"/>
          <w:kern w:val="2"/>
          <w:sz w:val="32"/>
          <w:szCs w:val="32"/>
          <w:shd w:val="clear" w:color="auto" w:fill="FFFFFF"/>
          <w:lang w:val="en-US" w:eastAsia="zh-CN" w:bidi="ar-SA"/>
        </w:rPr>
        <w:t>一些问题：</w:t>
      </w:r>
    </w:p>
    <w:p>
      <w:pPr>
        <w:keepNext w:val="0"/>
        <w:keepLines w:val="0"/>
        <w:pageBreakBefore w:val="0"/>
        <w:numPr>
          <w:ilvl w:val="0"/>
          <w:numId w:val="2"/>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shd w:val="clear" w:color="auto" w:fill="FFFFFF"/>
          <w:lang w:val="en-US" w:eastAsia="zh-CN" w:bidi="ar-SA"/>
        </w:rPr>
      </w:pPr>
      <w:r>
        <w:rPr>
          <w:rFonts w:hint="eastAsia" w:ascii="仿宋_GB2312" w:hAnsi="仿宋" w:eastAsia="仿宋_GB2312" w:cs="仿宋"/>
          <w:kern w:val="2"/>
          <w:sz w:val="32"/>
          <w:szCs w:val="32"/>
          <w:shd w:val="clear" w:color="auto" w:fill="FFFFFF"/>
          <w:lang w:val="en-US" w:eastAsia="zh-CN" w:bidi="ar-SA"/>
        </w:rPr>
        <w:t>重大决策预公开有待加强。我局部分规范性</w:t>
      </w:r>
      <w:r>
        <w:rPr>
          <w:rFonts w:hint="default" w:ascii="仿宋_GB2312" w:hAnsi="仿宋" w:eastAsia="仿宋_GB2312" w:cs="仿宋"/>
          <w:kern w:val="2"/>
          <w:sz w:val="32"/>
          <w:szCs w:val="32"/>
          <w:shd w:val="clear" w:color="auto" w:fill="FFFFFF"/>
          <w:lang w:val="en-US" w:eastAsia="zh-CN" w:bidi="ar-SA"/>
        </w:rPr>
        <w:t>政策文件</w:t>
      </w:r>
      <w:r>
        <w:rPr>
          <w:rFonts w:hint="eastAsia" w:ascii="仿宋_GB2312" w:hAnsi="仿宋" w:eastAsia="仿宋_GB2312" w:cs="仿宋"/>
          <w:kern w:val="2"/>
          <w:sz w:val="32"/>
          <w:szCs w:val="32"/>
          <w:shd w:val="clear" w:color="auto" w:fill="FFFFFF"/>
          <w:lang w:val="en-US" w:eastAsia="zh-CN" w:bidi="ar-SA"/>
        </w:rPr>
        <w:t>的制定及</w:t>
      </w:r>
      <w:r>
        <w:rPr>
          <w:rFonts w:hint="default" w:ascii="仿宋_GB2312" w:hAnsi="仿宋" w:eastAsia="仿宋_GB2312" w:cs="仿宋"/>
          <w:kern w:val="2"/>
          <w:sz w:val="32"/>
          <w:szCs w:val="32"/>
          <w:shd w:val="clear" w:color="auto" w:fill="FFFFFF"/>
          <w:lang w:val="en-US" w:eastAsia="zh-CN" w:bidi="ar-SA"/>
        </w:rPr>
        <w:t>重大</w:t>
      </w:r>
      <w:r>
        <w:rPr>
          <w:rFonts w:hint="eastAsia" w:ascii="仿宋_GB2312" w:hAnsi="仿宋" w:eastAsia="仿宋_GB2312" w:cs="仿宋"/>
          <w:kern w:val="2"/>
          <w:sz w:val="32"/>
          <w:szCs w:val="32"/>
          <w:shd w:val="clear" w:color="auto" w:fill="FFFFFF"/>
          <w:lang w:val="en-US" w:eastAsia="zh-CN" w:bidi="ar-SA"/>
        </w:rPr>
        <w:t>决策</w:t>
      </w:r>
      <w:r>
        <w:rPr>
          <w:rFonts w:hint="default" w:ascii="仿宋_GB2312" w:hAnsi="仿宋" w:eastAsia="仿宋_GB2312" w:cs="仿宋"/>
          <w:kern w:val="2"/>
          <w:sz w:val="32"/>
          <w:szCs w:val="32"/>
          <w:shd w:val="clear" w:color="auto" w:fill="FFFFFF"/>
          <w:lang w:val="en-US" w:eastAsia="zh-CN" w:bidi="ar-SA"/>
        </w:rPr>
        <w:t>在决策前</w:t>
      </w:r>
      <w:r>
        <w:rPr>
          <w:rFonts w:hint="eastAsia" w:ascii="仿宋_GB2312" w:hAnsi="仿宋" w:eastAsia="仿宋_GB2312" w:cs="仿宋"/>
          <w:kern w:val="2"/>
          <w:sz w:val="32"/>
          <w:szCs w:val="32"/>
          <w:shd w:val="clear" w:color="auto" w:fill="FFFFFF"/>
          <w:lang w:val="en-US" w:eastAsia="zh-CN" w:bidi="ar-SA"/>
        </w:rPr>
        <w:t>未及时</w:t>
      </w:r>
      <w:r>
        <w:rPr>
          <w:rFonts w:hint="default" w:ascii="仿宋_GB2312" w:hAnsi="仿宋" w:eastAsia="仿宋_GB2312" w:cs="仿宋"/>
          <w:kern w:val="2"/>
          <w:sz w:val="32"/>
          <w:szCs w:val="32"/>
          <w:shd w:val="clear" w:color="auto" w:fill="FFFFFF"/>
          <w:lang w:val="en-US" w:eastAsia="zh-CN" w:bidi="ar-SA"/>
        </w:rPr>
        <w:t>向社会</w:t>
      </w:r>
      <w:r>
        <w:rPr>
          <w:rFonts w:hint="eastAsia" w:ascii="仿宋_GB2312" w:hAnsi="仿宋" w:eastAsia="仿宋_GB2312" w:cs="仿宋"/>
          <w:kern w:val="2"/>
          <w:sz w:val="32"/>
          <w:szCs w:val="32"/>
          <w:shd w:val="clear" w:color="auto" w:fill="FFFFFF"/>
          <w:lang w:val="en-US" w:eastAsia="zh-CN" w:bidi="ar-SA"/>
        </w:rPr>
        <w:t>公布意见征集及意见反馈；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 w:eastAsia="仿宋_GB2312" w:cs="仿宋"/>
          <w:kern w:val="2"/>
          <w:sz w:val="32"/>
          <w:szCs w:val="32"/>
          <w:shd w:val="clear" w:color="auto" w:fill="FFFFFF"/>
          <w:lang w:val="en-US" w:eastAsia="zh-CN" w:bidi="ar-SA"/>
        </w:rPr>
      </w:pPr>
      <w:r>
        <w:rPr>
          <w:rFonts w:hint="eastAsia" w:ascii="仿宋_GB2312" w:hAnsi="宋体" w:eastAsia="仿宋_GB2312" w:cs="宋体"/>
          <w:kern w:val="0"/>
          <w:sz w:val="32"/>
          <w:szCs w:val="32"/>
          <w:shd w:val="clear" w:color="auto" w:fill="FFFFFF"/>
          <w:lang w:val="en-US" w:eastAsia="zh-CN"/>
        </w:rPr>
        <w:t>2、政策解读质量还有待加强。</w:t>
      </w:r>
      <w:r>
        <w:rPr>
          <w:rFonts w:hint="eastAsia" w:ascii="仿宋_GB2312" w:hAnsi="宋体" w:eastAsia="仿宋_GB2312" w:cs="宋体"/>
          <w:kern w:val="0"/>
          <w:sz w:val="32"/>
          <w:szCs w:val="32"/>
          <w:shd w:val="clear" w:color="auto" w:fill="FFFFFF"/>
        </w:rPr>
        <w:t>解读形式比较单一，以文字解读为主，视频、图文等途径解读方式不多</w:t>
      </w:r>
      <w:r>
        <w:rPr>
          <w:rFonts w:hint="eastAsia" w:ascii="仿宋_GB2312" w:hAnsi="宋体" w:eastAsia="仿宋_GB2312" w:cs="宋体"/>
          <w:kern w:val="0"/>
          <w:sz w:val="32"/>
          <w:szCs w:val="32"/>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shd w:val="clear" w:color="auto" w:fill="FFFFFF"/>
          <w:lang w:val="en-US" w:eastAsia="zh-CN" w:bidi="ar-SA"/>
        </w:rPr>
      </w:pPr>
      <w:r>
        <w:rPr>
          <w:rFonts w:hint="eastAsia" w:ascii="仿宋_GB2312" w:hAnsi="宋体" w:eastAsia="仿宋_GB2312" w:cs="宋体"/>
          <w:kern w:val="0"/>
          <w:sz w:val="32"/>
          <w:szCs w:val="32"/>
          <w:shd w:val="clear" w:color="auto" w:fill="FFFFFF"/>
          <w:lang w:val="en-US" w:eastAsia="zh-CN"/>
        </w:rPr>
        <w:t>3、</w:t>
      </w:r>
      <w:r>
        <w:rPr>
          <w:rFonts w:hint="eastAsia" w:ascii="仿宋_GB2312" w:hAnsi="宋体" w:eastAsia="仿宋_GB2312" w:cs="宋体"/>
          <w:kern w:val="0"/>
          <w:sz w:val="32"/>
          <w:szCs w:val="32"/>
          <w:shd w:val="clear" w:color="auto" w:fill="FFFFFF"/>
        </w:rPr>
        <w:t>政务公开工作力量薄弱，队伍建设有待加强</w:t>
      </w:r>
      <w:r>
        <w:rPr>
          <w:rFonts w:hint="eastAsia" w:ascii="仿宋_GB2312" w:hAnsi="宋体" w:eastAsia="仿宋_GB2312" w:cs="宋体"/>
          <w:kern w:val="0"/>
          <w:sz w:val="32"/>
          <w:szCs w:val="32"/>
          <w:shd w:val="clear" w:color="auto" w:fill="FFFFFF"/>
          <w:lang w:eastAsia="zh-CN"/>
        </w:rPr>
        <w:t>。</w:t>
      </w:r>
      <w:r>
        <w:rPr>
          <w:rFonts w:hint="eastAsia" w:ascii="仿宋_GB2312" w:hAnsi="宋体" w:eastAsia="仿宋_GB2312" w:cs="宋体"/>
          <w:kern w:val="0"/>
          <w:sz w:val="32"/>
          <w:szCs w:val="32"/>
          <w:shd w:val="clear" w:color="auto" w:fill="FFFFFF"/>
        </w:rPr>
        <w:t>我局政府信息公开工作人员较少，工作量大、任务重，需要加大人员配置</w:t>
      </w:r>
      <w:r>
        <w:rPr>
          <w:rFonts w:hint="eastAsia" w:ascii="仿宋_GB2312" w:hAnsi="宋体" w:eastAsia="仿宋_GB2312" w:cs="宋体"/>
          <w:kern w:val="0"/>
          <w:sz w:val="32"/>
          <w:szCs w:val="32"/>
          <w:shd w:val="clear" w:color="auto" w:fill="FFFFFF"/>
          <w:lang w:eastAsia="zh-CN"/>
        </w:rPr>
        <w:t>；</w:t>
      </w:r>
      <w:r>
        <w:rPr>
          <w:rFonts w:hint="eastAsia" w:ascii="仿宋_GB2312" w:hAnsi="宋体" w:eastAsia="仿宋_GB2312" w:cs="宋体"/>
          <w:kern w:val="0"/>
          <w:sz w:val="32"/>
          <w:szCs w:val="32"/>
          <w:shd w:val="clear" w:color="auto" w:fill="FFFFFF"/>
        </w:rPr>
        <w:t>信息公开工作组织不够紧密，各</w:t>
      </w:r>
      <w:r>
        <w:rPr>
          <w:rFonts w:hint="eastAsia" w:ascii="仿宋_GB2312" w:hAnsi="宋体" w:eastAsia="仿宋_GB2312" w:cs="宋体"/>
          <w:kern w:val="0"/>
          <w:sz w:val="32"/>
          <w:szCs w:val="32"/>
          <w:shd w:val="clear" w:color="auto" w:fill="FFFFFF"/>
          <w:lang w:eastAsia="zh-CN"/>
        </w:rPr>
        <w:t>股</w:t>
      </w:r>
      <w:r>
        <w:rPr>
          <w:rFonts w:hint="eastAsia" w:ascii="仿宋_GB2312" w:hAnsi="宋体" w:eastAsia="仿宋_GB2312" w:cs="宋体"/>
          <w:kern w:val="0"/>
          <w:sz w:val="32"/>
          <w:szCs w:val="32"/>
          <w:shd w:val="clear" w:color="auto" w:fill="FFFFFF"/>
        </w:rPr>
        <w:t>室、</w:t>
      </w:r>
      <w:r>
        <w:rPr>
          <w:rFonts w:hint="eastAsia" w:ascii="仿宋_GB2312" w:hAnsi="宋体" w:eastAsia="仿宋_GB2312" w:cs="宋体"/>
          <w:kern w:val="0"/>
          <w:sz w:val="32"/>
          <w:szCs w:val="32"/>
          <w:shd w:val="clear" w:color="auto" w:fill="FFFFFF"/>
          <w:lang w:eastAsia="zh-CN"/>
        </w:rPr>
        <w:t>局属单位</w:t>
      </w:r>
      <w:r>
        <w:rPr>
          <w:rFonts w:hint="eastAsia" w:ascii="仿宋_GB2312" w:hAnsi="宋体" w:eastAsia="仿宋_GB2312" w:cs="宋体"/>
          <w:kern w:val="0"/>
          <w:sz w:val="32"/>
          <w:szCs w:val="32"/>
          <w:shd w:val="clear" w:color="auto" w:fill="FFFFFF"/>
        </w:rPr>
        <w:t>工作中协调配合不够</w:t>
      </w:r>
      <w:r>
        <w:rPr>
          <w:rFonts w:hint="eastAsia" w:ascii="仿宋_GB2312" w:hAnsi="仿宋" w:eastAsia="仿宋_GB2312" w:cs="仿宋"/>
          <w:kern w:val="2"/>
          <w:sz w:val="32"/>
          <w:szCs w:val="32"/>
          <w:shd w:val="clear" w:color="auto" w:fill="FFFFFF"/>
          <w:lang w:val="en-US" w:eastAsia="zh-CN" w:bidi="ar-SA"/>
        </w:rPr>
        <w:t>。</w:t>
      </w:r>
    </w:p>
    <w:p>
      <w:pPr>
        <w:pStyle w:val="9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（二）改进措施</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 w:eastAsia="仿宋_GB2312" w:cs="仿宋"/>
          <w:kern w:val="2"/>
          <w:sz w:val="32"/>
          <w:szCs w:val="32"/>
          <w:shd w:val="clear" w:color="auto" w:fill="FFFFFF"/>
          <w:lang w:val="en-US" w:eastAsia="zh-CN" w:bidi="ar-SA"/>
        </w:rPr>
      </w:pPr>
      <w:r>
        <w:rPr>
          <w:rFonts w:hint="default" w:ascii="仿宋_GB2312" w:hAnsi="仿宋" w:eastAsia="仿宋_GB2312" w:cs="仿宋"/>
          <w:kern w:val="2"/>
          <w:sz w:val="32"/>
          <w:szCs w:val="32"/>
          <w:shd w:val="clear" w:color="auto" w:fill="FFFFFF"/>
          <w:lang w:val="en-US" w:eastAsia="zh-CN" w:bidi="ar-SA"/>
        </w:rPr>
        <w:t>针对上述问题，我局将进一步贯彻落实</w:t>
      </w:r>
      <w:r>
        <w:rPr>
          <w:rFonts w:hint="eastAsia" w:ascii="仿宋_GB2312" w:hAnsi="仿宋" w:eastAsia="仿宋_GB2312" w:cs="仿宋"/>
          <w:sz w:val="32"/>
          <w:szCs w:val="32"/>
          <w:shd w:val="clear" w:color="auto" w:fill="FFFFFF"/>
        </w:rPr>
        <w:t>《中华人民共和国政府信息公开条例》</w:t>
      </w:r>
      <w:r>
        <w:rPr>
          <w:rFonts w:hint="default" w:ascii="仿宋_GB2312" w:hAnsi="仿宋" w:eastAsia="仿宋_GB2312" w:cs="仿宋"/>
          <w:kern w:val="2"/>
          <w:sz w:val="32"/>
          <w:szCs w:val="32"/>
          <w:shd w:val="clear" w:color="auto" w:fill="FFFFFF"/>
          <w:lang w:val="en-US" w:eastAsia="zh-CN" w:bidi="ar-SA"/>
        </w:rPr>
        <w:t>要求，继续大力推进政务公开工作，重点做好以下几个方面的工作：</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 w:eastAsia="仿宋_GB2312" w:cs="仿宋"/>
          <w:kern w:val="2"/>
          <w:sz w:val="32"/>
          <w:szCs w:val="32"/>
          <w:shd w:val="clear" w:color="auto" w:fill="FFFFFF"/>
          <w:lang w:val="en-US" w:eastAsia="zh-CN" w:bidi="ar-SA"/>
        </w:rPr>
      </w:pPr>
      <w:r>
        <w:rPr>
          <w:rFonts w:hint="eastAsia" w:ascii="仿宋_GB2312" w:hAnsi="仿宋" w:eastAsia="仿宋_GB2312" w:cs="仿宋"/>
          <w:kern w:val="2"/>
          <w:sz w:val="32"/>
          <w:szCs w:val="32"/>
          <w:shd w:val="clear" w:color="auto" w:fill="FFFFFF"/>
          <w:lang w:val="en-US" w:eastAsia="zh-CN" w:bidi="ar-SA"/>
        </w:rPr>
        <w:t>1、规范政策性文件制定程序。我局对规范性</w:t>
      </w:r>
      <w:r>
        <w:rPr>
          <w:rFonts w:hint="default" w:ascii="仿宋_GB2312" w:hAnsi="仿宋" w:eastAsia="仿宋_GB2312" w:cs="仿宋"/>
          <w:kern w:val="2"/>
          <w:sz w:val="32"/>
          <w:szCs w:val="32"/>
          <w:shd w:val="clear" w:color="auto" w:fill="FFFFFF"/>
          <w:lang w:val="en-US" w:eastAsia="zh-CN" w:bidi="ar-SA"/>
        </w:rPr>
        <w:t>政策文件</w:t>
      </w:r>
      <w:r>
        <w:rPr>
          <w:rFonts w:hint="eastAsia" w:ascii="仿宋_GB2312" w:hAnsi="仿宋" w:eastAsia="仿宋_GB2312" w:cs="仿宋"/>
          <w:kern w:val="2"/>
          <w:sz w:val="32"/>
          <w:szCs w:val="32"/>
          <w:shd w:val="clear" w:color="auto" w:fill="FFFFFF"/>
          <w:lang w:val="en-US" w:eastAsia="zh-CN" w:bidi="ar-SA"/>
        </w:rPr>
        <w:t>的制定及</w:t>
      </w:r>
      <w:r>
        <w:rPr>
          <w:rFonts w:hint="default" w:ascii="仿宋_GB2312" w:hAnsi="仿宋" w:eastAsia="仿宋_GB2312" w:cs="仿宋"/>
          <w:kern w:val="2"/>
          <w:sz w:val="32"/>
          <w:szCs w:val="32"/>
          <w:shd w:val="clear" w:color="auto" w:fill="FFFFFF"/>
          <w:lang w:val="en-US" w:eastAsia="zh-CN" w:bidi="ar-SA"/>
        </w:rPr>
        <w:t>重大</w:t>
      </w:r>
      <w:r>
        <w:rPr>
          <w:rFonts w:hint="eastAsia" w:ascii="仿宋_GB2312" w:hAnsi="仿宋" w:eastAsia="仿宋_GB2312" w:cs="仿宋"/>
          <w:kern w:val="2"/>
          <w:sz w:val="32"/>
          <w:szCs w:val="32"/>
          <w:shd w:val="clear" w:color="auto" w:fill="FFFFFF"/>
          <w:lang w:val="en-US" w:eastAsia="zh-CN" w:bidi="ar-SA"/>
        </w:rPr>
        <w:t>决策，将严格按照</w:t>
      </w:r>
      <w:r>
        <w:rPr>
          <w:rFonts w:hint="eastAsia" w:ascii="仿宋_GB2312" w:hAnsi="仿宋" w:eastAsia="仿宋_GB2312" w:cs="仿宋"/>
          <w:sz w:val="32"/>
          <w:szCs w:val="32"/>
          <w:shd w:val="clear" w:color="auto" w:fill="FFFFFF"/>
        </w:rPr>
        <w:t>《</w:t>
      </w:r>
      <w:r>
        <w:rPr>
          <w:rFonts w:hint="eastAsia" w:ascii="仿宋_GB2312" w:hAnsi="仿宋" w:eastAsia="仿宋_GB2312" w:cs="仿宋"/>
          <w:kern w:val="2"/>
          <w:sz w:val="32"/>
          <w:szCs w:val="32"/>
          <w:shd w:val="clear" w:color="auto" w:fill="FFFFFF"/>
          <w:lang w:val="en-US" w:eastAsia="zh-CN" w:bidi="ar-SA"/>
        </w:rPr>
        <w:t>舒城县行政机关规范性文件制定程序规定</w:t>
      </w:r>
      <w:r>
        <w:rPr>
          <w:rFonts w:hint="eastAsia" w:ascii="仿宋_GB2312" w:hAnsi="仿宋" w:eastAsia="仿宋_GB2312" w:cs="仿宋"/>
          <w:sz w:val="32"/>
          <w:szCs w:val="32"/>
          <w:shd w:val="clear" w:color="auto" w:fill="FFFFFF"/>
        </w:rPr>
        <w:t>》</w:t>
      </w:r>
      <w:r>
        <w:rPr>
          <w:rFonts w:hint="eastAsia" w:ascii="仿宋_GB2312" w:hAnsi="仿宋" w:eastAsia="仿宋_GB2312" w:cs="仿宋"/>
          <w:sz w:val="32"/>
          <w:szCs w:val="32"/>
          <w:shd w:val="clear" w:color="auto" w:fill="FFFFFF"/>
          <w:lang w:eastAsia="zh-CN"/>
        </w:rPr>
        <w:t>的规定，</w:t>
      </w:r>
      <w:r>
        <w:rPr>
          <w:rFonts w:hint="eastAsia" w:ascii="仿宋_GB2312" w:hAnsi="仿宋" w:eastAsia="仿宋_GB2312" w:cs="仿宋"/>
          <w:kern w:val="2"/>
          <w:sz w:val="32"/>
          <w:szCs w:val="32"/>
          <w:shd w:val="clear" w:color="auto" w:fill="FFFFFF"/>
          <w:lang w:val="en-US" w:eastAsia="zh-CN" w:bidi="ar-SA"/>
        </w:rPr>
        <w:t>依法履行立项、起草、审查、决定、公布等法定程序；在决策前向社会公布意见征集（决策草案、决策依据，意见征集时间、反馈渠道）及意见反馈（意见采纳情况及意见未予采纳的原因）。</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0" w:firstLineChars="200"/>
        <w:jc w:val="both"/>
        <w:textAlignment w:val="auto"/>
        <w:rPr>
          <w:rFonts w:ascii="仿宋_GB2312" w:hAnsi="宋体" w:eastAsia="仿宋_GB2312" w:cs="宋体"/>
          <w:kern w:val="0"/>
          <w:sz w:val="32"/>
          <w:szCs w:val="32"/>
          <w:shd w:val="clear" w:color="auto" w:fill="FFFFFF"/>
        </w:rPr>
      </w:pPr>
      <w:r>
        <w:rPr>
          <w:rFonts w:hint="eastAsia" w:ascii="仿宋_GB2312" w:hAnsi="仿宋" w:eastAsia="仿宋_GB2312" w:cs="仿宋"/>
          <w:kern w:val="2"/>
          <w:sz w:val="32"/>
          <w:szCs w:val="32"/>
          <w:shd w:val="clear" w:color="auto" w:fill="FFFFFF"/>
          <w:lang w:val="en-US" w:eastAsia="zh-CN" w:bidi="ar-SA"/>
        </w:rPr>
        <w:t>2、</w:t>
      </w:r>
      <w:r>
        <w:rPr>
          <w:rFonts w:ascii="仿宋_GB2312" w:hAnsi="宋体" w:eastAsia="仿宋_GB2312" w:cs="宋体"/>
          <w:kern w:val="0"/>
          <w:sz w:val="32"/>
          <w:szCs w:val="32"/>
          <w:shd w:val="clear" w:color="auto" w:fill="FFFFFF"/>
        </w:rPr>
        <w:t>加大</w:t>
      </w:r>
      <w:r>
        <w:rPr>
          <w:rFonts w:hint="eastAsia" w:ascii="仿宋_GB2312" w:hAnsi="宋体" w:eastAsia="仿宋_GB2312" w:cs="宋体"/>
          <w:kern w:val="0"/>
          <w:sz w:val="32"/>
          <w:szCs w:val="32"/>
          <w:shd w:val="clear" w:color="auto" w:fill="FFFFFF"/>
        </w:rPr>
        <w:t>政策</w:t>
      </w:r>
      <w:r>
        <w:rPr>
          <w:rFonts w:ascii="仿宋_GB2312" w:hAnsi="宋体" w:eastAsia="仿宋_GB2312" w:cs="宋体"/>
          <w:kern w:val="0"/>
          <w:sz w:val="32"/>
          <w:szCs w:val="32"/>
          <w:shd w:val="clear" w:color="auto" w:fill="FFFFFF"/>
        </w:rPr>
        <w:t>解读工作推进力度。</w:t>
      </w:r>
      <w:r>
        <w:rPr>
          <w:rFonts w:hint="eastAsia" w:ascii="仿宋_GB2312" w:hAnsi="宋体" w:eastAsia="仿宋_GB2312" w:cs="宋体"/>
          <w:kern w:val="0"/>
          <w:sz w:val="32"/>
          <w:szCs w:val="32"/>
          <w:shd w:val="clear" w:color="auto" w:fill="FFFFFF"/>
        </w:rPr>
        <w:t>提高政策解读质量，增加解读形式，</w:t>
      </w:r>
      <w:r>
        <w:rPr>
          <w:rFonts w:hint="eastAsia" w:ascii="仿宋_GB2312" w:hAnsi="宋体" w:eastAsia="仿宋_GB2312" w:cs="宋体"/>
          <w:kern w:val="0"/>
          <w:sz w:val="32"/>
          <w:szCs w:val="32"/>
          <w:shd w:val="clear" w:color="auto" w:fill="FFFFFF"/>
          <w:lang w:eastAsia="zh-CN"/>
        </w:rPr>
        <w:t>采用</w:t>
      </w:r>
      <w:r>
        <w:rPr>
          <w:rFonts w:hint="eastAsia" w:ascii="仿宋_GB2312" w:hAnsi="宋体" w:eastAsia="仿宋_GB2312" w:cs="仿宋_GB2312"/>
          <w:i w:val="0"/>
          <w:iCs w:val="0"/>
          <w:caps w:val="0"/>
          <w:color w:val="000000"/>
          <w:spacing w:val="0"/>
          <w:sz w:val="32"/>
          <w:szCs w:val="32"/>
          <w:shd w:val="clear" w:fill="FFFFFF"/>
          <w:lang w:val="en-US" w:eastAsia="zh-CN"/>
        </w:rPr>
        <w:t>图片、媒体、动漫视频及新闻发布会等</w:t>
      </w:r>
      <w:r>
        <w:rPr>
          <w:rFonts w:hint="eastAsia" w:ascii="仿宋_GB2312" w:hAnsi="宋体" w:eastAsia="仿宋_GB2312" w:cs="宋体"/>
          <w:kern w:val="0"/>
          <w:sz w:val="32"/>
          <w:szCs w:val="32"/>
          <w:shd w:val="clear" w:color="auto" w:fill="FFFFFF"/>
        </w:rPr>
        <w:t>多途径、多形式对政策文件进行解读</w:t>
      </w:r>
      <w:r>
        <w:rPr>
          <w:rFonts w:hint="eastAsia" w:ascii="仿宋_GB2312" w:hAnsi="宋体" w:eastAsia="仿宋_GB2312" w:cs="宋体"/>
          <w:kern w:val="0"/>
          <w:sz w:val="32"/>
          <w:szCs w:val="32"/>
          <w:shd w:val="clear" w:color="auto" w:fill="FFFFFF"/>
          <w:lang w:eastAsia="zh-CN"/>
        </w:rPr>
        <w:t>；</w:t>
      </w:r>
      <w:r>
        <w:rPr>
          <w:rFonts w:hint="eastAsia" w:ascii="仿宋_GB2312" w:hAnsi="宋体" w:eastAsia="仿宋_GB2312" w:cs="仿宋_GB2312"/>
          <w:i w:val="0"/>
          <w:iCs w:val="0"/>
          <w:caps w:val="0"/>
          <w:color w:val="000000"/>
          <w:spacing w:val="0"/>
          <w:sz w:val="32"/>
          <w:szCs w:val="32"/>
          <w:shd w:val="clear" w:fill="FFFFFF"/>
          <w:lang w:val="en-US" w:eastAsia="zh-CN"/>
        </w:rPr>
        <w:t>持续优化文字性解读材料，重点加强制定背景、依据、制定过程、保障措施、创新举措等内容解读。</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Times New Roman"/>
          <w:sz w:val="32"/>
          <w:szCs w:val="32"/>
        </w:rPr>
      </w:pPr>
      <w:r>
        <w:rPr>
          <w:rFonts w:hint="eastAsia" w:ascii="仿宋_GB2312" w:hAnsi="仿宋" w:eastAsia="仿宋_GB2312" w:cs="仿宋"/>
          <w:kern w:val="2"/>
          <w:sz w:val="32"/>
          <w:szCs w:val="32"/>
          <w:shd w:val="clear" w:color="auto" w:fill="FFFFFF"/>
          <w:lang w:val="en-US" w:eastAsia="zh-CN" w:bidi="ar-SA"/>
        </w:rPr>
        <w:t>3、</w:t>
      </w:r>
      <w:r>
        <w:rPr>
          <w:rFonts w:hint="eastAsia" w:ascii="仿宋_GB2312" w:hAnsi="宋体" w:eastAsia="仿宋_GB2312" w:cs="宋体"/>
          <w:kern w:val="0"/>
          <w:sz w:val="32"/>
          <w:szCs w:val="32"/>
          <w:shd w:val="clear" w:color="auto" w:fill="FFFFFF"/>
        </w:rPr>
        <w:t>加强政府信息公开队伍建设。选拔业务能力强的人员充实政府信息公开队伍，</w:t>
      </w:r>
      <w:r>
        <w:rPr>
          <w:rFonts w:hint="eastAsia" w:ascii="仿宋_GB2312" w:hAnsi="仿宋" w:eastAsia="仿宋_GB2312" w:cs="仿宋"/>
          <w:kern w:val="2"/>
          <w:sz w:val="32"/>
          <w:szCs w:val="32"/>
          <w:shd w:val="clear" w:color="auto" w:fill="FFFFFF"/>
          <w:lang w:val="en-US" w:eastAsia="zh-CN" w:bidi="ar-SA"/>
        </w:rPr>
        <w:t>加强与各科室的联系与沟通，</w:t>
      </w:r>
      <w:r>
        <w:rPr>
          <w:rFonts w:hint="eastAsia" w:ascii="仿宋_GB2312" w:hAnsi="宋体" w:eastAsia="仿宋_GB2312" w:cs="宋体"/>
          <w:kern w:val="0"/>
          <w:sz w:val="32"/>
          <w:szCs w:val="32"/>
          <w:shd w:val="clear" w:color="auto" w:fill="FFFFFF"/>
        </w:rPr>
        <w:t>同时，开展政府信息公开工作业务知识培训，不断提高各</w:t>
      </w:r>
      <w:r>
        <w:rPr>
          <w:rFonts w:hint="eastAsia" w:ascii="仿宋_GB2312" w:hAnsi="宋体" w:eastAsia="仿宋_GB2312" w:cs="宋体"/>
          <w:kern w:val="0"/>
          <w:sz w:val="32"/>
          <w:szCs w:val="32"/>
          <w:shd w:val="clear" w:color="auto" w:fill="FFFFFF"/>
          <w:lang w:eastAsia="zh-CN"/>
        </w:rPr>
        <w:t>股</w:t>
      </w:r>
      <w:r>
        <w:rPr>
          <w:rFonts w:hint="eastAsia" w:ascii="仿宋_GB2312" w:hAnsi="宋体" w:eastAsia="仿宋_GB2312" w:cs="宋体"/>
          <w:kern w:val="0"/>
          <w:sz w:val="32"/>
          <w:szCs w:val="32"/>
          <w:shd w:val="clear" w:color="auto" w:fill="FFFFFF"/>
        </w:rPr>
        <w:t>室、</w:t>
      </w:r>
      <w:r>
        <w:rPr>
          <w:rFonts w:hint="eastAsia" w:ascii="仿宋_GB2312" w:hAnsi="宋体" w:eastAsia="仿宋_GB2312" w:cs="宋体"/>
          <w:kern w:val="0"/>
          <w:sz w:val="32"/>
          <w:szCs w:val="32"/>
          <w:shd w:val="clear" w:color="auto" w:fill="FFFFFF"/>
          <w:lang w:eastAsia="zh-CN"/>
        </w:rPr>
        <w:t>局属单位</w:t>
      </w:r>
      <w:r>
        <w:rPr>
          <w:rFonts w:hint="eastAsia" w:ascii="仿宋_GB2312" w:hAnsi="宋体" w:eastAsia="仿宋_GB2312" w:cs="宋体"/>
          <w:kern w:val="0"/>
          <w:sz w:val="32"/>
          <w:szCs w:val="32"/>
          <w:shd w:val="clear" w:color="auto" w:fill="FFFFFF"/>
        </w:rPr>
        <w:t>工作人员的综合素质和业务能力，</w:t>
      </w:r>
      <w:r>
        <w:rPr>
          <w:rFonts w:hint="eastAsia" w:ascii="仿宋_GB2312" w:hAnsi="仿宋" w:eastAsia="仿宋_GB2312" w:cs="仿宋"/>
          <w:kern w:val="2"/>
          <w:sz w:val="32"/>
          <w:szCs w:val="32"/>
          <w:shd w:val="clear" w:color="auto" w:fill="FFFFFF"/>
          <w:lang w:val="en-US" w:eastAsia="zh-CN" w:bidi="ar-SA"/>
        </w:rPr>
        <w:t>不断提高信息发布质量</w:t>
      </w:r>
      <w:r>
        <w:rPr>
          <w:rFonts w:hint="eastAsia" w:ascii="仿宋_GB2312" w:hAnsi="宋体" w:eastAsia="仿宋_GB2312" w:cs="宋体"/>
          <w:kern w:val="0"/>
          <w:sz w:val="32"/>
          <w:szCs w:val="32"/>
          <w:shd w:val="clear" w:color="auto" w:fill="FFFFFF"/>
        </w:rPr>
        <w:t>，确保政府信息公开工作顺利开展。</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Times New Roman"/>
          <w:sz w:val="32"/>
          <w:szCs w:val="32"/>
        </w:rPr>
      </w:pPr>
      <w:r>
        <w:rPr>
          <w:rFonts w:hint="eastAsia" w:ascii="黑体" w:hAnsi="黑体" w:eastAsia="黑体" w:cs="Times New Roman"/>
          <w:sz w:val="32"/>
          <w:szCs w:val="32"/>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40" w:lineRule="exact"/>
        <w:ind w:left="0" w:right="0" w:firstLine="640"/>
        <w:jc w:val="both"/>
        <w:textAlignment w:val="auto"/>
        <w:rPr>
          <w:rFonts w:hint="eastAsia" w:ascii="仿宋_GB2312" w:hAnsi="仿宋" w:eastAsia="仿宋_GB2312" w:cs="仿宋"/>
          <w:kern w:val="2"/>
          <w:sz w:val="32"/>
          <w:szCs w:val="32"/>
          <w:shd w:val="clear" w:color="auto" w:fill="FFFFFF"/>
          <w:lang w:val="en-US" w:eastAsia="zh-CN" w:bidi="ar-SA"/>
        </w:rPr>
      </w:pPr>
      <w:r>
        <w:rPr>
          <w:rFonts w:hint="default" w:ascii="仿宋_GB2312" w:hAnsi="仿宋" w:eastAsia="仿宋_GB2312" w:cs="仿宋"/>
          <w:kern w:val="2"/>
          <w:sz w:val="32"/>
          <w:szCs w:val="32"/>
          <w:shd w:val="clear" w:color="auto" w:fill="FFFFFF"/>
          <w:lang w:val="en-US" w:eastAsia="zh-CN" w:bidi="ar-SA"/>
        </w:rPr>
        <w:t>按照《国务院办公厅关于印发〈政府信息公开信息处理费管理办法〉的通知》（国办函〔2020〕109号）规定的按件、按量收费标准，</w:t>
      </w:r>
      <w:r>
        <w:rPr>
          <w:rFonts w:hint="eastAsia" w:ascii="仿宋_GB2312" w:hAnsi="仿宋" w:eastAsia="仿宋_GB2312" w:cs="仿宋"/>
          <w:kern w:val="2"/>
          <w:sz w:val="32"/>
          <w:szCs w:val="32"/>
          <w:shd w:val="clear" w:color="auto" w:fill="FFFFFF"/>
          <w:lang w:val="en-US" w:eastAsia="zh-CN" w:bidi="ar-SA"/>
        </w:rPr>
        <w:t>我局</w:t>
      </w:r>
      <w:r>
        <w:rPr>
          <w:rFonts w:hint="default" w:ascii="仿宋_GB2312" w:hAnsi="仿宋" w:eastAsia="仿宋_GB2312" w:cs="仿宋"/>
          <w:kern w:val="2"/>
          <w:sz w:val="32"/>
          <w:szCs w:val="32"/>
          <w:shd w:val="clear" w:color="auto" w:fill="FFFFFF"/>
          <w:lang w:val="en-US" w:eastAsia="zh-CN" w:bidi="ar-SA"/>
        </w:rPr>
        <w:t>本年度没有产生信息公开处理费。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 w:eastAsia="仿宋_GB2312" w:cs="仿宋"/>
          <w:kern w:val="2"/>
          <w:sz w:val="32"/>
          <w:szCs w:val="32"/>
          <w:shd w:val="clear" w:color="auto" w:fill="FFFFFF"/>
          <w:lang w:val="en-US" w:eastAsia="zh-CN" w:bidi="ar-SA"/>
        </w:rPr>
      </w:pPr>
    </w:p>
    <w:p>
      <w:pPr>
        <w:pStyle w:val="10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5257" w:firstLineChars="1643"/>
        <w:jc w:val="both"/>
        <w:textAlignment w:val="auto"/>
        <w:rPr>
          <w:rFonts w:hint="eastAsia" w:ascii="仿宋_GB2312" w:hAnsi="仿宋" w:eastAsia="仿宋_GB2312"/>
          <w:sz w:val="32"/>
          <w:szCs w:val="32"/>
        </w:rPr>
      </w:pPr>
    </w:p>
    <w:p>
      <w:pPr>
        <w:pStyle w:val="10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right="23" w:rightChars="11" w:firstLine="5760" w:firstLineChars="1800"/>
        <w:jc w:val="both"/>
        <w:textAlignment w:val="auto"/>
        <w:rPr>
          <w:rFonts w:hint="eastAsia" w:ascii="仿宋_GB2312" w:hAnsi="Times New Roman" w:eastAsia="仿宋_GB2312" w:cs="Times New Roman"/>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年1月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日</w:t>
      </w:r>
    </w:p>
    <w:sectPr>
      <w:pgSz w:w="11906" w:h="16838"/>
      <w:pgMar w:top="1701"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6231D9"/>
    <w:multiLevelType w:val="singleLevel"/>
    <w:tmpl w:val="B36231D9"/>
    <w:lvl w:ilvl="0" w:tentative="0">
      <w:start w:val="1"/>
      <w:numFmt w:val="decimal"/>
      <w:suff w:val="nothing"/>
      <w:lvlText w:val="%1、"/>
      <w:lvlJc w:val="left"/>
    </w:lvl>
  </w:abstractNum>
  <w:abstractNum w:abstractNumId="1">
    <w:nsid w:val="FFBBDFDB"/>
    <w:multiLevelType w:val="singleLevel"/>
    <w:tmpl w:val="FFBBDFDB"/>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2ZmU4Yjc5ZjVhYjRkODEzMjQ3NmZlZGU3ZTE1OTEifQ=="/>
  </w:docVars>
  <w:rsids>
    <w:rsidRoot w:val="00E441E6"/>
    <w:rsid w:val="0000500B"/>
    <w:rsid w:val="00014FBD"/>
    <w:rsid w:val="00040A15"/>
    <w:rsid w:val="001556A7"/>
    <w:rsid w:val="0017449E"/>
    <w:rsid w:val="00174DE7"/>
    <w:rsid w:val="0019198D"/>
    <w:rsid w:val="001C5533"/>
    <w:rsid w:val="0022050D"/>
    <w:rsid w:val="002207F1"/>
    <w:rsid w:val="00237D3E"/>
    <w:rsid w:val="00240A2C"/>
    <w:rsid w:val="002C15AB"/>
    <w:rsid w:val="003730AB"/>
    <w:rsid w:val="003D271A"/>
    <w:rsid w:val="00412690"/>
    <w:rsid w:val="00423E42"/>
    <w:rsid w:val="00446F49"/>
    <w:rsid w:val="004825D3"/>
    <w:rsid w:val="004B3CB1"/>
    <w:rsid w:val="0050011C"/>
    <w:rsid w:val="005040DA"/>
    <w:rsid w:val="0053223A"/>
    <w:rsid w:val="00546098"/>
    <w:rsid w:val="00591D90"/>
    <w:rsid w:val="005B0ACE"/>
    <w:rsid w:val="005E28BB"/>
    <w:rsid w:val="00603703"/>
    <w:rsid w:val="00646AC4"/>
    <w:rsid w:val="00683656"/>
    <w:rsid w:val="006E3E29"/>
    <w:rsid w:val="00732847"/>
    <w:rsid w:val="0078145B"/>
    <w:rsid w:val="00794F48"/>
    <w:rsid w:val="007A71DC"/>
    <w:rsid w:val="007D1DE4"/>
    <w:rsid w:val="00825736"/>
    <w:rsid w:val="00831017"/>
    <w:rsid w:val="00890538"/>
    <w:rsid w:val="00891083"/>
    <w:rsid w:val="008C2398"/>
    <w:rsid w:val="008C3E4C"/>
    <w:rsid w:val="008F00C0"/>
    <w:rsid w:val="009131DE"/>
    <w:rsid w:val="00941115"/>
    <w:rsid w:val="0095002E"/>
    <w:rsid w:val="00990230"/>
    <w:rsid w:val="009B6C1D"/>
    <w:rsid w:val="00A113EC"/>
    <w:rsid w:val="00A333DE"/>
    <w:rsid w:val="00A5249B"/>
    <w:rsid w:val="00A532F8"/>
    <w:rsid w:val="00A565D2"/>
    <w:rsid w:val="00A66057"/>
    <w:rsid w:val="00A969CE"/>
    <w:rsid w:val="00B02C37"/>
    <w:rsid w:val="00B0588A"/>
    <w:rsid w:val="00B0598D"/>
    <w:rsid w:val="00B27390"/>
    <w:rsid w:val="00B40209"/>
    <w:rsid w:val="00B519BC"/>
    <w:rsid w:val="00B74235"/>
    <w:rsid w:val="00B82C98"/>
    <w:rsid w:val="00B979F8"/>
    <w:rsid w:val="00BA5506"/>
    <w:rsid w:val="00BE436B"/>
    <w:rsid w:val="00C544EF"/>
    <w:rsid w:val="00D059E8"/>
    <w:rsid w:val="00D55107"/>
    <w:rsid w:val="00D55B2B"/>
    <w:rsid w:val="00D9306E"/>
    <w:rsid w:val="00DA4CAD"/>
    <w:rsid w:val="00E3499A"/>
    <w:rsid w:val="00E441E6"/>
    <w:rsid w:val="00E607F8"/>
    <w:rsid w:val="00E65778"/>
    <w:rsid w:val="00E716CC"/>
    <w:rsid w:val="00EA7516"/>
    <w:rsid w:val="00EB3669"/>
    <w:rsid w:val="00F53022"/>
    <w:rsid w:val="00F85601"/>
    <w:rsid w:val="00F900D8"/>
    <w:rsid w:val="03C201B1"/>
    <w:rsid w:val="048F3F83"/>
    <w:rsid w:val="05A012C9"/>
    <w:rsid w:val="077C170E"/>
    <w:rsid w:val="08DD4750"/>
    <w:rsid w:val="09414AC1"/>
    <w:rsid w:val="0C88528F"/>
    <w:rsid w:val="0E2C30B2"/>
    <w:rsid w:val="0E77386A"/>
    <w:rsid w:val="0F9450BA"/>
    <w:rsid w:val="10251923"/>
    <w:rsid w:val="10404D9C"/>
    <w:rsid w:val="13393BDE"/>
    <w:rsid w:val="13E717D9"/>
    <w:rsid w:val="140049EF"/>
    <w:rsid w:val="143A7F58"/>
    <w:rsid w:val="16785E60"/>
    <w:rsid w:val="171A7374"/>
    <w:rsid w:val="174546C0"/>
    <w:rsid w:val="183731DC"/>
    <w:rsid w:val="198D2CDF"/>
    <w:rsid w:val="19DB2D10"/>
    <w:rsid w:val="1A12346C"/>
    <w:rsid w:val="1AEF70F3"/>
    <w:rsid w:val="1B613469"/>
    <w:rsid w:val="1D345DAB"/>
    <w:rsid w:val="1D4B621F"/>
    <w:rsid w:val="1EC82BA4"/>
    <w:rsid w:val="1FA1497F"/>
    <w:rsid w:val="1FC37489"/>
    <w:rsid w:val="209F77D5"/>
    <w:rsid w:val="226715E5"/>
    <w:rsid w:val="2328168E"/>
    <w:rsid w:val="238A1B42"/>
    <w:rsid w:val="26A04F97"/>
    <w:rsid w:val="27A902FE"/>
    <w:rsid w:val="2C3E31BB"/>
    <w:rsid w:val="2EDD18EB"/>
    <w:rsid w:val="2FFA4A5B"/>
    <w:rsid w:val="34C87C48"/>
    <w:rsid w:val="356F4997"/>
    <w:rsid w:val="36226CF4"/>
    <w:rsid w:val="36370A1E"/>
    <w:rsid w:val="376318FC"/>
    <w:rsid w:val="37C912E8"/>
    <w:rsid w:val="38E946AA"/>
    <w:rsid w:val="395730D3"/>
    <w:rsid w:val="39BD2EFF"/>
    <w:rsid w:val="3A581503"/>
    <w:rsid w:val="3BCE6F80"/>
    <w:rsid w:val="3C1352F3"/>
    <w:rsid w:val="3C821277"/>
    <w:rsid w:val="3FE63461"/>
    <w:rsid w:val="42975A04"/>
    <w:rsid w:val="43813488"/>
    <w:rsid w:val="44F9271B"/>
    <w:rsid w:val="45835E86"/>
    <w:rsid w:val="45F024B6"/>
    <w:rsid w:val="465F621B"/>
    <w:rsid w:val="48797B71"/>
    <w:rsid w:val="4DA64E6C"/>
    <w:rsid w:val="4E9B0E76"/>
    <w:rsid w:val="517557E0"/>
    <w:rsid w:val="51D424E8"/>
    <w:rsid w:val="52C86A7F"/>
    <w:rsid w:val="52E3371F"/>
    <w:rsid w:val="537A0621"/>
    <w:rsid w:val="538817E4"/>
    <w:rsid w:val="53A60970"/>
    <w:rsid w:val="546D05AC"/>
    <w:rsid w:val="5B693A7A"/>
    <w:rsid w:val="5CF01637"/>
    <w:rsid w:val="5D3B3B75"/>
    <w:rsid w:val="5D7A4398"/>
    <w:rsid w:val="5D89252A"/>
    <w:rsid w:val="5E984A7E"/>
    <w:rsid w:val="5E993235"/>
    <w:rsid w:val="5FE55A2C"/>
    <w:rsid w:val="61091D49"/>
    <w:rsid w:val="623C1CB7"/>
    <w:rsid w:val="63AE79D9"/>
    <w:rsid w:val="667A65D6"/>
    <w:rsid w:val="6AEF289B"/>
    <w:rsid w:val="6CCF5E29"/>
    <w:rsid w:val="6CD14F2F"/>
    <w:rsid w:val="6DDD52AD"/>
    <w:rsid w:val="6E815693"/>
    <w:rsid w:val="6FBB220A"/>
    <w:rsid w:val="71F644BF"/>
    <w:rsid w:val="72A03324"/>
    <w:rsid w:val="751A73BE"/>
    <w:rsid w:val="76AC24E1"/>
    <w:rsid w:val="773E2E9E"/>
    <w:rsid w:val="7752468E"/>
    <w:rsid w:val="7A44048B"/>
    <w:rsid w:val="7A976EF1"/>
    <w:rsid w:val="7ADC4706"/>
    <w:rsid w:val="7B3A03E8"/>
    <w:rsid w:val="7BEC1274"/>
    <w:rsid w:val="7E484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7"/>
    <w:qFormat/>
    <w:uiPriority w:val="0"/>
    <w:pPr>
      <w:tabs>
        <w:tab w:val="center" w:pos="4153"/>
        <w:tab w:val="right" w:pos="8306"/>
      </w:tabs>
      <w:snapToGrid w:val="0"/>
      <w:jc w:val="left"/>
    </w:pPr>
    <w:rPr>
      <w:sz w:val="18"/>
      <w:szCs w:val="18"/>
    </w:rPr>
  </w:style>
  <w:style w:type="paragraph" w:styleId="3">
    <w:name w:val="header"/>
    <w:basedOn w:val="1"/>
    <w:link w:val="96"/>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rFonts w:cs="Times New Roman"/>
      <w:kern w:val="0"/>
      <w:sz w:val="24"/>
    </w:rPr>
  </w:style>
  <w:style w:type="character" w:styleId="7">
    <w:name w:val="Strong"/>
    <w:basedOn w:val="6"/>
    <w:qFormat/>
    <w:uiPriority w:val="22"/>
    <w:rPr>
      <w:b/>
      <w:vanish/>
    </w:rPr>
  </w:style>
  <w:style w:type="character" w:styleId="8">
    <w:name w:val="FollowedHyperlink"/>
    <w:basedOn w:val="6"/>
    <w:qFormat/>
    <w:uiPriority w:val="0"/>
    <w:rPr>
      <w:color w:val="00000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000000"/>
      <w:u w:val="none"/>
    </w:rPr>
  </w:style>
  <w:style w:type="character" w:styleId="14">
    <w:name w:val="HTML Code"/>
    <w:basedOn w:val="6"/>
    <w:qFormat/>
    <w:uiPriority w:val="0"/>
    <w:rPr>
      <w:rFonts w:ascii="Consolas" w:hAnsi="Consolas" w:eastAsia="Consolas" w:cs="Consolas"/>
      <w:color w:val="C7254E"/>
      <w:sz w:val="21"/>
      <w:szCs w:val="21"/>
      <w:shd w:val="clear" w:color="auto" w:fill="F9F2F4"/>
    </w:rPr>
  </w:style>
  <w:style w:type="character" w:styleId="15">
    <w:name w:val="HTML Cite"/>
    <w:basedOn w:val="6"/>
    <w:qFormat/>
    <w:uiPriority w:val="0"/>
  </w:style>
  <w:style w:type="character" w:styleId="16">
    <w:name w:val="HTML Keyboard"/>
    <w:basedOn w:val="6"/>
    <w:qFormat/>
    <w:uiPriority w:val="0"/>
    <w:rPr>
      <w:rFonts w:hint="default" w:ascii="Consolas" w:hAnsi="Consolas" w:eastAsia="Consolas" w:cs="Consolas"/>
      <w:color w:val="FFFFFF"/>
      <w:sz w:val="21"/>
      <w:szCs w:val="21"/>
      <w:shd w:val="clear" w:color="auto" w:fill="333333"/>
    </w:rPr>
  </w:style>
  <w:style w:type="character" w:styleId="17">
    <w:name w:val="HTML Sample"/>
    <w:basedOn w:val="6"/>
    <w:qFormat/>
    <w:uiPriority w:val="0"/>
    <w:rPr>
      <w:rFonts w:ascii="Consolas" w:hAnsi="Consolas" w:eastAsia="Consolas" w:cs="Consolas"/>
      <w:sz w:val="21"/>
      <w:szCs w:val="21"/>
    </w:rPr>
  </w:style>
  <w:style w:type="character" w:customStyle="1" w:styleId="18">
    <w:name w:val="font"/>
    <w:basedOn w:val="6"/>
    <w:qFormat/>
    <w:uiPriority w:val="0"/>
  </w:style>
  <w:style w:type="character" w:customStyle="1" w:styleId="19">
    <w:name w:val="dates"/>
    <w:basedOn w:val="6"/>
    <w:qFormat/>
    <w:uiPriority w:val="0"/>
  </w:style>
  <w:style w:type="character" w:customStyle="1" w:styleId="20">
    <w:name w:val="name"/>
    <w:basedOn w:val="6"/>
    <w:qFormat/>
    <w:uiPriority w:val="0"/>
    <w:rPr>
      <w:color w:val="6A6A6A"/>
      <w:u w:val="single"/>
    </w:rPr>
  </w:style>
  <w:style w:type="character" w:customStyle="1" w:styleId="21">
    <w:name w:val="m01"/>
    <w:basedOn w:val="6"/>
    <w:qFormat/>
    <w:uiPriority w:val="0"/>
  </w:style>
  <w:style w:type="character" w:customStyle="1" w:styleId="22">
    <w:name w:val="m011"/>
    <w:basedOn w:val="6"/>
    <w:qFormat/>
    <w:uiPriority w:val="0"/>
  </w:style>
  <w:style w:type="character" w:customStyle="1" w:styleId="23">
    <w:name w:val="bg01"/>
    <w:basedOn w:val="6"/>
    <w:qFormat/>
    <w:uiPriority w:val="0"/>
  </w:style>
  <w:style w:type="character" w:customStyle="1" w:styleId="24">
    <w:name w:val="gwds_nopic"/>
    <w:basedOn w:val="6"/>
    <w:qFormat/>
    <w:uiPriority w:val="0"/>
  </w:style>
  <w:style w:type="character" w:customStyle="1" w:styleId="25">
    <w:name w:val="gwds_nopic1"/>
    <w:basedOn w:val="6"/>
    <w:qFormat/>
    <w:uiPriority w:val="0"/>
  </w:style>
  <w:style w:type="character" w:customStyle="1" w:styleId="26">
    <w:name w:val="gwds_nopic2"/>
    <w:basedOn w:val="6"/>
    <w:qFormat/>
    <w:uiPriority w:val="0"/>
  </w:style>
  <w:style w:type="character" w:customStyle="1" w:styleId="27">
    <w:name w:val="tabg"/>
    <w:basedOn w:val="6"/>
    <w:qFormat/>
    <w:uiPriority w:val="0"/>
    <w:rPr>
      <w:color w:val="FFFFFF"/>
      <w:sz w:val="27"/>
      <w:szCs w:val="27"/>
    </w:rPr>
  </w:style>
  <w:style w:type="character" w:customStyle="1" w:styleId="28">
    <w:name w:val="more4"/>
    <w:basedOn w:val="6"/>
    <w:qFormat/>
    <w:uiPriority w:val="0"/>
    <w:rPr>
      <w:color w:val="666666"/>
      <w:sz w:val="18"/>
      <w:szCs w:val="18"/>
    </w:rPr>
  </w:style>
  <w:style w:type="character" w:customStyle="1" w:styleId="29">
    <w:name w:val="bg02"/>
    <w:basedOn w:val="6"/>
    <w:qFormat/>
    <w:uiPriority w:val="0"/>
  </w:style>
  <w:style w:type="character" w:customStyle="1" w:styleId="30">
    <w:name w:val="laypage_curr"/>
    <w:basedOn w:val="6"/>
    <w:qFormat/>
    <w:uiPriority w:val="0"/>
    <w:rPr>
      <w:color w:val="FFFDF4"/>
      <w:shd w:val="clear" w:color="auto" w:fill="0B67A6"/>
    </w:rPr>
  </w:style>
  <w:style w:type="character" w:customStyle="1" w:styleId="31">
    <w:name w:val="hover24"/>
    <w:basedOn w:val="6"/>
    <w:qFormat/>
    <w:uiPriority w:val="0"/>
    <w:rPr>
      <w:color w:val="015293"/>
    </w:rPr>
  </w:style>
  <w:style w:type="character" w:customStyle="1" w:styleId="32">
    <w:name w:val="zj2"/>
    <w:basedOn w:val="6"/>
    <w:qFormat/>
    <w:uiPriority w:val="0"/>
    <w:rPr>
      <w:color w:val="AA6F1A"/>
    </w:rPr>
  </w:style>
  <w:style w:type="character" w:customStyle="1" w:styleId="33">
    <w:name w:val="state"/>
    <w:basedOn w:val="6"/>
    <w:qFormat/>
    <w:uiPriority w:val="0"/>
  </w:style>
  <w:style w:type="character" w:customStyle="1" w:styleId="34">
    <w:name w:val="state1"/>
    <w:basedOn w:val="6"/>
    <w:qFormat/>
    <w:uiPriority w:val="0"/>
  </w:style>
  <w:style w:type="character" w:customStyle="1" w:styleId="35">
    <w:name w:val="state2"/>
    <w:basedOn w:val="6"/>
    <w:qFormat/>
    <w:uiPriority w:val="0"/>
  </w:style>
  <w:style w:type="character" w:customStyle="1" w:styleId="36">
    <w:name w:val="state3"/>
    <w:basedOn w:val="6"/>
    <w:qFormat/>
    <w:uiPriority w:val="0"/>
  </w:style>
  <w:style w:type="character" w:customStyle="1" w:styleId="37">
    <w:name w:val="zj1"/>
    <w:basedOn w:val="6"/>
    <w:qFormat/>
    <w:uiPriority w:val="0"/>
    <w:rPr>
      <w:color w:val="FF0000"/>
    </w:rPr>
  </w:style>
  <w:style w:type="character" w:customStyle="1" w:styleId="38">
    <w:name w:val="zj3"/>
    <w:basedOn w:val="6"/>
    <w:qFormat/>
    <w:uiPriority w:val="0"/>
    <w:rPr>
      <w:color w:val="666666"/>
    </w:rPr>
  </w:style>
  <w:style w:type="character" w:customStyle="1" w:styleId="39">
    <w:name w:val="green"/>
    <w:basedOn w:val="6"/>
    <w:qFormat/>
    <w:uiPriority w:val="0"/>
    <w:rPr>
      <w:color w:val="0B7500"/>
    </w:rPr>
  </w:style>
  <w:style w:type="character" w:customStyle="1" w:styleId="40">
    <w:name w:val="green1"/>
    <w:basedOn w:val="6"/>
    <w:qFormat/>
    <w:uiPriority w:val="0"/>
    <w:rPr>
      <w:color w:val="0B7500"/>
    </w:rPr>
  </w:style>
  <w:style w:type="character" w:customStyle="1" w:styleId="41">
    <w:name w:val="u-tit1"/>
    <w:basedOn w:val="6"/>
    <w:qFormat/>
    <w:uiPriority w:val="0"/>
    <w:rPr>
      <w:b/>
      <w:sz w:val="27"/>
      <w:szCs w:val="27"/>
      <w:shd w:val="clear" w:color="auto" w:fill="FFFFFF"/>
    </w:rPr>
  </w:style>
  <w:style w:type="character" w:customStyle="1" w:styleId="42">
    <w:name w:val="tile"/>
    <w:basedOn w:val="6"/>
    <w:qFormat/>
    <w:uiPriority w:val="0"/>
  </w:style>
  <w:style w:type="character" w:customStyle="1" w:styleId="43">
    <w:name w:val="tile1"/>
    <w:basedOn w:val="6"/>
    <w:qFormat/>
    <w:uiPriority w:val="0"/>
  </w:style>
  <w:style w:type="character" w:customStyle="1" w:styleId="44">
    <w:name w:val="num"/>
    <w:basedOn w:val="6"/>
    <w:qFormat/>
    <w:uiPriority w:val="0"/>
  </w:style>
  <w:style w:type="character" w:customStyle="1" w:styleId="45">
    <w:name w:val="num1"/>
    <w:basedOn w:val="6"/>
    <w:qFormat/>
    <w:uiPriority w:val="0"/>
  </w:style>
  <w:style w:type="character" w:customStyle="1" w:styleId="46">
    <w:name w:val="num2"/>
    <w:basedOn w:val="6"/>
    <w:qFormat/>
    <w:uiPriority w:val="0"/>
  </w:style>
  <w:style w:type="character" w:customStyle="1" w:styleId="47">
    <w:name w:val="num3"/>
    <w:basedOn w:val="6"/>
    <w:qFormat/>
    <w:uiPriority w:val="0"/>
  </w:style>
  <w:style w:type="character" w:customStyle="1" w:styleId="48">
    <w:name w:val="red"/>
    <w:basedOn w:val="6"/>
    <w:qFormat/>
    <w:uiPriority w:val="0"/>
    <w:rPr>
      <w:color w:val="FF0000"/>
    </w:rPr>
  </w:style>
  <w:style w:type="character" w:customStyle="1" w:styleId="49">
    <w:name w:val="red1"/>
    <w:basedOn w:val="6"/>
    <w:qFormat/>
    <w:uiPriority w:val="0"/>
    <w:rPr>
      <w:color w:val="FF0000"/>
    </w:rPr>
  </w:style>
  <w:style w:type="character" w:customStyle="1" w:styleId="50">
    <w:name w:val="yellow"/>
    <w:basedOn w:val="6"/>
    <w:qFormat/>
    <w:uiPriority w:val="0"/>
    <w:rPr>
      <w:color w:val="DB9000"/>
    </w:rPr>
  </w:style>
  <w:style w:type="character" w:customStyle="1" w:styleId="51">
    <w:name w:val="yellow1"/>
    <w:basedOn w:val="6"/>
    <w:qFormat/>
    <w:uiPriority w:val="0"/>
    <w:rPr>
      <w:color w:val="DB9000"/>
    </w:rPr>
  </w:style>
  <w:style w:type="character" w:customStyle="1" w:styleId="52">
    <w:name w:val="doc"/>
    <w:basedOn w:val="6"/>
    <w:qFormat/>
    <w:uiPriority w:val="0"/>
  </w:style>
  <w:style w:type="character" w:customStyle="1" w:styleId="53">
    <w:name w:val="hover13"/>
    <w:basedOn w:val="6"/>
    <w:qFormat/>
    <w:uiPriority w:val="0"/>
    <w:rPr>
      <w:color w:val="000000"/>
      <w:shd w:val="clear" w:color="auto" w:fill="FFFFFF"/>
    </w:rPr>
  </w:style>
  <w:style w:type="character" w:customStyle="1" w:styleId="54">
    <w:name w:val="wx-space"/>
    <w:basedOn w:val="6"/>
    <w:qFormat/>
    <w:uiPriority w:val="0"/>
  </w:style>
  <w:style w:type="character" w:customStyle="1" w:styleId="55">
    <w:name w:val="wx-space1"/>
    <w:basedOn w:val="6"/>
    <w:qFormat/>
    <w:uiPriority w:val="0"/>
  </w:style>
  <w:style w:type="character" w:customStyle="1" w:styleId="56">
    <w:name w:val="right_title2"/>
    <w:basedOn w:val="6"/>
    <w:qFormat/>
    <w:uiPriority w:val="0"/>
    <w:rPr>
      <w:rFonts w:hint="eastAsia" w:ascii="微软雅黑" w:hAnsi="微软雅黑" w:eastAsia="微软雅黑" w:cs="微软雅黑"/>
      <w:b/>
      <w:color w:val="41AC6E"/>
      <w:sz w:val="24"/>
      <w:szCs w:val="24"/>
    </w:rPr>
  </w:style>
  <w:style w:type="character" w:customStyle="1" w:styleId="57">
    <w:name w:val="xxgkform_box"/>
    <w:basedOn w:val="6"/>
    <w:qFormat/>
    <w:uiPriority w:val="0"/>
    <w:rPr>
      <w:bdr w:val="single" w:color="CCCCCC" w:sz="6" w:space="0"/>
      <w:shd w:val="clear" w:color="auto" w:fill="FFFFFF"/>
    </w:rPr>
  </w:style>
  <w:style w:type="character" w:customStyle="1" w:styleId="58">
    <w:name w:val="sub_tab_span2"/>
    <w:basedOn w:val="6"/>
    <w:qFormat/>
    <w:uiPriority w:val="0"/>
  </w:style>
  <w:style w:type="character" w:customStyle="1" w:styleId="59">
    <w:name w:val="doc_title"/>
    <w:basedOn w:val="6"/>
    <w:qFormat/>
    <w:uiPriority w:val="0"/>
    <w:rPr>
      <w:rFonts w:ascii="方正小标宋简体" w:hAnsi="方正小标宋简体" w:eastAsia="方正小标宋简体" w:cs="方正小标宋简体"/>
      <w:b/>
      <w:sz w:val="42"/>
      <w:szCs w:val="42"/>
    </w:rPr>
  </w:style>
  <w:style w:type="character" w:customStyle="1" w:styleId="60">
    <w:name w:val="right_title"/>
    <w:basedOn w:val="6"/>
    <w:qFormat/>
    <w:uiPriority w:val="0"/>
  </w:style>
  <w:style w:type="character" w:customStyle="1" w:styleId="61">
    <w:name w:val="right"/>
    <w:basedOn w:val="6"/>
    <w:qFormat/>
    <w:uiPriority w:val="0"/>
  </w:style>
  <w:style w:type="character" w:customStyle="1" w:styleId="62">
    <w:name w:val="beisqr"/>
    <w:basedOn w:val="6"/>
    <w:qFormat/>
    <w:uiPriority w:val="0"/>
  </w:style>
  <w:style w:type="character" w:customStyle="1" w:styleId="63">
    <w:name w:val="sub_tab_span1"/>
    <w:basedOn w:val="6"/>
    <w:qFormat/>
    <w:uiPriority w:val="0"/>
  </w:style>
  <w:style w:type="character" w:customStyle="1" w:styleId="64">
    <w:name w:val="xxmc"/>
    <w:basedOn w:val="6"/>
    <w:qFormat/>
    <w:uiPriority w:val="0"/>
    <w:rPr>
      <w:b/>
    </w:rPr>
  </w:style>
  <w:style w:type="character" w:customStyle="1" w:styleId="65">
    <w:name w:val="xxjs"/>
    <w:basedOn w:val="6"/>
    <w:qFormat/>
    <w:uiPriority w:val="0"/>
    <w:rPr>
      <w:sz w:val="18"/>
      <w:szCs w:val="18"/>
    </w:rPr>
  </w:style>
  <w:style w:type="character" w:customStyle="1" w:styleId="66">
    <w:name w:val="left_title"/>
    <w:basedOn w:val="6"/>
    <w:qFormat/>
    <w:uiPriority w:val="0"/>
    <w:rPr>
      <w:rFonts w:hint="eastAsia" w:ascii="微软雅黑" w:hAnsi="微软雅黑" w:eastAsia="微软雅黑" w:cs="微软雅黑"/>
    </w:rPr>
  </w:style>
  <w:style w:type="character" w:customStyle="1" w:styleId="67">
    <w:name w:val="sub_tab_span4"/>
    <w:basedOn w:val="6"/>
    <w:qFormat/>
    <w:uiPriority w:val="0"/>
  </w:style>
  <w:style w:type="character" w:customStyle="1" w:styleId="68">
    <w:name w:val="bmgk_topic"/>
    <w:basedOn w:val="6"/>
    <w:qFormat/>
    <w:uiPriority w:val="0"/>
    <w:rPr>
      <w:b/>
      <w:sz w:val="24"/>
      <w:szCs w:val="24"/>
    </w:rPr>
  </w:style>
  <w:style w:type="character" w:customStyle="1" w:styleId="69">
    <w:name w:val="sub_tab_span3"/>
    <w:basedOn w:val="6"/>
    <w:qFormat/>
    <w:uiPriority w:val="0"/>
  </w:style>
  <w:style w:type="character" w:customStyle="1" w:styleId="70">
    <w:name w:val="event"/>
    <w:basedOn w:val="6"/>
    <w:qFormat/>
    <w:uiPriority w:val="0"/>
  </w:style>
  <w:style w:type="character" w:customStyle="1" w:styleId="71">
    <w:name w:val="time"/>
    <w:basedOn w:val="6"/>
    <w:qFormat/>
    <w:uiPriority w:val="0"/>
  </w:style>
  <w:style w:type="character" w:customStyle="1" w:styleId="72">
    <w:name w:val="djcs"/>
    <w:basedOn w:val="6"/>
    <w:qFormat/>
    <w:uiPriority w:val="0"/>
    <w:rPr>
      <w:b/>
    </w:rPr>
  </w:style>
  <w:style w:type="character" w:customStyle="1" w:styleId="73">
    <w:name w:val="left"/>
    <w:basedOn w:val="6"/>
    <w:qFormat/>
    <w:uiPriority w:val="0"/>
  </w:style>
  <w:style w:type="character" w:customStyle="1" w:styleId="74">
    <w:name w:val="anhao"/>
    <w:basedOn w:val="6"/>
    <w:qFormat/>
    <w:uiPriority w:val="0"/>
  </w:style>
  <w:style w:type="character" w:customStyle="1" w:styleId="75">
    <w:name w:val="anyou"/>
    <w:basedOn w:val="6"/>
    <w:qFormat/>
    <w:uiPriority w:val="0"/>
  </w:style>
  <w:style w:type="character" w:customStyle="1" w:styleId="76">
    <w:name w:val="disr"/>
    <w:basedOn w:val="6"/>
    <w:qFormat/>
    <w:uiPriority w:val="0"/>
  </w:style>
  <w:style w:type="character" w:customStyle="1" w:styleId="77">
    <w:name w:val="shengqr"/>
    <w:basedOn w:val="6"/>
    <w:qFormat/>
    <w:uiPriority w:val="0"/>
  </w:style>
  <w:style w:type="character" w:customStyle="1" w:styleId="78">
    <w:name w:val="jielun"/>
    <w:basedOn w:val="6"/>
    <w:qFormat/>
    <w:uiPriority w:val="0"/>
  </w:style>
  <w:style w:type="character" w:customStyle="1" w:styleId="79">
    <w:name w:val="riqi"/>
    <w:basedOn w:val="6"/>
    <w:qFormat/>
    <w:uiPriority w:val="0"/>
  </w:style>
  <w:style w:type="character" w:customStyle="1" w:styleId="80">
    <w:name w:val="leibie"/>
    <w:basedOn w:val="6"/>
    <w:qFormat/>
    <w:uiPriority w:val="0"/>
  </w:style>
  <w:style w:type="character" w:customStyle="1" w:styleId="81">
    <w:name w:val="fontw"/>
    <w:basedOn w:val="6"/>
    <w:qFormat/>
    <w:uiPriority w:val="0"/>
    <w:rPr>
      <w:b/>
    </w:rPr>
  </w:style>
  <w:style w:type="character" w:customStyle="1" w:styleId="82">
    <w:name w:val="hover"/>
    <w:basedOn w:val="6"/>
    <w:qFormat/>
    <w:uiPriority w:val="0"/>
    <w:rPr>
      <w:color w:val="015293"/>
    </w:rPr>
  </w:style>
  <w:style w:type="character" w:customStyle="1" w:styleId="83">
    <w:name w:val="font1"/>
    <w:basedOn w:val="6"/>
    <w:qFormat/>
    <w:uiPriority w:val="0"/>
  </w:style>
  <w:style w:type="character" w:customStyle="1" w:styleId="84">
    <w:name w:val="hover17"/>
    <w:basedOn w:val="6"/>
    <w:qFormat/>
    <w:uiPriority w:val="0"/>
    <w:rPr>
      <w:color w:val="000000"/>
      <w:shd w:val="clear" w:color="auto" w:fill="FFFFFF"/>
    </w:rPr>
  </w:style>
  <w:style w:type="character" w:customStyle="1" w:styleId="85">
    <w:name w:val="u-tit"/>
    <w:basedOn w:val="6"/>
    <w:qFormat/>
    <w:uiPriority w:val="0"/>
    <w:rPr>
      <w:b/>
      <w:sz w:val="27"/>
      <w:szCs w:val="27"/>
      <w:shd w:val="clear" w:color="auto" w:fill="FFFFFF"/>
    </w:rPr>
  </w:style>
  <w:style w:type="character" w:customStyle="1" w:styleId="86">
    <w:name w:val="hover22"/>
    <w:basedOn w:val="6"/>
    <w:qFormat/>
    <w:uiPriority w:val="0"/>
    <w:rPr>
      <w:color w:val="000000"/>
      <w:shd w:val="clear" w:color="auto" w:fill="FFFFFF"/>
    </w:rPr>
  </w:style>
  <w:style w:type="character" w:customStyle="1" w:styleId="87">
    <w:name w:val="num4"/>
    <w:basedOn w:val="6"/>
    <w:qFormat/>
    <w:uiPriority w:val="0"/>
  </w:style>
  <w:style w:type="character" w:customStyle="1" w:styleId="88">
    <w:name w:val="num5"/>
    <w:basedOn w:val="6"/>
    <w:qFormat/>
    <w:uiPriority w:val="0"/>
  </w:style>
  <w:style w:type="character" w:customStyle="1" w:styleId="89">
    <w:name w:val="num6"/>
    <w:basedOn w:val="6"/>
    <w:qFormat/>
    <w:uiPriority w:val="0"/>
  </w:style>
  <w:style w:type="character" w:customStyle="1" w:styleId="90">
    <w:name w:val="num7"/>
    <w:basedOn w:val="6"/>
    <w:qFormat/>
    <w:uiPriority w:val="0"/>
  </w:style>
  <w:style w:type="character" w:customStyle="1" w:styleId="91">
    <w:name w:val="hover18"/>
    <w:basedOn w:val="6"/>
    <w:qFormat/>
    <w:uiPriority w:val="0"/>
    <w:rPr>
      <w:color w:val="000000"/>
      <w:shd w:val="clear" w:color="auto" w:fill="FFFFFF"/>
    </w:rPr>
  </w:style>
  <w:style w:type="character" w:customStyle="1" w:styleId="92">
    <w:name w:val="time1"/>
    <w:basedOn w:val="6"/>
    <w:qFormat/>
    <w:uiPriority w:val="0"/>
    <w:rPr>
      <w:color w:val="333333"/>
      <w:bdr w:val="single" w:color="FFFFFF" w:sz="6" w:space="0"/>
    </w:rPr>
  </w:style>
  <w:style w:type="character" w:customStyle="1" w:styleId="93">
    <w:name w:val="hover26"/>
    <w:basedOn w:val="6"/>
    <w:qFormat/>
    <w:uiPriority w:val="0"/>
    <w:rPr>
      <w:color w:val="000000"/>
      <w:shd w:val="clear" w:color="auto" w:fill="FFFFFF"/>
    </w:rPr>
  </w:style>
  <w:style w:type="character" w:customStyle="1" w:styleId="94">
    <w:name w:val="hover14"/>
    <w:basedOn w:val="6"/>
    <w:qFormat/>
    <w:uiPriority w:val="0"/>
    <w:rPr>
      <w:color w:val="000000"/>
      <w:shd w:val="clear" w:color="auto" w:fill="FFFFFF"/>
    </w:rPr>
  </w:style>
  <w:style w:type="character" w:customStyle="1" w:styleId="95">
    <w:name w:val="hover11"/>
    <w:basedOn w:val="6"/>
    <w:qFormat/>
    <w:uiPriority w:val="0"/>
    <w:rPr>
      <w:color w:val="000000"/>
      <w:shd w:val="clear" w:color="auto" w:fill="FFFFFF"/>
    </w:rPr>
  </w:style>
  <w:style w:type="character" w:customStyle="1" w:styleId="96">
    <w:name w:val="页眉 Char"/>
    <w:basedOn w:val="6"/>
    <w:link w:val="3"/>
    <w:qFormat/>
    <w:uiPriority w:val="0"/>
    <w:rPr>
      <w:rFonts w:asciiTheme="minorHAnsi" w:hAnsiTheme="minorHAnsi" w:eastAsiaTheme="minorEastAsia" w:cstheme="minorBidi"/>
      <w:kern w:val="2"/>
      <w:sz w:val="18"/>
      <w:szCs w:val="18"/>
    </w:rPr>
  </w:style>
  <w:style w:type="character" w:customStyle="1" w:styleId="97">
    <w:name w:val="页脚 Char"/>
    <w:basedOn w:val="6"/>
    <w:link w:val="2"/>
    <w:qFormat/>
    <w:uiPriority w:val="0"/>
    <w:rPr>
      <w:rFonts w:asciiTheme="minorHAnsi" w:hAnsiTheme="minorHAnsi" w:eastAsiaTheme="minorEastAsia" w:cstheme="minorBidi"/>
      <w:kern w:val="2"/>
      <w:sz w:val="18"/>
      <w:szCs w:val="18"/>
    </w:rPr>
  </w:style>
  <w:style w:type="paragraph" w:customStyle="1" w:styleId="98">
    <w:name w:val="western"/>
    <w:basedOn w:val="1"/>
    <w:qFormat/>
    <w:uiPriority w:val="0"/>
    <w:pPr>
      <w:widowControl/>
      <w:spacing w:before="100" w:beforeAutospacing="1" w:after="100" w:afterAutospacing="1"/>
      <w:jc w:val="left"/>
    </w:pPr>
    <w:rPr>
      <w:rFonts w:ascii="宋体" w:hAnsi="宋体" w:eastAsia="宋体" w:cs="宋体"/>
      <w:kern w:val="0"/>
      <w:sz w:val="24"/>
    </w:rPr>
  </w:style>
  <w:style w:type="paragraph" w:styleId="99">
    <w:name w:val="List Paragraph"/>
    <w:basedOn w:val="1"/>
    <w:unhideWhenUsed/>
    <w:qFormat/>
    <w:uiPriority w:val="99"/>
    <w:pPr>
      <w:ind w:firstLine="420" w:firstLineChars="200"/>
    </w:pPr>
  </w:style>
  <w:style w:type="paragraph" w:customStyle="1" w:styleId="100">
    <w:name w:val="p0"/>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01">
    <w:name w:val="layui-layer-tabnow"/>
    <w:basedOn w:val="6"/>
    <w:qFormat/>
    <w:uiPriority w:val="0"/>
    <w:rPr>
      <w:bdr w:val="single" w:color="CCCCCC" w:sz="6" w:space="0"/>
      <w:shd w:val="clear" w:color="auto" w:fill="FFFFFF"/>
    </w:rPr>
  </w:style>
  <w:style w:type="character" w:customStyle="1" w:styleId="102">
    <w:name w:val="first-child"/>
    <w:basedOn w:val="6"/>
    <w:qFormat/>
    <w:uiPriority w:val="0"/>
  </w:style>
  <w:style w:type="character" w:customStyle="1" w:styleId="103">
    <w:name w:val="button"/>
    <w:basedOn w:val="6"/>
    <w:qFormat/>
    <w:uiPriority w:val="0"/>
  </w:style>
  <w:style w:type="character" w:customStyle="1" w:styleId="104">
    <w:name w:val="tmpztreemove_arrow"/>
    <w:basedOn w:val="6"/>
    <w:qFormat/>
    <w:uiPriority w:val="0"/>
  </w:style>
  <w:style w:type="character" w:customStyle="1" w:styleId="105">
    <w:name w:val="bsharetext"/>
    <w:basedOn w:val="6"/>
    <w:qFormat/>
    <w:uiPriority w:val="0"/>
  </w:style>
  <w:style w:type="character" w:customStyle="1" w:styleId="106">
    <w:name w:val="u-btn"/>
    <w:basedOn w:val="6"/>
    <w:qFormat/>
    <w:uiPriority w:val="0"/>
  </w:style>
  <w:style w:type="character" w:customStyle="1" w:styleId="107">
    <w:name w:val="z-open"/>
    <w:basedOn w:val="6"/>
    <w:qFormat/>
    <w:uiPriority w:val="0"/>
  </w:style>
  <w:style w:type="character" w:customStyle="1" w:styleId="108">
    <w:name w:val="hover6"/>
    <w:basedOn w:val="6"/>
    <w:qFormat/>
    <w:uiPriority w:val="0"/>
    <w:rPr>
      <w:color w:val="000000"/>
      <w:shd w:val="clear" w:fill="FFFFFF"/>
    </w:rPr>
  </w:style>
  <w:style w:type="character" w:customStyle="1" w:styleId="109">
    <w:name w:val="layui-this"/>
    <w:basedOn w:val="6"/>
    <w:qFormat/>
    <w:uiPriority w:val="0"/>
    <w:rPr>
      <w:bdr w:val="single" w:color="EEEEEE" w:sz="6" w:space="0"/>
      <w:shd w:val="clear" w:fill="FFFFFF"/>
    </w:rPr>
  </w:style>
  <w:style w:type="character" w:customStyle="1" w:styleId="110">
    <w:name w:val="hover8"/>
    <w:basedOn w:val="6"/>
    <w:qFormat/>
    <w:uiPriority w:val="0"/>
    <w:rPr>
      <w:color w:val="FFFFFF"/>
      <w:shd w:val="clear" w:fill="3667D1"/>
    </w:rPr>
  </w:style>
  <w:style w:type="character" w:customStyle="1" w:styleId="111">
    <w:name w:val="hover5"/>
    <w:basedOn w:val="6"/>
    <w:qFormat/>
    <w:uiPriority w:val="0"/>
    <w:rPr>
      <w:color w:val="00000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2991</Words>
  <Characters>3074</Characters>
  <Lines>29</Lines>
  <Paragraphs>8</Paragraphs>
  <TotalTime>21</TotalTime>
  <ScaleCrop>false</ScaleCrop>
  <LinksUpToDate>false</LinksUpToDate>
  <CharactersWithSpaces>3082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2020-01-21T08:21:00Z</dcterms:created>
  <dc:creator>Administrator</dc:creator>
  <cp:lastModifiedBy>王大大</cp:lastModifiedBy>
  <cp:lastPrinted>2021-01-15T03:18:00Z</cp:lastPrinted>
  <dcterms:modified xsi:type="dcterms:W3CDTF">2022-08-29T06:58:07Z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BF8DC3795D07432686D10FDD79E8D6A7</vt:lpwstr>
  </property>
</Properties>
</file>