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关于《舒城县城区防洪应急预案》(征求意见稿)》的起草说明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一、制定背景和依据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以习近平新时代中国特色社会主义思想为指导，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贯彻落实“两个坚持、三个转变”防灾减灾救灾新理念，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《中华人民共和国水法》《中华人民共和国突发事件应对法》《中华人民共和国防洪法》《六安市防汛抗旱应急预案》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《六安市城市防洪应急预案》《舒城县防汛抗旱应急预案》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等法律法规和有关规定，制定本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预案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。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编制过程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2021年</w:t>
      </w:r>
      <w:r>
        <w:rPr>
          <w:rFonts w:hint="eastAsia" w:ascii="仿宋_GB2312" w:hAnsi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月，我局根据《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六安市防汛抗旱应急预案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》</w:t>
      </w:r>
      <w:r>
        <w:rPr>
          <w:rFonts w:hint="eastAsia" w:ascii="仿宋_GB2312" w:hAnsi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，并参照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《六安市城市防洪应急预案》《舒城县防汛抗旱应急预案》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，开展我县城区防洪应急预案编制工作，由局分管领导牵头成立工作小组，通过前期调研、会商讨论，于2022年</w:t>
      </w:r>
      <w:r>
        <w:rPr>
          <w:rFonts w:hint="eastAsia" w:ascii="仿宋_GB2312" w:hAnsi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月形成初稿。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制定意义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编制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我县城区防洪应急预案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，有利于健全我县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城区防洪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应急机制，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应对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水灾突发事件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，及时控制和消除突发性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水灾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，不断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提升城区防汛排涝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应急准备和处置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能力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、工作目标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防洪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工作的组织领导，建立部门间协调配合、形成齐抓共管的联动机制，做好水灾突发事件的应急准备和处置工作，保证抗洪抢险工作高效有序进行，最大限度减少灾害造成的危害，保障经济社会稳定发展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、主要内容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本规划内容共分十大部分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及七个附件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第一部分是总则：编制目的、编制依据、适用范围、工作原则。第二部分是城市概况：自然地理与气候条件、社会经济概况、洪涝风险特征。第三部分是组织指挥体系及职责：组织指挥体系、县城区防汛办职责、成员单位职责、防汛现场指挥机构、有关部门配合和衔接机制。第四部分是汛前准备：责任落实、应急预案、汛前检查、工程准备、应急物资和队伍、培训演练、宣传教育、社会动员。第五部分是监测预警：监测预报、预警类别与等级、预警发布与解除、预警响应。第六部分是信息报告及发布：信息报告内容、信息报送、信息发布。第七部分是应急响应：总体要求、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应急响应启动与解除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应急响应行动、响应措施。第八部分是应急保障：组织保障、队伍保障、物资保障、资金保障、技术保障、通信保障、交通保障、电力保障、灾民安置和医疗保障。第九部分是后期处置：善后工作、总结评估。第十部分是附则：名词术语解释、预案管理与更新、奖励与责任、防汛值班电话、有关格式化文本、预案解释部门、预案实施时间。附件：附件1舒城县建成区水系图、附件2舒城县城市现状排水系统排水能力评估图、附件3舒城县城区现状积水点分布图、附件4舒城县规划城区高、低排区划分析图、附件5舒城县城市排水分区规划表、附件6舒城县城管局城区地下有限空间排查统计台账、附件7舒城县城区内涝点治理清单（补充版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舒城县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城市管理行政执法局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A1A58"/>
    <w:multiLevelType w:val="singleLevel"/>
    <w:tmpl w:val="0EEA1A5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ODE0MWNmY2FhOWU5MTJlZGZjNjdjNDQxYjIzNWYifQ=="/>
  </w:docVars>
  <w:rsids>
    <w:rsidRoot w:val="3AC45D87"/>
    <w:rsid w:val="3AC45D87"/>
    <w:rsid w:val="73ED3880"/>
    <w:rsid w:val="798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ind w:firstLine="640" w:firstLineChars="200"/>
    </w:pPr>
    <w:rPr>
      <w:rFonts w:ascii="Calibri" w:hAnsi="Calibri"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1062</Words>
  <Characters>1072</Characters>
  <Lines>0</Lines>
  <Paragraphs>0</Paragraphs>
  <TotalTime>0</TotalTime>
  <ScaleCrop>false</ScaleCrop>
  <LinksUpToDate>false</LinksUpToDate>
  <CharactersWithSpaces>1074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2022-10-10T08:18:00Z</dcterms:created>
  <dc:creator>李彤</dc:creator>
  <cp:lastModifiedBy>qzuser</cp:lastModifiedBy>
  <dcterms:modified xsi:type="dcterms:W3CDTF">2022-10-19T06:54:24Z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23A0BD23E84345A7A8A3030AD5572B91</vt:lpwstr>
  </property>
</Properties>
</file>