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sz w:val="52"/>
          <w:szCs w:val="52"/>
        </w:rPr>
      </w:pPr>
      <w:bookmarkStart w:id="0" w:name="_Toc25394"/>
      <w:bookmarkStart w:id="1" w:name="_Toc445"/>
      <w:bookmarkStart w:id="2" w:name="_Toc18348"/>
      <w:bookmarkStart w:id="3" w:name="_Toc16017"/>
      <w:bookmarkStart w:id="4" w:name="_Toc11228"/>
      <w:bookmarkStart w:id="5" w:name="_Toc21567"/>
    </w:p>
    <w:p>
      <w:pPr>
        <w:jc w:val="center"/>
        <w:rPr>
          <w:rFonts w:hint="eastAsia" w:ascii="黑体" w:hAnsi="黑体" w:eastAsia="黑体"/>
          <w:b/>
          <w:sz w:val="52"/>
          <w:szCs w:val="52"/>
        </w:rPr>
      </w:pPr>
    </w:p>
    <w:p>
      <w:pPr>
        <w:jc w:val="center"/>
        <w:rPr>
          <w:rFonts w:hint="eastAsia" w:ascii="黑体" w:hAnsi="黑体" w:eastAsia="黑体"/>
          <w:b/>
          <w:sz w:val="52"/>
          <w:szCs w:val="52"/>
        </w:rPr>
      </w:pPr>
    </w:p>
    <w:p>
      <w:pPr>
        <w:jc w:val="center"/>
        <w:rPr>
          <w:rFonts w:hint="eastAsia" w:ascii="黑体" w:hAnsi="黑体" w:eastAsia="黑体"/>
          <w:b/>
          <w:sz w:val="52"/>
          <w:szCs w:val="52"/>
        </w:rPr>
      </w:pPr>
    </w:p>
    <w:p>
      <w:pPr>
        <w:jc w:val="center"/>
        <w:rPr>
          <w:rFonts w:hint="eastAsia" w:ascii="黑体" w:hAnsi="黑体" w:eastAsia="黑体"/>
          <w:b/>
          <w:sz w:val="52"/>
          <w:szCs w:val="52"/>
        </w:rPr>
      </w:pPr>
      <w:r>
        <w:rPr>
          <w:rFonts w:hint="eastAsia" w:ascii="黑体" w:hAnsi="黑体" w:eastAsia="黑体"/>
          <w:b/>
          <w:sz w:val="52"/>
          <w:szCs w:val="52"/>
        </w:rPr>
        <w:t>舒城县城区防洪应急预案</w:t>
      </w:r>
    </w:p>
    <w:p>
      <w:pPr>
        <w:jc w:val="center"/>
        <w:rPr>
          <w:rFonts w:ascii="黑体" w:hAnsi="黑体" w:eastAsia="黑体"/>
          <w:b/>
          <w:sz w:val="52"/>
          <w:szCs w:val="52"/>
        </w:rPr>
      </w:pPr>
      <w:r>
        <w:rPr>
          <w:rFonts w:hint="eastAsia" w:ascii="黑体" w:hAnsi="黑体" w:eastAsia="黑体"/>
          <w:b/>
          <w:sz w:val="52"/>
          <w:szCs w:val="52"/>
        </w:rPr>
        <w:t>（征求意见稿）</w:t>
      </w:r>
    </w:p>
    <w:p>
      <w:pPr>
        <w:ind w:firstLine="560" w:firstLineChars="200"/>
        <w:rPr>
          <w:rFonts w:ascii="宋体" w:hAnsi="宋体"/>
          <w:sz w:val="28"/>
          <w:szCs w:val="28"/>
        </w:rPr>
      </w:pPr>
    </w:p>
    <w:p>
      <w:pPr>
        <w:ind w:firstLine="560" w:firstLineChars="200"/>
        <w:rPr>
          <w:rFonts w:ascii="宋体" w:hAnsi="宋体"/>
          <w:sz w:val="28"/>
          <w:szCs w:val="28"/>
        </w:rPr>
      </w:pPr>
    </w:p>
    <w:p>
      <w:pPr>
        <w:ind w:firstLine="560" w:firstLineChars="200"/>
        <w:rPr>
          <w:rFonts w:ascii="宋体" w:hAnsi="宋体"/>
          <w:sz w:val="28"/>
          <w:szCs w:val="28"/>
        </w:rPr>
      </w:pPr>
    </w:p>
    <w:p>
      <w:pPr>
        <w:ind w:firstLine="560" w:firstLineChars="200"/>
        <w:rPr>
          <w:rFonts w:ascii="宋体" w:hAnsi="宋体"/>
          <w:sz w:val="28"/>
          <w:szCs w:val="28"/>
        </w:rPr>
      </w:pPr>
    </w:p>
    <w:p>
      <w:pPr>
        <w:ind w:firstLine="560" w:firstLineChars="200"/>
        <w:rPr>
          <w:rFonts w:ascii="宋体" w:hAnsi="宋体"/>
          <w:sz w:val="28"/>
          <w:szCs w:val="28"/>
        </w:rPr>
      </w:pPr>
    </w:p>
    <w:p>
      <w:pPr>
        <w:ind w:firstLine="560" w:firstLineChars="200"/>
        <w:rPr>
          <w:rFonts w:ascii="宋体" w:hAnsi="宋体"/>
          <w:sz w:val="28"/>
          <w:szCs w:val="28"/>
        </w:rPr>
      </w:pPr>
    </w:p>
    <w:p>
      <w:pPr>
        <w:ind w:firstLine="560" w:firstLineChars="200"/>
        <w:rPr>
          <w:rFonts w:ascii="宋体" w:hAnsi="宋体"/>
          <w:sz w:val="28"/>
          <w:szCs w:val="28"/>
        </w:rPr>
      </w:pPr>
    </w:p>
    <w:p>
      <w:pPr>
        <w:ind w:firstLine="560" w:firstLineChars="200"/>
        <w:rPr>
          <w:rFonts w:ascii="宋体" w:hAnsi="宋体"/>
          <w:sz w:val="28"/>
          <w:szCs w:val="28"/>
        </w:rPr>
      </w:pPr>
    </w:p>
    <w:p>
      <w:pPr>
        <w:ind w:firstLine="560" w:firstLineChars="200"/>
        <w:rPr>
          <w:rFonts w:ascii="宋体" w:hAnsi="宋体"/>
          <w:sz w:val="28"/>
          <w:szCs w:val="28"/>
        </w:rPr>
      </w:pPr>
    </w:p>
    <w:p>
      <w:pPr>
        <w:ind w:firstLine="560" w:firstLineChars="200"/>
        <w:rPr>
          <w:rFonts w:ascii="宋体" w:hAnsi="宋体"/>
          <w:sz w:val="28"/>
          <w:szCs w:val="28"/>
        </w:rPr>
      </w:pPr>
    </w:p>
    <w:p>
      <w:pPr>
        <w:jc w:val="center"/>
        <w:rPr>
          <w:rFonts w:ascii="黑体" w:hAnsi="黑体" w:eastAsia="黑体"/>
          <w:b/>
          <w:sz w:val="36"/>
          <w:szCs w:val="36"/>
        </w:rPr>
      </w:pPr>
      <w:r>
        <w:rPr>
          <w:rFonts w:hint="eastAsia" w:ascii="黑体" w:hAnsi="黑体" w:eastAsia="黑体"/>
          <w:b/>
          <w:sz w:val="36"/>
          <w:szCs w:val="36"/>
        </w:rPr>
        <w:t>舒城县城区防汛抗旱指挥部办公室</w:t>
      </w:r>
    </w:p>
    <w:p>
      <w:pPr>
        <w:jc w:val="center"/>
        <w:rPr>
          <w:rFonts w:ascii="黑体" w:hAnsi="黑体" w:eastAsia="黑体"/>
          <w:b/>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646" w:bottom="1440" w:left="1800" w:header="851" w:footer="992" w:gutter="0"/>
          <w:pgNumType w:fmt="numberInDash" w:start="1"/>
          <w:cols w:space="720" w:num="1"/>
          <w:titlePg/>
          <w:docGrid w:type="lines" w:linePitch="312" w:charSpace="0"/>
        </w:sectPr>
      </w:pPr>
      <w:r>
        <w:rPr>
          <w:rFonts w:hint="eastAsia" w:ascii="黑体" w:hAnsi="黑体" w:eastAsia="黑体"/>
          <w:b/>
          <w:sz w:val="36"/>
          <w:szCs w:val="36"/>
        </w:rPr>
        <w:t>二〇二二年十月</w:t>
      </w:r>
    </w:p>
    <w:p>
      <w:pPr>
        <w:spacing w:afterLines="50" w:line="560" w:lineRule="exact"/>
        <w:jc w:val="center"/>
        <w:outlineLvl w:val="0"/>
        <w:rPr>
          <w:rFonts w:eastAsia="方正小标宋简体" w:cs="方正小标宋简体"/>
          <w:bCs/>
          <w:color w:val="000000" w:themeColor="text1"/>
          <w:sz w:val="44"/>
          <w:szCs w:val="44"/>
          <w14:textFill>
            <w14:solidFill>
              <w14:schemeClr w14:val="tx1"/>
            </w14:solidFill>
          </w14:textFill>
        </w:rPr>
      </w:pPr>
      <w:r>
        <w:rPr>
          <w:rFonts w:hint="eastAsia" w:eastAsia="方正小标宋简体" w:cs="方正小标宋简体"/>
          <w:bCs/>
          <w:color w:val="000000" w:themeColor="text1"/>
          <w:sz w:val="44"/>
          <w:szCs w:val="44"/>
          <w14:textFill>
            <w14:solidFill>
              <w14:schemeClr w14:val="tx1"/>
            </w14:solidFill>
          </w14:textFill>
        </w:rPr>
        <w:t>舒城县城区防洪应急预案</w:t>
      </w:r>
      <w:bookmarkEnd w:id="0"/>
      <w:bookmarkEnd w:id="1"/>
      <w:bookmarkEnd w:id="2"/>
      <w:bookmarkEnd w:id="3"/>
      <w:bookmarkEnd w:id="4"/>
      <w:bookmarkEnd w:id="5"/>
      <w:r>
        <w:rPr>
          <w:rFonts w:hint="eastAsia" w:eastAsia="方正小标宋简体" w:cs="方正小标宋简体"/>
          <w:bCs/>
          <w:color w:val="000000" w:themeColor="text1"/>
          <w:sz w:val="44"/>
          <w:szCs w:val="44"/>
          <w14:textFill>
            <w14:solidFill>
              <w14:schemeClr w14:val="tx1"/>
            </w14:solidFill>
          </w14:textFill>
        </w:rPr>
        <w:t>（征求意见稿）</w:t>
      </w:r>
    </w:p>
    <w:sdt>
      <w:sdtPr>
        <w:rPr>
          <w:rFonts w:hint="eastAsia" w:ascii="黑体" w:hAnsi="黑体" w:eastAsia="黑体" w:cs="黑体"/>
          <w:b/>
          <w:bCs/>
          <w:color w:val="000000" w:themeColor="text1"/>
          <w:sz w:val="32"/>
          <w:szCs w:val="32"/>
          <w14:textFill>
            <w14:solidFill>
              <w14:schemeClr w14:val="tx1"/>
            </w14:solidFill>
          </w14:textFill>
        </w:rPr>
        <w:id w:val="147455638"/>
        <w:docPartObj>
          <w:docPartGallery w:val="Table of Contents"/>
          <w:docPartUnique/>
        </w:docPartObj>
      </w:sdtPr>
      <w:sdtEndPr>
        <w:rPr>
          <w:rFonts w:hint="eastAsia" w:ascii="Times New Roman" w:hAnsi="Times New Roman" w:eastAsia="宋体" w:cs="Times New Roman"/>
          <w:b/>
          <w:bCs/>
          <w:color w:val="000000" w:themeColor="text1"/>
          <w:sz w:val="32"/>
          <w:szCs w:val="32"/>
          <w14:textFill>
            <w14:solidFill>
              <w14:schemeClr w14:val="tx1"/>
            </w14:solidFill>
          </w14:textFill>
        </w:rPr>
      </w:sdtEndPr>
      <w:sdtContent>
        <w:p>
          <w:pPr>
            <w:spacing w:line="540" w:lineRule="exact"/>
            <w:jc w:val="center"/>
            <w:rPr>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目录</w:t>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TOC \o "1-2" \h \u </w:instrText>
          </w:r>
          <w:r>
            <w:rPr>
              <w:color w:val="000000" w:themeColor="text1"/>
              <w:sz w:val="28"/>
              <w:szCs w:val="28"/>
              <w14:textFill>
                <w14:solidFill>
                  <w14:schemeClr w14:val="tx1"/>
                </w14:solidFill>
              </w14:textFill>
            </w:rPr>
            <w:fldChar w:fldCharType="separate"/>
          </w:r>
        </w:p>
        <w:p>
          <w:pPr>
            <w:pStyle w:val="22"/>
            <w:tabs>
              <w:tab w:val="right" w:leader="dot" w:pos="8845"/>
            </w:tabs>
            <w:spacing w:line="540" w:lineRule="exact"/>
            <w:rPr>
              <w:color w:val="000000" w:themeColor="text1"/>
              <w:sz w:val="28"/>
              <w:szCs w:val="28"/>
              <w14:textFill>
                <w14:solidFill>
                  <w14:schemeClr w14:val="tx1"/>
                </w14:solidFill>
              </w14:textFill>
            </w:rPr>
          </w:pPr>
          <w:r>
            <w:fldChar w:fldCharType="begin"/>
          </w:r>
          <w:r>
            <w:instrText xml:space="preserve"> HYPERLINK \l "_Toc7130" </w:instrText>
          </w:r>
          <w:r>
            <w:fldChar w:fldCharType="separate"/>
          </w:r>
          <w:r>
            <w:rPr>
              <w:rFonts w:hint="eastAsia" w:eastAsia="黑体" w:cs="黑体"/>
              <w:color w:val="000000" w:themeColor="text1"/>
              <w:sz w:val="28"/>
              <w:szCs w:val="28"/>
              <w14:textFill>
                <w14:solidFill>
                  <w14:schemeClr w14:val="tx1"/>
                </w14:solidFill>
              </w14:textFill>
            </w:rPr>
            <w:t>1总则</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_Toc7130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"_Toc25545" </w:instrText>
          </w:r>
          <w:r>
            <w:fldChar w:fldCharType="separate"/>
          </w:r>
          <w:r>
            <w:rPr>
              <w:rFonts w:hint="eastAsia" w:cs="宋体"/>
              <w:color w:val="000000" w:themeColor="text1"/>
              <w:sz w:val="28"/>
              <w:szCs w:val="28"/>
              <w14:textFill>
                <w14:solidFill>
                  <w14:schemeClr w14:val="tx1"/>
                </w14:solidFill>
              </w14:textFill>
            </w:rPr>
            <w:t>1.1编制目的</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_Toc25545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"_Toc20908" </w:instrText>
          </w:r>
          <w:r>
            <w:fldChar w:fldCharType="separate"/>
          </w:r>
          <w:r>
            <w:rPr>
              <w:rFonts w:hint="eastAsia" w:cs="宋体"/>
              <w:color w:val="000000" w:themeColor="text1"/>
              <w:sz w:val="28"/>
              <w:szCs w:val="28"/>
              <w14:textFill>
                <w14:solidFill>
                  <w14:schemeClr w14:val="tx1"/>
                </w14:solidFill>
              </w14:textFill>
            </w:rPr>
            <w:t>1.2编制依据</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_Toc20908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"_Toc4384" </w:instrText>
          </w:r>
          <w:r>
            <w:fldChar w:fldCharType="separate"/>
          </w:r>
          <w:r>
            <w:rPr>
              <w:rFonts w:hint="eastAsia" w:cs="宋体"/>
              <w:color w:val="000000" w:themeColor="text1"/>
              <w:sz w:val="28"/>
              <w:szCs w:val="28"/>
              <w14:textFill>
                <w14:solidFill>
                  <w14:schemeClr w14:val="tx1"/>
                </w14:solidFill>
              </w14:textFill>
            </w:rPr>
            <w:t>1.3适用范围</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_Toc4384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"_Toc26842" </w:instrText>
          </w:r>
          <w:r>
            <w:fldChar w:fldCharType="separate"/>
          </w:r>
          <w:r>
            <w:rPr>
              <w:rFonts w:hint="eastAsia" w:cs="宋体"/>
              <w:color w:val="000000" w:themeColor="text1"/>
              <w:sz w:val="28"/>
              <w:szCs w:val="28"/>
              <w14:textFill>
                <w14:solidFill>
                  <w14:schemeClr w14:val="tx1"/>
                </w14:solidFill>
              </w14:textFill>
            </w:rPr>
            <w:t>1.4工作原则</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_Toc26842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2"/>
            <w:tabs>
              <w:tab w:val="right" w:leader="dot" w:pos="8845"/>
            </w:tabs>
            <w:spacing w:line="540" w:lineRule="exact"/>
            <w:rPr>
              <w:color w:val="000000" w:themeColor="text1"/>
              <w:sz w:val="28"/>
              <w:szCs w:val="28"/>
              <w14:textFill>
                <w14:solidFill>
                  <w14:schemeClr w14:val="tx1"/>
                </w14:solidFill>
              </w14:textFill>
            </w:rPr>
          </w:pPr>
          <w:r>
            <w:fldChar w:fldCharType="begin"/>
          </w:r>
          <w:r>
            <w:instrText xml:space="preserve"> HYPERLINK \l "_Toc19223" </w:instrText>
          </w:r>
          <w:r>
            <w:fldChar w:fldCharType="separate"/>
          </w:r>
          <w:r>
            <w:rPr>
              <w:rFonts w:hint="eastAsia" w:eastAsia="黑体" w:cs="黑体"/>
              <w:color w:val="000000" w:themeColor="text1"/>
              <w:sz w:val="28"/>
              <w:szCs w:val="28"/>
              <w14:textFill>
                <w14:solidFill>
                  <w14:schemeClr w14:val="tx1"/>
                </w14:solidFill>
              </w14:textFill>
            </w:rPr>
            <w:t>2城市概况</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_Toc19223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"_Toc9490" </w:instrText>
          </w:r>
          <w:r>
            <w:fldChar w:fldCharType="separate"/>
          </w:r>
          <w:r>
            <w:rPr>
              <w:rFonts w:hint="eastAsia"/>
              <w:color w:val="000000" w:themeColor="text1"/>
              <w:sz w:val="28"/>
              <w:szCs w:val="28"/>
              <w14:textFill>
                <w14:solidFill>
                  <w14:schemeClr w14:val="tx1"/>
                </w14:solidFill>
              </w14:textFill>
            </w:rPr>
            <w:t>2.1自然地理与气候条件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_Toc9490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"_Toc3942" </w:instrText>
          </w:r>
          <w:r>
            <w:fldChar w:fldCharType="separate"/>
          </w:r>
          <w:r>
            <w:rPr>
              <w:rFonts w:hint="eastAsia"/>
              <w:color w:val="000000" w:themeColor="text1"/>
              <w:sz w:val="28"/>
              <w:szCs w:val="28"/>
              <w14:textFill>
                <w14:solidFill>
                  <w14:schemeClr w14:val="tx1"/>
                </w14:solidFill>
              </w14:textFill>
            </w:rPr>
            <w:t>2.2社会经济概况</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6</w:t>
          </w:r>
          <w:r>
            <w:rPr>
              <w:rFonts w:hint="eastAsia"/>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"_Toc12320" </w:instrText>
          </w:r>
          <w:r>
            <w:fldChar w:fldCharType="separate"/>
          </w:r>
          <w:r>
            <w:rPr>
              <w:rFonts w:hint="eastAsia"/>
              <w:color w:val="000000" w:themeColor="text1"/>
              <w:sz w:val="28"/>
              <w:szCs w:val="28"/>
              <w14:textFill>
                <w14:solidFill>
                  <w14:schemeClr w14:val="tx1"/>
                </w14:solidFill>
              </w14:textFill>
            </w:rPr>
            <w:t>2.3洪涝风险特征</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_Toc12320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2"/>
            <w:tabs>
              <w:tab w:val="right" w:leader="dot" w:pos="8845"/>
            </w:tabs>
            <w:spacing w:line="540" w:lineRule="exact"/>
            <w:rPr>
              <w:color w:val="000000" w:themeColor="text1"/>
              <w:sz w:val="28"/>
              <w:szCs w:val="28"/>
              <w14:textFill>
                <w14:solidFill>
                  <w14:schemeClr w14:val="tx1"/>
                </w14:solidFill>
              </w14:textFill>
            </w:rPr>
          </w:pPr>
          <w:r>
            <w:fldChar w:fldCharType="begin"/>
          </w:r>
          <w:r>
            <w:instrText xml:space="preserve"> HYPERLINK \l "_Toc19845" </w:instrText>
          </w:r>
          <w:r>
            <w:fldChar w:fldCharType="separate"/>
          </w:r>
          <w:r>
            <w:rPr>
              <w:rFonts w:hint="eastAsia" w:eastAsia="黑体" w:cs="黑体"/>
              <w:color w:val="000000" w:themeColor="text1"/>
              <w:sz w:val="28"/>
              <w:szCs w:val="28"/>
              <w14:textFill>
                <w14:solidFill>
                  <w14:schemeClr w14:val="tx1"/>
                </w14:solidFill>
              </w14:textFill>
            </w:rPr>
            <w:t>3组织指挥体系及职责</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_Toc19845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"_Toc14731" </w:instrText>
          </w:r>
          <w:r>
            <w:fldChar w:fldCharType="separate"/>
          </w:r>
          <w:r>
            <w:rPr>
              <w:rFonts w:hint="eastAsia" w:cs="宋体"/>
              <w:color w:val="000000" w:themeColor="text1"/>
              <w:sz w:val="28"/>
              <w:szCs w:val="28"/>
              <w14:textFill>
                <w14:solidFill>
                  <w14:schemeClr w14:val="tx1"/>
                </w14:solidFill>
              </w14:textFill>
            </w:rPr>
            <w:t>3.1 组织指挥体系</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_Toc14731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"_Toc8203" </w:instrText>
          </w:r>
          <w:r>
            <w:fldChar w:fldCharType="separate"/>
          </w:r>
          <w:r>
            <w:rPr>
              <w:rFonts w:hint="eastAsia" w:cs="宋体"/>
              <w:color w:val="000000" w:themeColor="text1"/>
              <w:sz w:val="28"/>
              <w:szCs w:val="28"/>
              <w14:textFill>
                <w14:solidFill>
                  <w14:schemeClr w14:val="tx1"/>
                </w14:solidFill>
              </w14:textFill>
            </w:rPr>
            <w:t>3.2县城区防汛办职责</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_Toc8203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8</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"_Toc18239" </w:instrText>
          </w:r>
          <w:r>
            <w:fldChar w:fldCharType="separate"/>
          </w:r>
          <w:r>
            <w:rPr>
              <w:rFonts w:hint="eastAsia" w:cs="宋体"/>
              <w:color w:val="000000" w:themeColor="text1"/>
              <w:sz w:val="28"/>
              <w:szCs w:val="28"/>
              <w14:textFill>
                <w14:solidFill>
                  <w14:schemeClr w14:val="tx1"/>
                </w14:solidFill>
              </w14:textFill>
            </w:rPr>
            <w:t>3.3 成员单位职责</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_Toc18239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8</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"_Toc29240" </w:instrText>
          </w:r>
          <w:r>
            <w:fldChar w:fldCharType="separate"/>
          </w:r>
          <w:r>
            <w:rPr>
              <w:rFonts w:hint="eastAsia" w:cs="宋体"/>
              <w:color w:val="000000" w:themeColor="text1"/>
              <w:sz w:val="28"/>
              <w:szCs w:val="28"/>
              <w14:textFill>
                <w14:solidFill>
                  <w14:schemeClr w14:val="tx1"/>
                </w14:solidFill>
              </w14:textFill>
            </w:rPr>
            <w:t>3.4 防汛现场指挥机构</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_Toc29240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"_Toc15748" </w:instrText>
          </w:r>
          <w:r>
            <w:fldChar w:fldCharType="separate"/>
          </w:r>
          <w:r>
            <w:rPr>
              <w:rFonts w:hint="eastAsia" w:cs="宋体"/>
              <w:color w:val="000000" w:themeColor="text1"/>
              <w:sz w:val="28"/>
              <w:szCs w:val="28"/>
              <w14:textFill>
                <w14:solidFill>
                  <w14:schemeClr w14:val="tx1"/>
                </w14:solidFill>
              </w14:textFill>
            </w:rPr>
            <w:t>3.5</w:t>
          </w:r>
          <w:r>
            <w:rPr>
              <w:rFonts w:cs="宋体"/>
              <w:color w:val="000000" w:themeColor="text1"/>
              <w:sz w:val="28"/>
              <w:szCs w:val="28"/>
              <w14:textFill>
                <w14:solidFill>
                  <w14:schemeClr w14:val="tx1"/>
                </w14:solidFill>
              </w14:textFill>
            </w:rPr>
            <w:t>有关部门配合和衔接机制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_Toc15748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14</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2"/>
            <w:tabs>
              <w:tab w:val="right" w:leader="dot" w:pos="8845"/>
            </w:tabs>
            <w:spacing w:line="540" w:lineRule="exact"/>
            <w:rPr>
              <w:color w:val="000000" w:themeColor="text1"/>
              <w:sz w:val="28"/>
              <w:szCs w:val="28"/>
              <w14:textFill>
                <w14:solidFill>
                  <w14:schemeClr w14:val="tx1"/>
                </w14:solidFill>
              </w14:textFill>
            </w:rPr>
          </w:pPr>
          <w:r>
            <w:fldChar w:fldCharType="begin"/>
          </w:r>
          <w:r>
            <w:instrText xml:space="preserve"> HYPERLINK \l "_Toc11560" </w:instrText>
          </w:r>
          <w:r>
            <w:fldChar w:fldCharType="separate"/>
          </w:r>
          <w:r>
            <w:rPr>
              <w:rFonts w:hint="eastAsia" w:eastAsia="黑体" w:cs="黑体"/>
              <w:color w:val="000000" w:themeColor="text1"/>
              <w:sz w:val="28"/>
              <w:szCs w:val="28"/>
              <w14:textFill>
                <w14:solidFill>
                  <w14:schemeClr w14:val="tx1"/>
                </w14:solidFill>
              </w14:textFill>
            </w:rPr>
            <w:t>4汛前准备</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_Toc11560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14</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"_Toc1810" </w:instrText>
          </w:r>
          <w:r>
            <w:fldChar w:fldCharType="separate"/>
          </w:r>
          <w:r>
            <w:rPr>
              <w:rFonts w:hint="eastAsia" w:cs="宋体"/>
              <w:color w:val="000000" w:themeColor="text1"/>
              <w:sz w:val="28"/>
              <w:szCs w:val="28"/>
              <w14:textFill>
                <w14:solidFill>
                  <w14:schemeClr w14:val="tx1"/>
                </w14:solidFill>
              </w14:textFill>
            </w:rPr>
            <w:t>4.1 责任落实</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_Toc1810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14</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"_Toc26241" </w:instrText>
          </w:r>
          <w:r>
            <w:fldChar w:fldCharType="separate"/>
          </w:r>
          <w:r>
            <w:rPr>
              <w:rFonts w:hint="eastAsia" w:cs="宋体"/>
              <w:color w:val="000000" w:themeColor="text1"/>
              <w:sz w:val="28"/>
              <w:szCs w:val="28"/>
              <w14:textFill>
                <w14:solidFill>
                  <w14:schemeClr w14:val="tx1"/>
                </w14:solidFill>
              </w14:textFill>
            </w:rPr>
            <w:t>4.2应急预案</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_Toc26241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"_Toc2459" </w:instrText>
          </w:r>
          <w:r>
            <w:fldChar w:fldCharType="separate"/>
          </w:r>
          <w:r>
            <w:rPr>
              <w:rFonts w:hint="eastAsia" w:cs="宋体"/>
              <w:color w:val="000000" w:themeColor="text1"/>
              <w:sz w:val="28"/>
              <w:szCs w:val="28"/>
              <w14:textFill>
                <w14:solidFill>
                  <w14:schemeClr w14:val="tx1"/>
                </w14:solidFill>
              </w14:textFill>
            </w:rPr>
            <w:t>4.3汛前检查</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_Toc2459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"_Toc327" </w:instrText>
          </w:r>
          <w:r>
            <w:fldChar w:fldCharType="separate"/>
          </w:r>
          <w:r>
            <w:rPr>
              <w:rFonts w:hint="eastAsia" w:cs="宋体"/>
              <w:color w:val="000000" w:themeColor="text1"/>
              <w:sz w:val="28"/>
              <w:szCs w:val="28"/>
              <w14:textFill>
                <w14:solidFill>
                  <w14:schemeClr w14:val="tx1"/>
                </w14:solidFill>
              </w14:textFill>
            </w:rPr>
            <w:t>4.4工程准备</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_Toc327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"_Toc18375" </w:instrText>
          </w:r>
          <w:r>
            <w:fldChar w:fldCharType="separate"/>
          </w:r>
          <w:r>
            <w:rPr>
              <w:rFonts w:hint="eastAsia" w:cs="宋体"/>
              <w:color w:val="000000" w:themeColor="text1"/>
              <w:sz w:val="28"/>
              <w:szCs w:val="28"/>
              <w14:textFill>
                <w14:solidFill>
                  <w14:schemeClr w14:val="tx1"/>
                </w14:solidFill>
              </w14:textFill>
            </w:rPr>
            <w:t>4.5应急物资和队伍</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_Toc18375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"_Toc14955" </w:instrText>
          </w:r>
          <w:r>
            <w:fldChar w:fldCharType="separate"/>
          </w:r>
          <w:r>
            <w:rPr>
              <w:rFonts w:hint="eastAsia" w:cs="宋体"/>
              <w:color w:val="000000" w:themeColor="text1"/>
              <w:sz w:val="28"/>
              <w:szCs w:val="28"/>
              <w14:textFill>
                <w14:solidFill>
                  <w14:schemeClr w14:val="tx1"/>
                </w14:solidFill>
              </w14:textFill>
            </w:rPr>
            <w:t>4.6培训演练</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_Toc14955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"_Toc25605" </w:instrText>
          </w:r>
          <w:r>
            <w:fldChar w:fldCharType="separate"/>
          </w:r>
          <w:r>
            <w:rPr>
              <w:rFonts w:hint="eastAsia" w:cs="宋体"/>
              <w:color w:val="000000" w:themeColor="text1"/>
              <w:sz w:val="28"/>
              <w:szCs w:val="28"/>
              <w14:textFill>
                <w14:solidFill>
                  <w14:schemeClr w14:val="tx1"/>
                </w14:solidFill>
              </w14:textFill>
            </w:rPr>
            <w:t>4.7宣传教育</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_Toc25605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"_Toc9948" </w:instrText>
          </w:r>
          <w:r>
            <w:fldChar w:fldCharType="separate"/>
          </w:r>
          <w:r>
            <w:rPr>
              <w:rFonts w:hint="eastAsia" w:cs="宋体"/>
              <w:color w:val="000000" w:themeColor="text1"/>
              <w:sz w:val="28"/>
              <w:szCs w:val="28"/>
              <w14:textFill>
                <w14:solidFill>
                  <w14:schemeClr w14:val="tx1"/>
                </w14:solidFill>
              </w14:textFill>
            </w:rPr>
            <w:t>4.8社会动员</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_Toc9948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2"/>
            <w:tabs>
              <w:tab w:val="right" w:leader="dot" w:pos="8845"/>
            </w:tabs>
            <w:spacing w:line="540" w:lineRule="exact"/>
            <w:rPr>
              <w:color w:val="000000" w:themeColor="text1"/>
              <w:sz w:val="28"/>
              <w:szCs w:val="28"/>
              <w14:textFill>
                <w14:solidFill>
                  <w14:schemeClr w14:val="tx1"/>
                </w14:solidFill>
              </w14:textFill>
            </w:rPr>
          </w:pPr>
          <w:r>
            <w:fldChar w:fldCharType="begin"/>
          </w:r>
          <w:r>
            <w:instrText xml:space="preserve"> HYPERLINK \l "_Toc4819" </w:instrText>
          </w:r>
          <w:r>
            <w:fldChar w:fldCharType="separate"/>
          </w:r>
          <w:r>
            <w:rPr>
              <w:rFonts w:hint="eastAsia" w:eastAsia="黑体" w:cs="黑体"/>
              <w:color w:val="000000" w:themeColor="text1"/>
              <w:sz w:val="28"/>
              <w:szCs w:val="28"/>
              <w14:textFill>
                <w14:solidFill>
                  <w14:schemeClr w14:val="tx1"/>
                </w14:solidFill>
              </w14:textFill>
            </w:rPr>
            <w:t>5监测预警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_Toc4819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"_Toc5927" </w:instrText>
          </w:r>
          <w:r>
            <w:fldChar w:fldCharType="separate"/>
          </w:r>
          <w:r>
            <w:rPr>
              <w:rFonts w:hint="eastAsia" w:cs="宋体"/>
              <w:color w:val="000000" w:themeColor="text1"/>
              <w:sz w:val="28"/>
              <w:szCs w:val="28"/>
              <w14:textFill>
                <w14:solidFill>
                  <w14:schemeClr w14:val="tx1"/>
                </w14:solidFill>
              </w14:textFill>
            </w:rPr>
            <w:t>5.1监测预报</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_Toc5927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"_Toc5927" </w:instrText>
          </w:r>
          <w:r>
            <w:fldChar w:fldCharType="separate"/>
          </w:r>
          <w:r>
            <w:rPr>
              <w:rFonts w:hint="eastAsia"/>
              <w:color w:val="000000" w:themeColor="text1"/>
              <w:sz w:val="28"/>
              <w:szCs w:val="28"/>
              <w14:textFill>
                <w14:solidFill>
                  <w14:schemeClr w14:val="tx1"/>
                </w14:solidFill>
              </w14:textFill>
            </w:rPr>
            <w:t>5.2预警类别与等级</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_Toc5927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"_Toc16502" </w:instrText>
          </w:r>
          <w:r>
            <w:fldChar w:fldCharType="separate"/>
          </w:r>
          <w:r>
            <w:rPr>
              <w:rFonts w:hint="eastAsia" w:cs="宋体"/>
              <w:color w:val="000000" w:themeColor="text1"/>
              <w:sz w:val="28"/>
              <w:szCs w:val="28"/>
              <w14:textFill>
                <w14:solidFill>
                  <w14:schemeClr w14:val="tx1"/>
                </w14:solidFill>
              </w14:textFill>
            </w:rPr>
            <w:t>5.3预警发布与解除</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8</w:t>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"_Toc13528" </w:instrText>
          </w:r>
          <w:r>
            <w:fldChar w:fldCharType="separate"/>
          </w:r>
          <w:r>
            <w:rPr>
              <w:rFonts w:hint="eastAsia" w:cs="宋体"/>
              <w:color w:val="000000" w:themeColor="text1"/>
              <w:sz w:val="28"/>
              <w:szCs w:val="28"/>
              <w14:textFill>
                <w14:solidFill>
                  <w14:schemeClr w14:val="tx1"/>
                </w14:solidFill>
              </w14:textFill>
            </w:rPr>
            <w:t>5.4预警响应</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_Toc13528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20</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2"/>
            <w:tabs>
              <w:tab w:val="right" w:leader="dot" w:pos="8845"/>
            </w:tabs>
            <w:spacing w:line="540" w:lineRule="exact"/>
            <w:rPr>
              <w:color w:val="000000" w:themeColor="text1"/>
              <w:sz w:val="28"/>
              <w:szCs w:val="28"/>
              <w14:textFill>
                <w14:solidFill>
                  <w14:schemeClr w14:val="tx1"/>
                </w14:solidFill>
              </w14:textFill>
            </w:rPr>
          </w:pPr>
          <w:r>
            <w:fldChar w:fldCharType="begin"/>
          </w:r>
          <w:r>
            <w:instrText xml:space="preserve"> HYPERLINK \l "_Toc4168" </w:instrText>
          </w:r>
          <w:r>
            <w:fldChar w:fldCharType="separate"/>
          </w:r>
          <w:r>
            <w:rPr>
              <w:rFonts w:hint="eastAsia" w:eastAsia="黑体" w:cs="黑体"/>
              <w:color w:val="000000" w:themeColor="text1"/>
              <w:sz w:val="28"/>
              <w:szCs w:val="28"/>
              <w14:textFill>
                <w14:solidFill>
                  <w14:schemeClr w14:val="tx1"/>
                </w14:solidFill>
              </w14:textFill>
            </w:rPr>
            <w:t>6信息报告及发布</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_Toc4168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"_Toc7304" </w:instrText>
          </w:r>
          <w:r>
            <w:fldChar w:fldCharType="separate"/>
          </w:r>
          <w:r>
            <w:rPr>
              <w:rFonts w:hint="eastAsia" w:cs="宋体"/>
              <w:color w:val="000000" w:themeColor="text1"/>
              <w:sz w:val="28"/>
              <w:szCs w:val="28"/>
              <w14:textFill>
                <w14:solidFill>
                  <w14:schemeClr w14:val="tx1"/>
                </w14:solidFill>
              </w14:textFill>
            </w:rPr>
            <w:t>6.1信息报告内容</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_Toc7304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"_Toc18811" </w:instrText>
          </w:r>
          <w:r>
            <w:fldChar w:fldCharType="separate"/>
          </w:r>
          <w:r>
            <w:rPr>
              <w:rFonts w:hint="eastAsia" w:cs="宋体"/>
              <w:color w:val="000000" w:themeColor="text1"/>
              <w:sz w:val="28"/>
              <w:szCs w:val="28"/>
              <w14:textFill>
                <w14:solidFill>
                  <w14:schemeClr w14:val="tx1"/>
                </w14:solidFill>
              </w14:textFill>
            </w:rPr>
            <w:t>6.2信息报送</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_Toc18811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"_Toc22264" </w:instrText>
          </w:r>
          <w:r>
            <w:fldChar w:fldCharType="separate"/>
          </w:r>
          <w:r>
            <w:rPr>
              <w:rFonts w:hint="eastAsia" w:cs="宋体"/>
              <w:color w:val="000000" w:themeColor="text1"/>
              <w:sz w:val="28"/>
              <w:szCs w:val="28"/>
              <w14:textFill>
                <w14:solidFill>
                  <w14:schemeClr w14:val="tx1"/>
                </w14:solidFill>
              </w14:textFill>
            </w:rPr>
            <w:t>6.3信息发布</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_Toc22264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2"/>
            <w:tabs>
              <w:tab w:val="right" w:leader="dot" w:pos="8845"/>
            </w:tabs>
            <w:spacing w:line="540" w:lineRule="exact"/>
            <w:rPr>
              <w:color w:val="000000" w:themeColor="text1"/>
              <w:sz w:val="28"/>
              <w:szCs w:val="28"/>
              <w14:textFill>
                <w14:solidFill>
                  <w14:schemeClr w14:val="tx1"/>
                </w14:solidFill>
              </w14:textFill>
            </w:rPr>
          </w:pPr>
          <w:r>
            <w:fldChar w:fldCharType="begin"/>
          </w:r>
          <w:r>
            <w:instrText xml:space="preserve"> HYPERLINK \l "_Toc5427" </w:instrText>
          </w:r>
          <w:r>
            <w:fldChar w:fldCharType="separate"/>
          </w:r>
          <w:r>
            <w:rPr>
              <w:rFonts w:hint="eastAsia" w:eastAsia="黑体" w:cs="黑体"/>
              <w:color w:val="000000" w:themeColor="text1"/>
              <w:sz w:val="28"/>
              <w:szCs w:val="28"/>
              <w14:textFill>
                <w14:solidFill>
                  <w14:schemeClr w14:val="tx1"/>
                </w14:solidFill>
              </w14:textFill>
            </w:rPr>
            <w:t>7应急响应</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_Toc5427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"_Toc31585" </w:instrText>
          </w:r>
          <w:r>
            <w:fldChar w:fldCharType="separate"/>
          </w:r>
          <w:r>
            <w:rPr>
              <w:rFonts w:hint="eastAsia" w:cs="宋体"/>
              <w:color w:val="000000" w:themeColor="text1"/>
              <w:sz w:val="28"/>
              <w:szCs w:val="28"/>
              <w14:textFill>
                <w14:solidFill>
                  <w14:schemeClr w14:val="tx1"/>
                </w14:solidFill>
              </w14:textFill>
            </w:rPr>
            <w:t>7.1总体要求</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_Toc31585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"_Toc10090" </w:instrText>
          </w:r>
          <w:r>
            <w:fldChar w:fldCharType="separate"/>
          </w:r>
          <w:r>
            <w:rPr>
              <w:rFonts w:hint="eastAsia" w:eastAsia="仿宋_GB2312" w:cs="仿宋_GB2312"/>
              <w:color w:val="000000" w:themeColor="text1"/>
              <w:sz w:val="28"/>
              <w:szCs w:val="28"/>
              <w14:textFill>
                <w14:solidFill>
                  <w14:schemeClr w14:val="tx1"/>
                </w14:solidFill>
              </w14:textFill>
            </w:rPr>
            <w:t>7</w:t>
          </w:r>
          <w:r>
            <w:rPr>
              <w:rFonts w:eastAsia="仿宋_GB2312" w:cs="仿宋_GB2312"/>
              <w:color w:val="000000" w:themeColor="text1"/>
              <w:sz w:val="28"/>
              <w:szCs w:val="28"/>
              <w14:textFill>
                <w14:solidFill>
                  <w14:schemeClr w14:val="tx1"/>
                </w14:solidFill>
              </w14:textFill>
            </w:rPr>
            <w:t>.2</w:t>
          </w:r>
          <w:r>
            <w:rPr>
              <w:rFonts w:cs="宋体"/>
              <w:color w:val="000000" w:themeColor="text1"/>
              <w:sz w:val="28"/>
              <w:szCs w:val="28"/>
              <w14:textFill>
                <w14:solidFill>
                  <w14:schemeClr w14:val="tx1"/>
                </w14:solidFill>
              </w14:textFill>
            </w:rPr>
            <w:t>应急响应启动与解除</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_Toc10090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"_Toc1026" </w:instrText>
          </w:r>
          <w:r>
            <w:fldChar w:fldCharType="separate"/>
          </w:r>
          <w:r>
            <w:rPr>
              <w:rFonts w:hint="eastAsia"/>
              <w:color w:val="000000" w:themeColor="text1"/>
              <w:sz w:val="28"/>
              <w:szCs w:val="28"/>
              <w14:textFill>
                <w14:solidFill>
                  <w14:schemeClr w14:val="tx1"/>
                </w14:solidFill>
              </w14:textFill>
            </w:rPr>
            <w:t xml:space="preserve">7.3应急响应行动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_Toc1026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w:t>
          </w:r>
          <w:r>
            <w:rPr>
              <w:rFonts w:hint="eastAsia"/>
              <w:color w:val="000000" w:themeColor="text1"/>
              <w:sz w:val="28"/>
              <w:szCs w:val="28"/>
              <w14:textFill>
                <w14:solidFill>
                  <w14:schemeClr w14:val="tx1"/>
                </w14:solidFill>
              </w14:textFill>
            </w:rPr>
            <w:t>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"_Toc17552" </w:instrText>
          </w:r>
          <w:r>
            <w:fldChar w:fldCharType="separate"/>
          </w:r>
          <w:r>
            <w:rPr>
              <w:rFonts w:hint="eastAsia" w:eastAsia="黑体" w:cs="黑体"/>
              <w:color w:val="000000" w:themeColor="text1"/>
              <w:sz w:val="28"/>
              <w:szCs w:val="28"/>
              <w14:textFill>
                <w14:solidFill>
                  <w14:schemeClr w14:val="tx1"/>
                </w14:solidFill>
              </w14:textFill>
            </w:rPr>
            <w:t>7.4</w:t>
          </w:r>
          <w:r>
            <w:rPr>
              <w:rFonts w:hint="eastAsia"/>
              <w:color w:val="000000" w:themeColor="text1"/>
              <w:sz w:val="28"/>
              <w:szCs w:val="28"/>
              <w14:textFill>
                <w14:solidFill>
                  <w14:schemeClr w14:val="tx1"/>
                </w14:solidFill>
              </w14:textFill>
            </w:rPr>
            <w:t>响应措施</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_Toc17552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29</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2"/>
            <w:tabs>
              <w:tab w:val="right" w:leader="dot" w:pos="8845"/>
            </w:tabs>
            <w:spacing w:line="540" w:lineRule="exact"/>
            <w:rPr>
              <w:color w:val="000000" w:themeColor="text1"/>
              <w:sz w:val="28"/>
              <w:szCs w:val="28"/>
              <w14:textFill>
                <w14:solidFill>
                  <w14:schemeClr w14:val="tx1"/>
                </w14:solidFill>
              </w14:textFill>
            </w:rPr>
          </w:pPr>
          <w:r>
            <w:fldChar w:fldCharType="begin"/>
          </w:r>
          <w:r>
            <w:instrText xml:space="preserve"> HYPERLINK \l "_Toc10497" </w:instrText>
          </w:r>
          <w:r>
            <w:fldChar w:fldCharType="separate"/>
          </w:r>
          <w:r>
            <w:rPr>
              <w:rFonts w:hint="eastAsia" w:eastAsia="黑体" w:cs="黑体"/>
              <w:color w:val="000000" w:themeColor="text1"/>
              <w:sz w:val="28"/>
              <w:szCs w:val="28"/>
              <w14:textFill>
                <w14:solidFill>
                  <w14:schemeClr w14:val="tx1"/>
                </w14:solidFill>
              </w14:textFill>
            </w:rPr>
            <w:t>8应急保障</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_Toc10497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"_Toc4620" </w:instrText>
          </w:r>
          <w:r>
            <w:fldChar w:fldCharType="separate"/>
          </w:r>
          <w:r>
            <w:rPr>
              <w:rFonts w:hint="eastAsia"/>
              <w:color w:val="000000" w:themeColor="text1"/>
              <w:sz w:val="28"/>
              <w:szCs w:val="28"/>
              <w14:textFill>
                <w14:solidFill>
                  <w14:schemeClr w14:val="tx1"/>
                </w14:solidFill>
              </w14:textFill>
            </w:rPr>
            <w:t>8.1组织保障</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_Toc4620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"_Toc13702" </w:instrText>
          </w:r>
          <w:r>
            <w:fldChar w:fldCharType="separate"/>
          </w:r>
          <w:r>
            <w:rPr>
              <w:rFonts w:hint="eastAsia"/>
              <w:color w:val="000000" w:themeColor="text1"/>
              <w:sz w:val="28"/>
              <w:szCs w:val="28"/>
              <w14:textFill>
                <w14:solidFill>
                  <w14:schemeClr w14:val="tx1"/>
                </w14:solidFill>
              </w14:textFill>
            </w:rPr>
            <w:t>8.2队伍保障</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_Toc13702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"_Toc2617" </w:instrText>
          </w:r>
          <w:r>
            <w:fldChar w:fldCharType="separate"/>
          </w:r>
          <w:r>
            <w:rPr>
              <w:rFonts w:hint="eastAsia" w:eastAsia="黑体" w:cs="黑体"/>
              <w:color w:val="000000" w:themeColor="text1"/>
              <w:sz w:val="28"/>
              <w:szCs w:val="28"/>
              <w14:textFill>
                <w14:solidFill>
                  <w14:schemeClr w14:val="tx1"/>
                </w14:solidFill>
              </w14:textFill>
            </w:rPr>
            <w:t>8.3</w:t>
          </w:r>
          <w:r>
            <w:rPr>
              <w:rFonts w:hint="eastAsia"/>
              <w:color w:val="000000" w:themeColor="text1"/>
              <w:sz w:val="28"/>
              <w:szCs w:val="28"/>
              <w14:textFill>
                <w14:solidFill>
                  <w14:schemeClr w14:val="tx1"/>
                </w14:solidFill>
              </w14:textFill>
            </w:rPr>
            <w:t>物资保障</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_Toc2617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"_Toc32234" </w:instrText>
          </w:r>
          <w:r>
            <w:fldChar w:fldCharType="separate"/>
          </w:r>
          <w:r>
            <w:rPr>
              <w:rFonts w:hint="eastAsia"/>
              <w:color w:val="000000" w:themeColor="text1"/>
              <w:sz w:val="28"/>
              <w:szCs w:val="28"/>
              <w14:textFill>
                <w14:solidFill>
                  <w14:schemeClr w14:val="tx1"/>
                </w14:solidFill>
              </w14:textFill>
            </w:rPr>
            <w:t>8.4资金保障</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_Toc32234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34</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"_Toc32745" </w:instrText>
          </w:r>
          <w:r>
            <w:fldChar w:fldCharType="separate"/>
          </w:r>
          <w:r>
            <w:rPr>
              <w:rFonts w:hint="eastAsia"/>
              <w:color w:val="000000" w:themeColor="text1"/>
              <w:sz w:val="28"/>
              <w:szCs w:val="28"/>
              <w14:textFill>
                <w14:solidFill>
                  <w14:schemeClr w14:val="tx1"/>
                </w14:solidFill>
              </w14:textFill>
            </w:rPr>
            <w:t>8.5技术保障</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_Toc32745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34</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"_Toc2919" </w:instrText>
          </w:r>
          <w:r>
            <w:fldChar w:fldCharType="separate"/>
          </w:r>
          <w:r>
            <w:rPr>
              <w:rFonts w:hint="eastAsia"/>
              <w:color w:val="000000" w:themeColor="text1"/>
              <w:sz w:val="28"/>
              <w:szCs w:val="28"/>
              <w14:textFill>
                <w14:solidFill>
                  <w14:schemeClr w14:val="tx1"/>
                </w14:solidFill>
              </w14:textFill>
            </w:rPr>
            <w:t>8.6通信保障</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_Toc2919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34</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"_Toc31346" </w:instrText>
          </w:r>
          <w:r>
            <w:fldChar w:fldCharType="separate"/>
          </w:r>
          <w:r>
            <w:rPr>
              <w:rFonts w:hint="eastAsia"/>
              <w:color w:val="000000" w:themeColor="text1"/>
              <w:sz w:val="28"/>
              <w:szCs w:val="28"/>
              <w14:textFill>
                <w14:solidFill>
                  <w14:schemeClr w14:val="tx1"/>
                </w14:solidFill>
              </w14:textFill>
            </w:rPr>
            <w:t>8.7交通保障</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_Toc31346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34</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"_Toc26351" </w:instrText>
          </w:r>
          <w:r>
            <w:fldChar w:fldCharType="separate"/>
          </w:r>
          <w:r>
            <w:rPr>
              <w:rFonts w:hint="eastAsia"/>
              <w:color w:val="000000" w:themeColor="text1"/>
              <w:sz w:val="28"/>
              <w:szCs w:val="28"/>
              <w14:textFill>
                <w14:solidFill>
                  <w14:schemeClr w14:val="tx1"/>
                </w14:solidFill>
              </w14:textFill>
            </w:rPr>
            <w:t>8.8电力保障</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_Toc26351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"_Toc27148" </w:instrText>
          </w:r>
          <w:r>
            <w:fldChar w:fldCharType="separate"/>
          </w:r>
          <w:r>
            <w:rPr>
              <w:rFonts w:hint="eastAsia"/>
              <w:color w:val="000000" w:themeColor="text1"/>
              <w:sz w:val="28"/>
              <w:szCs w:val="28"/>
              <w14:textFill>
                <w14:solidFill>
                  <w14:schemeClr w14:val="tx1"/>
                </w14:solidFill>
              </w14:textFill>
            </w:rPr>
            <w:t>8.9灾民安置和医疗保障</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_Toc27148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2"/>
            <w:tabs>
              <w:tab w:val="right" w:leader="dot" w:pos="8845"/>
            </w:tabs>
            <w:spacing w:line="540" w:lineRule="exact"/>
            <w:rPr>
              <w:color w:val="000000" w:themeColor="text1"/>
              <w:sz w:val="28"/>
              <w:szCs w:val="28"/>
              <w14:textFill>
                <w14:solidFill>
                  <w14:schemeClr w14:val="tx1"/>
                </w14:solidFill>
              </w14:textFill>
            </w:rPr>
          </w:pPr>
          <w:r>
            <w:fldChar w:fldCharType="begin"/>
          </w:r>
          <w:r>
            <w:instrText xml:space="preserve"> HYPERLINK \l "_Toc26279" </w:instrText>
          </w:r>
          <w:r>
            <w:fldChar w:fldCharType="separate"/>
          </w:r>
          <w:r>
            <w:rPr>
              <w:rFonts w:hint="eastAsia" w:eastAsia="黑体" w:cs="黑体"/>
              <w:color w:val="000000" w:themeColor="text1"/>
              <w:sz w:val="28"/>
              <w:szCs w:val="28"/>
              <w14:textFill>
                <w14:solidFill>
                  <w14:schemeClr w14:val="tx1"/>
                </w14:solidFill>
              </w14:textFill>
            </w:rPr>
            <w:t>9后期处置</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_Toc26279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"_Toc32748" </w:instrText>
          </w:r>
          <w:r>
            <w:fldChar w:fldCharType="separate"/>
          </w:r>
          <w:r>
            <w:rPr>
              <w:rFonts w:hint="eastAsia"/>
              <w:color w:val="000000" w:themeColor="text1"/>
              <w:sz w:val="28"/>
              <w:szCs w:val="28"/>
              <w14:textFill>
                <w14:solidFill>
                  <w14:schemeClr w14:val="tx1"/>
                </w14:solidFill>
              </w14:textFill>
            </w:rPr>
            <w:t>9.1善后工作</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_Toc32748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"_Toc25612" </w:instrText>
          </w:r>
          <w:r>
            <w:fldChar w:fldCharType="separate"/>
          </w:r>
          <w:r>
            <w:rPr>
              <w:rFonts w:hint="eastAsia"/>
              <w:color w:val="000000" w:themeColor="text1"/>
              <w:sz w:val="28"/>
              <w:szCs w:val="28"/>
              <w14:textFill>
                <w14:solidFill>
                  <w14:schemeClr w14:val="tx1"/>
                </w14:solidFill>
              </w14:textFill>
            </w:rPr>
            <w:t>9.2总结评估</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_Toc25612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2"/>
            <w:tabs>
              <w:tab w:val="right" w:leader="dot" w:pos="8845"/>
            </w:tabs>
            <w:spacing w:line="540" w:lineRule="exact"/>
            <w:rPr>
              <w:color w:val="000000" w:themeColor="text1"/>
              <w:sz w:val="28"/>
              <w:szCs w:val="28"/>
              <w14:textFill>
                <w14:solidFill>
                  <w14:schemeClr w14:val="tx1"/>
                </w14:solidFill>
              </w14:textFill>
            </w:rPr>
          </w:pPr>
          <w:r>
            <w:fldChar w:fldCharType="begin"/>
          </w:r>
          <w:r>
            <w:instrText xml:space="preserve"> HYPERLINK \l "_Toc20558" </w:instrText>
          </w:r>
          <w:r>
            <w:fldChar w:fldCharType="separate"/>
          </w:r>
          <w:r>
            <w:rPr>
              <w:rFonts w:hint="eastAsia" w:eastAsia="黑体" w:cs="黑体"/>
              <w:color w:val="000000" w:themeColor="text1"/>
              <w:sz w:val="28"/>
              <w:szCs w:val="28"/>
              <w14:textFill>
                <w14:solidFill>
                  <w14:schemeClr w14:val="tx1"/>
                </w14:solidFill>
              </w14:textFill>
            </w:rPr>
            <w:t>10附则</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_Toc20558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"_Toc2131" </w:instrText>
          </w:r>
          <w:r>
            <w:fldChar w:fldCharType="separate"/>
          </w:r>
          <w:r>
            <w:rPr>
              <w:rFonts w:hint="eastAsia"/>
              <w:color w:val="000000" w:themeColor="text1"/>
              <w:sz w:val="28"/>
              <w:szCs w:val="28"/>
              <w14:textFill>
                <w14:solidFill>
                  <w14:schemeClr w14:val="tx1"/>
                </w14:solidFill>
              </w14:textFill>
            </w:rPr>
            <w:t>10.1名词术语解释</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_Toc2131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"_Toc21974" </w:instrText>
          </w:r>
          <w:r>
            <w:fldChar w:fldCharType="separate"/>
          </w:r>
          <w:r>
            <w:rPr>
              <w:rFonts w:hint="eastAsia"/>
              <w:color w:val="000000" w:themeColor="text1"/>
              <w:sz w:val="28"/>
              <w:szCs w:val="28"/>
              <w14:textFill>
                <w14:solidFill>
                  <w14:schemeClr w14:val="tx1"/>
                </w14:solidFill>
              </w14:textFill>
            </w:rPr>
            <w:t>10.2预案管理与更新</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_Toc21974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38</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"_Toc2249" </w:instrText>
          </w:r>
          <w:r>
            <w:fldChar w:fldCharType="separate"/>
          </w:r>
          <w:r>
            <w:rPr>
              <w:rFonts w:hint="eastAsia"/>
              <w:color w:val="000000" w:themeColor="text1"/>
              <w:sz w:val="28"/>
              <w:szCs w:val="28"/>
              <w14:textFill>
                <w14:solidFill>
                  <w14:schemeClr w14:val="tx1"/>
                </w14:solidFill>
              </w14:textFill>
            </w:rPr>
            <w:t>10.3奖励与责任</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_Toc2249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38</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"_Toc26860" </w:instrText>
          </w:r>
          <w:r>
            <w:fldChar w:fldCharType="separate"/>
          </w:r>
          <w:r>
            <w:rPr>
              <w:rFonts w:hint="eastAsia"/>
              <w:color w:val="000000" w:themeColor="text1"/>
              <w:sz w:val="28"/>
              <w:szCs w:val="28"/>
              <w14:textFill>
                <w14:solidFill>
                  <w14:schemeClr w14:val="tx1"/>
                </w14:solidFill>
              </w14:textFill>
            </w:rPr>
            <w:t>10.4防汛值班电话</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_Toc26860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38</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color w:val="000000" w:themeColor="text1"/>
              <w:sz w:val="28"/>
              <w:szCs w:val="28"/>
              <w14:textFill>
                <w14:solidFill>
                  <w14:schemeClr w14:val="tx1"/>
                </w14:solidFill>
              </w14:textFill>
            </w:rPr>
          </w:pPr>
          <w:r>
            <w:fldChar w:fldCharType="begin"/>
          </w:r>
          <w:r>
            <w:instrText xml:space="preserve"> HYPERLINK \l "_Toc15167" </w:instrText>
          </w:r>
          <w:r>
            <w:fldChar w:fldCharType="separate"/>
          </w:r>
          <w:r>
            <w:rPr>
              <w:rFonts w:hint="eastAsia"/>
              <w:color w:val="000000" w:themeColor="text1"/>
              <w:sz w:val="28"/>
              <w:szCs w:val="28"/>
              <w14:textFill>
                <w14:solidFill>
                  <w14:schemeClr w14:val="tx1"/>
                </w14:solidFill>
              </w14:textFill>
            </w:rPr>
            <w:t>10.5有关格式化文本</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_Toc15167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38</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rFonts w:eastAsiaTheme="minorEastAsia" w:cstheme="minorEastAsia"/>
              <w:color w:val="000000" w:themeColor="text1"/>
              <w:sz w:val="28"/>
              <w:szCs w:val="28"/>
              <w14:textFill>
                <w14:solidFill>
                  <w14:schemeClr w14:val="tx1"/>
                </w14:solidFill>
              </w14:textFill>
            </w:rPr>
          </w:pPr>
          <w:r>
            <w:fldChar w:fldCharType="begin"/>
          </w:r>
          <w:r>
            <w:instrText xml:space="preserve"> HYPERLINK \l "_Toc4862" </w:instrText>
          </w:r>
          <w:r>
            <w:fldChar w:fldCharType="separate"/>
          </w:r>
          <w:r>
            <w:rPr>
              <w:rFonts w:hint="eastAsia" w:eastAsiaTheme="minorEastAsia" w:cstheme="minorEastAsia"/>
              <w:color w:val="000000" w:themeColor="text1"/>
              <w:sz w:val="28"/>
              <w:szCs w:val="28"/>
              <w14:textFill>
                <w14:solidFill>
                  <w14:schemeClr w14:val="tx1"/>
                </w14:solidFill>
              </w14:textFill>
            </w:rPr>
            <w:t>10.6预案解释部门</w:t>
          </w:r>
          <w:r>
            <w:rPr>
              <w:rFonts w:hint="eastAsia" w:eastAsiaTheme="minorEastAsia" w:cstheme="minorEastAsia"/>
              <w:color w:val="000000" w:themeColor="text1"/>
              <w:sz w:val="28"/>
              <w:szCs w:val="28"/>
              <w14:textFill>
                <w14:solidFill>
                  <w14:schemeClr w14:val="tx1"/>
                </w14:solidFill>
              </w14:textFill>
            </w:rPr>
            <w:tab/>
          </w:r>
          <w:r>
            <w:rPr>
              <w:rFonts w:hint="eastAsia" w:eastAsiaTheme="minorEastAsia" w:cstheme="minorEastAsia"/>
              <w:color w:val="000000" w:themeColor="text1"/>
              <w:sz w:val="28"/>
              <w:szCs w:val="28"/>
              <w14:textFill>
                <w14:solidFill>
                  <w14:schemeClr w14:val="tx1"/>
                </w14:solidFill>
              </w14:textFill>
            </w:rPr>
            <w:fldChar w:fldCharType="begin"/>
          </w:r>
          <w:r>
            <w:rPr>
              <w:rFonts w:hint="eastAsia" w:eastAsiaTheme="minorEastAsia" w:cstheme="minorEastAsia"/>
              <w:color w:val="000000" w:themeColor="text1"/>
              <w:sz w:val="28"/>
              <w:szCs w:val="28"/>
              <w14:textFill>
                <w14:solidFill>
                  <w14:schemeClr w14:val="tx1"/>
                </w14:solidFill>
              </w14:textFill>
            </w:rPr>
            <w:instrText xml:space="preserve"> PAGEREF _Toc4862 \h </w:instrText>
          </w:r>
          <w:r>
            <w:rPr>
              <w:rFonts w:hint="eastAsia" w:eastAsiaTheme="minorEastAsia" w:cstheme="minorEastAsia"/>
              <w:color w:val="000000" w:themeColor="text1"/>
              <w:sz w:val="28"/>
              <w:szCs w:val="28"/>
              <w14:textFill>
                <w14:solidFill>
                  <w14:schemeClr w14:val="tx1"/>
                </w14:solidFill>
              </w14:textFill>
            </w:rPr>
            <w:fldChar w:fldCharType="separate"/>
          </w:r>
          <w:r>
            <w:rPr>
              <w:rFonts w:hint="eastAsia" w:eastAsiaTheme="minorEastAsia" w:cstheme="minorEastAsia"/>
              <w:color w:val="000000" w:themeColor="text1"/>
              <w:sz w:val="28"/>
              <w:szCs w:val="28"/>
              <w14:textFill>
                <w14:solidFill>
                  <w14:schemeClr w14:val="tx1"/>
                </w14:solidFill>
              </w14:textFill>
            </w:rPr>
            <w:t>39</w:t>
          </w:r>
          <w:r>
            <w:rPr>
              <w:rFonts w:hint="eastAsia" w:eastAsiaTheme="minorEastAsia" w:cstheme="minorEastAsia"/>
              <w:color w:val="000000" w:themeColor="text1"/>
              <w:sz w:val="28"/>
              <w:szCs w:val="28"/>
              <w14:textFill>
                <w14:solidFill>
                  <w14:schemeClr w14:val="tx1"/>
                </w14:solidFill>
              </w14:textFill>
            </w:rPr>
            <w:fldChar w:fldCharType="end"/>
          </w:r>
          <w:r>
            <w:rPr>
              <w:rFonts w:hint="eastAsia" w:eastAsiaTheme="minorEastAsia" w:cstheme="minorEastAsia"/>
              <w:color w:val="000000" w:themeColor="text1"/>
              <w:sz w:val="28"/>
              <w:szCs w:val="28"/>
              <w14:textFill>
                <w14:solidFill>
                  <w14:schemeClr w14:val="tx1"/>
                </w14:solidFill>
              </w14:textFill>
            </w:rPr>
            <w:fldChar w:fldCharType="end"/>
          </w:r>
        </w:p>
        <w:p>
          <w:pPr>
            <w:pStyle w:val="23"/>
            <w:tabs>
              <w:tab w:val="right" w:leader="dot" w:pos="8845"/>
            </w:tabs>
            <w:spacing w:line="540" w:lineRule="exact"/>
            <w:ind w:left="420"/>
            <w:rPr>
              <w:rFonts w:eastAsiaTheme="minorEastAsia" w:cstheme="minorEastAsia"/>
              <w:color w:val="000000" w:themeColor="text1"/>
              <w:sz w:val="28"/>
              <w:szCs w:val="28"/>
              <w14:textFill>
                <w14:solidFill>
                  <w14:schemeClr w14:val="tx1"/>
                </w14:solidFill>
              </w14:textFill>
            </w:rPr>
          </w:pPr>
          <w:r>
            <w:fldChar w:fldCharType="begin"/>
          </w:r>
          <w:r>
            <w:instrText xml:space="preserve"> HYPERLINK \l "_Toc27335" </w:instrText>
          </w:r>
          <w:r>
            <w:fldChar w:fldCharType="separate"/>
          </w:r>
          <w:r>
            <w:rPr>
              <w:rFonts w:hint="eastAsia" w:eastAsiaTheme="minorEastAsia" w:cstheme="minorEastAsia"/>
              <w:color w:val="000000" w:themeColor="text1"/>
              <w:sz w:val="28"/>
              <w:szCs w:val="28"/>
              <w14:textFill>
                <w14:solidFill>
                  <w14:schemeClr w14:val="tx1"/>
                </w14:solidFill>
              </w14:textFill>
            </w:rPr>
            <w:t>10.7预案实施时间</w:t>
          </w:r>
          <w:r>
            <w:rPr>
              <w:rFonts w:hint="eastAsia" w:eastAsiaTheme="minorEastAsia" w:cstheme="minorEastAsia"/>
              <w:color w:val="000000" w:themeColor="text1"/>
              <w:sz w:val="28"/>
              <w:szCs w:val="28"/>
              <w14:textFill>
                <w14:solidFill>
                  <w14:schemeClr w14:val="tx1"/>
                </w14:solidFill>
              </w14:textFill>
            </w:rPr>
            <w:tab/>
          </w:r>
          <w:r>
            <w:rPr>
              <w:rFonts w:hint="eastAsia" w:eastAsiaTheme="minorEastAsia" w:cstheme="minorEastAsia"/>
              <w:color w:val="000000" w:themeColor="text1"/>
              <w:sz w:val="28"/>
              <w:szCs w:val="28"/>
              <w14:textFill>
                <w14:solidFill>
                  <w14:schemeClr w14:val="tx1"/>
                </w14:solidFill>
              </w14:textFill>
            </w:rPr>
            <w:fldChar w:fldCharType="begin"/>
          </w:r>
          <w:r>
            <w:rPr>
              <w:rFonts w:hint="eastAsia" w:eastAsiaTheme="minorEastAsia" w:cstheme="minorEastAsia"/>
              <w:color w:val="000000" w:themeColor="text1"/>
              <w:sz w:val="28"/>
              <w:szCs w:val="28"/>
              <w14:textFill>
                <w14:solidFill>
                  <w14:schemeClr w14:val="tx1"/>
                </w14:solidFill>
              </w14:textFill>
            </w:rPr>
            <w:instrText xml:space="preserve"> PAGEREF _Toc27335 \h </w:instrText>
          </w:r>
          <w:r>
            <w:rPr>
              <w:rFonts w:hint="eastAsia" w:eastAsiaTheme="minorEastAsia" w:cstheme="minorEastAsia"/>
              <w:color w:val="000000" w:themeColor="text1"/>
              <w:sz w:val="28"/>
              <w:szCs w:val="28"/>
              <w14:textFill>
                <w14:solidFill>
                  <w14:schemeClr w14:val="tx1"/>
                </w14:solidFill>
              </w14:textFill>
            </w:rPr>
            <w:fldChar w:fldCharType="separate"/>
          </w:r>
          <w:r>
            <w:rPr>
              <w:rFonts w:hint="eastAsia" w:eastAsiaTheme="minorEastAsia" w:cstheme="minorEastAsia"/>
              <w:color w:val="000000" w:themeColor="text1"/>
              <w:sz w:val="28"/>
              <w:szCs w:val="28"/>
              <w14:textFill>
                <w14:solidFill>
                  <w14:schemeClr w14:val="tx1"/>
                </w14:solidFill>
              </w14:textFill>
            </w:rPr>
            <w:t>39</w:t>
          </w:r>
          <w:r>
            <w:rPr>
              <w:rFonts w:hint="eastAsia" w:eastAsiaTheme="minorEastAsia" w:cstheme="minorEastAsia"/>
              <w:color w:val="000000" w:themeColor="text1"/>
              <w:sz w:val="28"/>
              <w:szCs w:val="28"/>
              <w14:textFill>
                <w14:solidFill>
                  <w14:schemeClr w14:val="tx1"/>
                </w14:solidFill>
              </w14:textFill>
            </w:rPr>
            <w:fldChar w:fldCharType="end"/>
          </w:r>
          <w:r>
            <w:rPr>
              <w:rFonts w:hint="eastAsia" w:eastAsiaTheme="minorEastAsia" w:cstheme="minorEastAsia"/>
              <w:color w:val="000000" w:themeColor="text1"/>
              <w:sz w:val="28"/>
              <w:szCs w:val="28"/>
              <w14:textFill>
                <w14:solidFill>
                  <w14:schemeClr w14:val="tx1"/>
                </w14:solidFill>
              </w14:textFill>
            </w:rPr>
            <w:fldChar w:fldCharType="end"/>
          </w:r>
        </w:p>
        <w:p>
          <w:pPr>
            <w:pStyle w:val="22"/>
            <w:tabs>
              <w:tab w:val="right" w:leader="dot" w:pos="8845"/>
            </w:tabs>
            <w:spacing w:line="540" w:lineRule="exact"/>
            <w:rPr>
              <w:rFonts w:eastAsiaTheme="minorEastAsia" w:cstheme="minorEastAsia"/>
              <w:color w:val="000000" w:themeColor="text1"/>
              <w:sz w:val="28"/>
              <w:szCs w:val="28"/>
              <w14:textFill>
                <w14:solidFill>
                  <w14:schemeClr w14:val="tx1"/>
                </w14:solidFill>
              </w14:textFill>
            </w:rPr>
          </w:pPr>
          <w:r>
            <w:fldChar w:fldCharType="begin"/>
          </w:r>
          <w:r>
            <w:instrText xml:space="preserve"> HYPERLINK \l "_Toc9423" </w:instrText>
          </w:r>
          <w:r>
            <w:fldChar w:fldCharType="separate"/>
          </w:r>
          <w:r>
            <w:rPr>
              <w:rFonts w:hint="eastAsia" w:eastAsia="黑体" w:cs="黑体"/>
              <w:color w:val="000000" w:themeColor="text1"/>
              <w:sz w:val="28"/>
              <w:szCs w:val="28"/>
              <w14:textFill>
                <w14:solidFill>
                  <w14:schemeClr w14:val="tx1"/>
                </w14:solidFill>
              </w14:textFill>
            </w:rPr>
            <w:t>附件1</w:t>
          </w:r>
          <w:r>
            <w:rPr>
              <w:rFonts w:hint="eastAsia" w:eastAsiaTheme="minorEastAsia" w:cstheme="minorEastAsia"/>
              <w:color w:val="000000" w:themeColor="text1"/>
              <w:sz w:val="28"/>
              <w:szCs w:val="28"/>
              <w14:textFill>
                <w14:solidFill>
                  <w14:schemeClr w14:val="tx1"/>
                </w14:solidFill>
              </w14:textFill>
            </w:rPr>
            <w:t>舒城县建成区水系图</w:t>
          </w:r>
          <w:r>
            <w:rPr>
              <w:rFonts w:hint="eastAsia" w:eastAsiaTheme="minorEastAsia" w:cstheme="minorEastAsia"/>
              <w:color w:val="000000" w:themeColor="text1"/>
              <w:sz w:val="28"/>
              <w:szCs w:val="28"/>
              <w14:textFill>
                <w14:solidFill>
                  <w14:schemeClr w14:val="tx1"/>
                </w14:solidFill>
              </w14:textFill>
            </w:rPr>
            <w:tab/>
          </w:r>
          <w:r>
            <w:rPr>
              <w:rFonts w:hint="eastAsia" w:eastAsiaTheme="minorEastAsia" w:cstheme="minorEastAsia"/>
              <w:color w:val="000000" w:themeColor="text1"/>
              <w:sz w:val="28"/>
              <w:szCs w:val="28"/>
              <w14:textFill>
                <w14:solidFill>
                  <w14:schemeClr w14:val="tx1"/>
                </w14:solidFill>
              </w14:textFill>
            </w:rPr>
            <w:t>4</w:t>
          </w:r>
          <w:r>
            <w:rPr>
              <w:rFonts w:hint="eastAsia" w:eastAsiaTheme="minorEastAsia" w:cstheme="minorEastAsia"/>
              <w:color w:val="000000" w:themeColor="text1"/>
              <w:sz w:val="28"/>
              <w:szCs w:val="28"/>
              <w14:textFill>
                <w14:solidFill>
                  <w14:schemeClr w14:val="tx1"/>
                </w14:solidFill>
              </w14:textFill>
            </w:rPr>
            <w:fldChar w:fldCharType="end"/>
          </w:r>
          <w:r>
            <w:rPr>
              <w:rFonts w:hint="eastAsia" w:eastAsiaTheme="minorEastAsia" w:cstheme="minorEastAsia"/>
              <w:color w:val="000000" w:themeColor="text1"/>
              <w:sz w:val="28"/>
              <w:szCs w:val="28"/>
              <w14:textFill>
                <w14:solidFill>
                  <w14:schemeClr w14:val="tx1"/>
                </w14:solidFill>
              </w14:textFill>
            </w:rPr>
            <w:t>0</w:t>
          </w:r>
        </w:p>
        <w:p>
          <w:pPr>
            <w:pStyle w:val="22"/>
            <w:tabs>
              <w:tab w:val="right" w:leader="dot" w:pos="8845"/>
            </w:tabs>
            <w:spacing w:line="540" w:lineRule="exact"/>
            <w:rPr>
              <w:rFonts w:eastAsiaTheme="minorEastAsia" w:cstheme="minorEastAsia"/>
              <w:color w:val="000000" w:themeColor="text1"/>
              <w:sz w:val="28"/>
              <w:szCs w:val="28"/>
              <w14:textFill>
                <w14:solidFill>
                  <w14:schemeClr w14:val="tx1"/>
                </w14:solidFill>
              </w14:textFill>
            </w:rPr>
          </w:pPr>
          <w:r>
            <w:fldChar w:fldCharType="begin"/>
          </w:r>
          <w:r>
            <w:instrText xml:space="preserve"> HYPERLINK \l "_Toc22337" </w:instrText>
          </w:r>
          <w:r>
            <w:fldChar w:fldCharType="separate"/>
          </w:r>
          <w:r>
            <w:rPr>
              <w:rFonts w:hint="eastAsia" w:eastAsia="黑体" w:cs="黑体"/>
              <w:color w:val="000000" w:themeColor="text1"/>
              <w:sz w:val="28"/>
              <w:szCs w:val="28"/>
              <w14:textFill>
                <w14:solidFill>
                  <w14:schemeClr w14:val="tx1"/>
                </w14:solidFill>
              </w14:textFill>
            </w:rPr>
            <w:t>附件2</w:t>
          </w:r>
          <w:r>
            <w:rPr>
              <w:rFonts w:hint="eastAsia" w:eastAsiaTheme="minorEastAsia" w:cstheme="minorEastAsia"/>
              <w:color w:val="000000" w:themeColor="text1"/>
              <w:sz w:val="28"/>
              <w:szCs w:val="28"/>
              <w14:textFill>
                <w14:solidFill>
                  <w14:schemeClr w14:val="tx1"/>
                </w14:solidFill>
              </w14:textFill>
            </w:rPr>
            <w:t>舒城县城市现状排水系统排水能力评估图</w:t>
          </w:r>
          <w:r>
            <w:rPr>
              <w:rFonts w:hint="eastAsia" w:eastAsiaTheme="minorEastAsia" w:cstheme="minorEastAsia"/>
              <w:color w:val="000000" w:themeColor="text1"/>
              <w:sz w:val="28"/>
              <w:szCs w:val="28"/>
              <w14:textFill>
                <w14:solidFill>
                  <w14:schemeClr w14:val="tx1"/>
                </w14:solidFill>
              </w14:textFill>
            </w:rPr>
            <w:tab/>
          </w:r>
          <w:r>
            <w:rPr>
              <w:rFonts w:hint="eastAsia" w:eastAsiaTheme="minorEastAsia" w:cstheme="minorEastAsia"/>
              <w:color w:val="000000" w:themeColor="text1"/>
              <w:sz w:val="28"/>
              <w:szCs w:val="28"/>
              <w14:textFill>
                <w14:solidFill>
                  <w14:schemeClr w14:val="tx1"/>
                </w14:solidFill>
              </w14:textFill>
            </w:rPr>
            <w:fldChar w:fldCharType="begin"/>
          </w:r>
          <w:r>
            <w:rPr>
              <w:rFonts w:hint="eastAsia" w:eastAsiaTheme="minorEastAsia" w:cstheme="minorEastAsia"/>
              <w:color w:val="000000" w:themeColor="text1"/>
              <w:sz w:val="28"/>
              <w:szCs w:val="28"/>
              <w14:textFill>
                <w14:solidFill>
                  <w14:schemeClr w14:val="tx1"/>
                </w14:solidFill>
              </w14:textFill>
            </w:rPr>
            <w:instrText xml:space="preserve"> PAGEREF _Toc22337 \h </w:instrText>
          </w:r>
          <w:r>
            <w:rPr>
              <w:rFonts w:hint="eastAsia" w:eastAsiaTheme="minorEastAsia" w:cstheme="minorEastAsia"/>
              <w:color w:val="000000" w:themeColor="text1"/>
              <w:sz w:val="28"/>
              <w:szCs w:val="28"/>
              <w14:textFill>
                <w14:solidFill>
                  <w14:schemeClr w14:val="tx1"/>
                </w14:solidFill>
              </w14:textFill>
            </w:rPr>
            <w:fldChar w:fldCharType="separate"/>
          </w:r>
          <w:r>
            <w:rPr>
              <w:rFonts w:hint="eastAsia" w:eastAsiaTheme="minorEastAsia" w:cstheme="minorEastAsia"/>
              <w:color w:val="000000" w:themeColor="text1"/>
              <w:sz w:val="28"/>
              <w:szCs w:val="28"/>
              <w14:textFill>
                <w14:solidFill>
                  <w14:schemeClr w14:val="tx1"/>
                </w14:solidFill>
              </w14:textFill>
            </w:rPr>
            <w:t>41</w:t>
          </w:r>
          <w:r>
            <w:rPr>
              <w:rFonts w:hint="eastAsia" w:eastAsiaTheme="minorEastAsia" w:cstheme="minorEastAsia"/>
              <w:color w:val="000000" w:themeColor="text1"/>
              <w:sz w:val="28"/>
              <w:szCs w:val="28"/>
              <w14:textFill>
                <w14:solidFill>
                  <w14:schemeClr w14:val="tx1"/>
                </w14:solidFill>
              </w14:textFill>
            </w:rPr>
            <w:fldChar w:fldCharType="end"/>
          </w:r>
          <w:r>
            <w:rPr>
              <w:rFonts w:hint="eastAsia" w:eastAsiaTheme="minorEastAsia" w:cstheme="minorEastAsia"/>
              <w:color w:val="000000" w:themeColor="text1"/>
              <w:sz w:val="28"/>
              <w:szCs w:val="28"/>
              <w14:textFill>
                <w14:solidFill>
                  <w14:schemeClr w14:val="tx1"/>
                </w14:solidFill>
              </w14:textFill>
            </w:rPr>
            <w:fldChar w:fldCharType="end"/>
          </w:r>
        </w:p>
        <w:p>
          <w:pPr>
            <w:pStyle w:val="22"/>
            <w:tabs>
              <w:tab w:val="right" w:leader="dot" w:pos="8845"/>
            </w:tabs>
            <w:spacing w:line="540" w:lineRule="exact"/>
            <w:rPr>
              <w:rFonts w:eastAsiaTheme="minorEastAsia" w:cstheme="minorEastAsia"/>
              <w:color w:val="000000" w:themeColor="text1"/>
              <w:sz w:val="28"/>
              <w:szCs w:val="28"/>
              <w14:textFill>
                <w14:solidFill>
                  <w14:schemeClr w14:val="tx1"/>
                </w14:solidFill>
              </w14:textFill>
            </w:rPr>
          </w:pPr>
          <w:r>
            <w:fldChar w:fldCharType="begin"/>
          </w:r>
          <w:r>
            <w:instrText xml:space="preserve"> HYPERLINK \l "_Toc28730" </w:instrText>
          </w:r>
          <w:r>
            <w:fldChar w:fldCharType="separate"/>
          </w:r>
          <w:r>
            <w:rPr>
              <w:rFonts w:hint="eastAsia" w:eastAsia="黑体" w:cs="黑体"/>
              <w:color w:val="000000" w:themeColor="text1"/>
              <w:sz w:val="28"/>
              <w:szCs w:val="28"/>
              <w14:textFill>
                <w14:solidFill>
                  <w14:schemeClr w14:val="tx1"/>
                </w14:solidFill>
              </w14:textFill>
            </w:rPr>
            <w:t>附件3</w:t>
          </w:r>
          <w:r>
            <w:rPr>
              <w:rFonts w:hint="eastAsia" w:eastAsiaTheme="minorEastAsia" w:cstheme="minorEastAsia"/>
              <w:color w:val="000000" w:themeColor="text1"/>
              <w:sz w:val="28"/>
              <w:szCs w:val="28"/>
              <w14:textFill>
                <w14:solidFill>
                  <w14:schemeClr w14:val="tx1"/>
                </w14:solidFill>
              </w14:textFill>
            </w:rPr>
            <w:t>舒城县城区现状积水点分布图</w:t>
          </w:r>
          <w:r>
            <w:rPr>
              <w:rFonts w:hint="eastAsia" w:eastAsiaTheme="minorEastAsia" w:cstheme="minorEastAsia"/>
              <w:color w:val="000000" w:themeColor="text1"/>
              <w:sz w:val="28"/>
              <w:szCs w:val="28"/>
              <w14:textFill>
                <w14:solidFill>
                  <w14:schemeClr w14:val="tx1"/>
                </w14:solidFill>
              </w14:textFill>
            </w:rPr>
            <w:tab/>
          </w:r>
          <w:r>
            <w:rPr>
              <w:rFonts w:hint="eastAsia" w:eastAsiaTheme="minorEastAsia" w:cstheme="minorEastAsia"/>
              <w:color w:val="000000" w:themeColor="text1"/>
              <w:sz w:val="28"/>
              <w:szCs w:val="28"/>
              <w14:textFill>
                <w14:solidFill>
                  <w14:schemeClr w14:val="tx1"/>
                </w14:solidFill>
              </w14:textFill>
            </w:rPr>
            <w:fldChar w:fldCharType="begin"/>
          </w:r>
          <w:r>
            <w:rPr>
              <w:rFonts w:hint="eastAsia" w:eastAsiaTheme="minorEastAsia" w:cstheme="minorEastAsia"/>
              <w:color w:val="000000" w:themeColor="text1"/>
              <w:sz w:val="28"/>
              <w:szCs w:val="28"/>
              <w14:textFill>
                <w14:solidFill>
                  <w14:schemeClr w14:val="tx1"/>
                </w14:solidFill>
              </w14:textFill>
            </w:rPr>
            <w:instrText xml:space="preserve"> PAGEREF _Toc28730 \h </w:instrText>
          </w:r>
          <w:r>
            <w:rPr>
              <w:rFonts w:hint="eastAsia" w:eastAsiaTheme="minorEastAsia" w:cstheme="minorEastAsia"/>
              <w:color w:val="000000" w:themeColor="text1"/>
              <w:sz w:val="28"/>
              <w:szCs w:val="28"/>
              <w14:textFill>
                <w14:solidFill>
                  <w14:schemeClr w14:val="tx1"/>
                </w14:solidFill>
              </w14:textFill>
            </w:rPr>
            <w:fldChar w:fldCharType="separate"/>
          </w:r>
          <w:r>
            <w:rPr>
              <w:rFonts w:hint="eastAsia" w:eastAsiaTheme="minorEastAsia" w:cstheme="minorEastAsia"/>
              <w:color w:val="000000" w:themeColor="text1"/>
              <w:sz w:val="28"/>
              <w:szCs w:val="28"/>
              <w14:textFill>
                <w14:solidFill>
                  <w14:schemeClr w14:val="tx1"/>
                </w14:solidFill>
              </w14:textFill>
            </w:rPr>
            <w:t>42</w:t>
          </w:r>
          <w:r>
            <w:rPr>
              <w:rFonts w:hint="eastAsia" w:eastAsiaTheme="minorEastAsia" w:cstheme="minorEastAsia"/>
              <w:color w:val="000000" w:themeColor="text1"/>
              <w:sz w:val="28"/>
              <w:szCs w:val="28"/>
              <w14:textFill>
                <w14:solidFill>
                  <w14:schemeClr w14:val="tx1"/>
                </w14:solidFill>
              </w14:textFill>
            </w:rPr>
            <w:fldChar w:fldCharType="end"/>
          </w:r>
          <w:r>
            <w:rPr>
              <w:rFonts w:hint="eastAsia" w:eastAsiaTheme="minorEastAsia" w:cstheme="minorEastAsia"/>
              <w:color w:val="000000" w:themeColor="text1"/>
              <w:sz w:val="28"/>
              <w:szCs w:val="28"/>
              <w14:textFill>
                <w14:solidFill>
                  <w14:schemeClr w14:val="tx1"/>
                </w14:solidFill>
              </w14:textFill>
            </w:rPr>
            <w:fldChar w:fldCharType="end"/>
          </w:r>
        </w:p>
        <w:p>
          <w:pPr>
            <w:pStyle w:val="22"/>
            <w:tabs>
              <w:tab w:val="right" w:leader="dot" w:pos="8845"/>
            </w:tabs>
            <w:spacing w:line="540" w:lineRule="exact"/>
            <w:rPr>
              <w:rFonts w:eastAsiaTheme="minorEastAsia" w:cstheme="minorEastAsia"/>
              <w:color w:val="000000" w:themeColor="text1"/>
              <w:sz w:val="28"/>
              <w:szCs w:val="28"/>
              <w14:textFill>
                <w14:solidFill>
                  <w14:schemeClr w14:val="tx1"/>
                </w14:solidFill>
              </w14:textFill>
            </w:rPr>
          </w:pPr>
          <w:r>
            <w:fldChar w:fldCharType="begin"/>
          </w:r>
          <w:r>
            <w:instrText xml:space="preserve"> HYPERLINK \l "_Toc9423" </w:instrText>
          </w:r>
          <w:r>
            <w:fldChar w:fldCharType="separate"/>
          </w:r>
          <w:r>
            <w:rPr>
              <w:rFonts w:hint="eastAsia" w:eastAsia="黑体" w:cs="黑体"/>
              <w:color w:val="000000" w:themeColor="text1"/>
              <w:sz w:val="28"/>
              <w:szCs w:val="28"/>
              <w14:textFill>
                <w14:solidFill>
                  <w14:schemeClr w14:val="tx1"/>
                </w14:solidFill>
              </w14:textFill>
            </w:rPr>
            <w:t>附件4</w:t>
          </w:r>
          <w:r>
            <w:rPr>
              <w:rFonts w:hint="eastAsia" w:eastAsiaTheme="minorEastAsia" w:cstheme="minorEastAsia"/>
              <w:color w:val="000000" w:themeColor="text1"/>
              <w:sz w:val="28"/>
              <w:szCs w:val="28"/>
              <w14:textFill>
                <w14:solidFill>
                  <w14:schemeClr w14:val="tx1"/>
                </w14:solidFill>
              </w14:textFill>
            </w:rPr>
            <w:t>舒城县规划城区高、低排区划分析图</w:t>
          </w:r>
          <w:r>
            <w:rPr>
              <w:rFonts w:hint="eastAsia" w:eastAsiaTheme="minorEastAsia" w:cstheme="minorEastAsia"/>
              <w:color w:val="000000" w:themeColor="text1"/>
              <w:sz w:val="28"/>
              <w:szCs w:val="28"/>
              <w14:textFill>
                <w14:solidFill>
                  <w14:schemeClr w14:val="tx1"/>
                </w14:solidFill>
              </w14:textFill>
            </w:rPr>
            <w:tab/>
          </w:r>
          <w:r>
            <w:rPr>
              <w:rFonts w:hint="eastAsia" w:eastAsiaTheme="minorEastAsia" w:cstheme="minorEastAsia"/>
              <w:color w:val="000000" w:themeColor="text1"/>
              <w:sz w:val="28"/>
              <w:szCs w:val="28"/>
              <w14:textFill>
                <w14:solidFill>
                  <w14:schemeClr w14:val="tx1"/>
                </w14:solidFill>
              </w14:textFill>
            </w:rPr>
            <w:t>4</w:t>
          </w:r>
          <w:r>
            <w:rPr>
              <w:rFonts w:hint="eastAsia" w:eastAsiaTheme="minorEastAsia" w:cstheme="minorEastAsia"/>
              <w:color w:val="000000" w:themeColor="text1"/>
              <w:sz w:val="28"/>
              <w:szCs w:val="28"/>
              <w14:textFill>
                <w14:solidFill>
                  <w14:schemeClr w14:val="tx1"/>
                </w14:solidFill>
              </w14:textFill>
            </w:rPr>
            <w:fldChar w:fldCharType="end"/>
          </w:r>
          <w:r>
            <w:rPr>
              <w:rFonts w:hint="eastAsia" w:eastAsiaTheme="minorEastAsia" w:cstheme="minorEastAsia"/>
              <w:color w:val="000000" w:themeColor="text1"/>
              <w:sz w:val="28"/>
              <w:szCs w:val="28"/>
              <w14:textFill>
                <w14:solidFill>
                  <w14:schemeClr w14:val="tx1"/>
                </w14:solidFill>
              </w14:textFill>
            </w:rPr>
            <w:t>3</w:t>
          </w:r>
        </w:p>
        <w:p>
          <w:pPr>
            <w:pStyle w:val="22"/>
            <w:tabs>
              <w:tab w:val="right" w:leader="dot" w:pos="8845"/>
            </w:tabs>
            <w:spacing w:line="540" w:lineRule="exact"/>
            <w:rPr>
              <w:rFonts w:eastAsiaTheme="minorEastAsia" w:cstheme="minorEastAsia"/>
              <w:color w:val="000000" w:themeColor="text1"/>
              <w:sz w:val="28"/>
              <w:szCs w:val="28"/>
              <w14:textFill>
                <w14:solidFill>
                  <w14:schemeClr w14:val="tx1"/>
                </w14:solidFill>
              </w14:textFill>
            </w:rPr>
          </w:pPr>
          <w:r>
            <w:fldChar w:fldCharType="begin"/>
          </w:r>
          <w:r>
            <w:instrText xml:space="preserve"> HYPERLINK \l "_Toc9423" </w:instrText>
          </w:r>
          <w:r>
            <w:fldChar w:fldCharType="separate"/>
          </w:r>
          <w:r>
            <w:rPr>
              <w:rFonts w:hint="eastAsia" w:eastAsia="黑体" w:cs="黑体"/>
              <w:color w:val="000000" w:themeColor="text1"/>
              <w:sz w:val="28"/>
              <w:szCs w:val="28"/>
              <w14:textFill>
                <w14:solidFill>
                  <w14:schemeClr w14:val="tx1"/>
                </w14:solidFill>
              </w14:textFill>
            </w:rPr>
            <w:t>附件5</w:t>
          </w:r>
          <w:r>
            <w:rPr>
              <w:rFonts w:hint="eastAsia" w:eastAsiaTheme="minorEastAsia" w:cstheme="minorEastAsia"/>
              <w:color w:val="000000" w:themeColor="text1"/>
              <w:sz w:val="28"/>
              <w:szCs w:val="28"/>
              <w14:textFill>
                <w14:solidFill>
                  <w14:schemeClr w14:val="tx1"/>
                </w14:solidFill>
              </w14:textFill>
            </w:rPr>
            <w:t>舒城县城市排水分区规划表</w:t>
          </w:r>
          <w:r>
            <w:rPr>
              <w:rFonts w:hint="eastAsia" w:eastAsiaTheme="minorEastAsia" w:cstheme="minorEastAsia"/>
              <w:color w:val="000000" w:themeColor="text1"/>
              <w:sz w:val="28"/>
              <w:szCs w:val="28"/>
              <w14:textFill>
                <w14:solidFill>
                  <w14:schemeClr w14:val="tx1"/>
                </w14:solidFill>
              </w14:textFill>
            </w:rPr>
            <w:tab/>
          </w:r>
          <w:r>
            <w:rPr>
              <w:rFonts w:hint="eastAsia" w:eastAsiaTheme="minorEastAsia" w:cstheme="minorEastAsia"/>
              <w:color w:val="000000" w:themeColor="text1"/>
              <w:sz w:val="28"/>
              <w:szCs w:val="28"/>
              <w14:textFill>
                <w14:solidFill>
                  <w14:schemeClr w14:val="tx1"/>
                </w14:solidFill>
              </w14:textFill>
            </w:rPr>
            <w:t>4</w:t>
          </w:r>
          <w:r>
            <w:rPr>
              <w:rFonts w:hint="eastAsia" w:eastAsiaTheme="minorEastAsia" w:cstheme="minorEastAsia"/>
              <w:color w:val="000000" w:themeColor="text1"/>
              <w:sz w:val="28"/>
              <w:szCs w:val="28"/>
              <w14:textFill>
                <w14:solidFill>
                  <w14:schemeClr w14:val="tx1"/>
                </w14:solidFill>
              </w14:textFill>
            </w:rPr>
            <w:fldChar w:fldCharType="end"/>
          </w:r>
          <w:r>
            <w:rPr>
              <w:rFonts w:hint="eastAsia" w:eastAsiaTheme="minorEastAsia" w:cstheme="minorEastAsia"/>
              <w:color w:val="000000" w:themeColor="text1"/>
              <w:sz w:val="28"/>
              <w:szCs w:val="28"/>
              <w14:textFill>
                <w14:solidFill>
                  <w14:schemeClr w14:val="tx1"/>
                </w14:solidFill>
              </w14:textFill>
            </w:rPr>
            <w:t>4</w:t>
          </w:r>
        </w:p>
        <w:p>
          <w:pPr>
            <w:pStyle w:val="22"/>
            <w:tabs>
              <w:tab w:val="right" w:leader="dot" w:pos="8845"/>
            </w:tabs>
            <w:spacing w:line="540" w:lineRule="exact"/>
            <w:rPr>
              <w:rFonts w:eastAsiaTheme="minorEastAsia" w:cstheme="minorEastAsia"/>
              <w:color w:val="000000" w:themeColor="text1"/>
              <w:sz w:val="28"/>
              <w:szCs w:val="28"/>
              <w14:textFill>
                <w14:solidFill>
                  <w14:schemeClr w14:val="tx1"/>
                </w14:solidFill>
              </w14:textFill>
            </w:rPr>
          </w:pPr>
          <w:r>
            <w:fldChar w:fldCharType="begin"/>
          </w:r>
          <w:r>
            <w:instrText xml:space="preserve"> HYPERLINK \l "_Toc9423" </w:instrText>
          </w:r>
          <w:r>
            <w:fldChar w:fldCharType="separate"/>
          </w:r>
          <w:r>
            <w:rPr>
              <w:rFonts w:hint="eastAsia" w:eastAsia="黑体" w:cs="黑体"/>
              <w:color w:val="000000" w:themeColor="text1"/>
              <w:sz w:val="28"/>
              <w:szCs w:val="28"/>
              <w14:textFill>
                <w14:solidFill>
                  <w14:schemeClr w14:val="tx1"/>
                </w14:solidFill>
              </w14:textFill>
            </w:rPr>
            <w:t>附件6</w:t>
          </w:r>
          <w:r>
            <w:rPr>
              <w:rFonts w:hint="eastAsia" w:eastAsiaTheme="minorEastAsia" w:cstheme="minorEastAsia"/>
              <w:color w:val="000000" w:themeColor="text1"/>
              <w:sz w:val="28"/>
              <w:szCs w:val="28"/>
              <w14:textFill>
                <w14:solidFill>
                  <w14:schemeClr w14:val="tx1"/>
                </w14:solidFill>
              </w14:textFill>
            </w:rPr>
            <w:t>舒城县城管局城区地下有限空间排查统计台账</w:t>
          </w:r>
          <w:r>
            <w:rPr>
              <w:rFonts w:hint="eastAsia" w:eastAsiaTheme="minorEastAsia" w:cstheme="minorEastAsia"/>
              <w:color w:val="000000" w:themeColor="text1"/>
              <w:sz w:val="28"/>
              <w:szCs w:val="28"/>
              <w14:textFill>
                <w14:solidFill>
                  <w14:schemeClr w14:val="tx1"/>
                </w14:solidFill>
              </w14:textFill>
            </w:rPr>
            <w:tab/>
          </w:r>
          <w:r>
            <w:rPr>
              <w:rFonts w:hint="eastAsia" w:eastAsiaTheme="minorEastAsia" w:cstheme="minorEastAsia"/>
              <w:color w:val="000000" w:themeColor="text1"/>
              <w:sz w:val="28"/>
              <w:szCs w:val="28"/>
              <w14:textFill>
                <w14:solidFill>
                  <w14:schemeClr w14:val="tx1"/>
                </w14:solidFill>
              </w14:textFill>
            </w:rPr>
            <w:t>4</w:t>
          </w:r>
          <w:r>
            <w:rPr>
              <w:rFonts w:hint="eastAsia" w:eastAsiaTheme="minorEastAsia" w:cstheme="minorEastAsia"/>
              <w:color w:val="000000" w:themeColor="text1"/>
              <w:sz w:val="28"/>
              <w:szCs w:val="28"/>
              <w14:textFill>
                <w14:solidFill>
                  <w14:schemeClr w14:val="tx1"/>
                </w14:solidFill>
              </w14:textFill>
            </w:rPr>
            <w:fldChar w:fldCharType="end"/>
          </w:r>
          <w:r>
            <w:rPr>
              <w:rFonts w:hint="eastAsia" w:eastAsiaTheme="minorEastAsia" w:cstheme="minorEastAsia"/>
              <w:color w:val="000000" w:themeColor="text1"/>
              <w:sz w:val="28"/>
              <w:szCs w:val="28"/>
              <w14:textFill>
                <w14:solidFill>
                  <w14:schemeClr w14:val="tx1"/>
                </w14:solidFill>
              </w14:textFill>
            </w:rPr>
            <w:t>5</w:t>
          </w:r>
        </w:p>
        <w:p>
          <w:pPr>
            <w:pStyle w:val="22"/>
            <w:tabs>
              <w:tab w:val="right" w:leader="dot" w:pos="8845"/>
            </w:tabs>
            <w:spacing w:line="540" w:lineRule="exact"/>
            <w:rPr>
              <w:rFonts w:eastAsiaTheme="minorEastAsia"/>
              <w:color w:val="000000" w:themeColor="text1"/>
              <w:sz w:val="28"/>
              <w:szCs w:val="28"/>
              <w14:textFill>
                <w14:solidFill>
                  <w14:schemeClr w14:val="tx1"/>
                </w14:solidFill>
              </w14:textFill>
            </w:rPr>
          </w:pPr>
          <w:r>
            <w:fldChar w:fldCharType="begin"/>
          </w:r>
          <w:r>
            <w:instrText xml:space="preserve"> HYPERLINK \l "_Toc24216" </w:instrText>
          </w:r>
          <w:r>
            <w:fldChar w:fldCharType="separate"/>
          </w:r>
          <w:r>
            <w:rPr>
              <w:rFonts w:hint="eastAsia" w:eastAsia="黑体" w:cs="黑体"/>
              <w:color w:val="000000" w:themeColor="text1"/>
              <w:sz w:val="28"/>
              <w:szCs w:val="28"/>
              <w14:textFill>
                <w14:solidFill>
                  <w14:schemeClr w14:val="tx1"/>
                </w14:solidFill>
              </w14:textFill>
            </w:rPr>
            <w:t>附件7</w:t>
          </w:r>
          <w:r>
            <w:rPr>
              <w:rFonts w:hint="eastAsia" w:eastAsiaTheme="minorEastAsia" w:cstheme="minorEastAsia"/>
              <w:color w:val="000000" w:themeColor="text1"/>
              <w:sz w:val="28"/>
              <w:szCs w:val="28"/>
              <w14:textFill>
                <w14:solidFill>
                  <w14:schemeClr w14:val="tx1"/>
                </w14:solidFill>
              </w14:textFill>
            </w:rPr>
            <w:t>舒城县城区内涝点治理清单（补充版）</w:t>
          </w:r>
          <w:r>
            <w:rPr>
              <w:rFonts w:hint="eastAsia" w:eastAsiaTheme="minorEastAsia" w:cstheme="minorEastAsia"/>
              <w:color w:val="000000" w:themeColor="text1"/>
              <w:sz w:val="28"/>
              <w:szCs w:val="28"/>
              <w14:textFill>
                <w14:solidFill>
                  <w14:schemeClr w14:val="tx1"/>
                </w14:solidFill>
              </w14:textFill>
            </w:rPr>
            <w:tab/>
          </w:r>
          <w:r>
            <w:rPr>
              <w:rFonts w:hint="eastAsia" w:eastAsiaTheme="minorEastAsia" w:cstheme="minorEastAsia"/>
              <w:color w:val="000000" w:themeColor="text1"/>
              <w:sz w:val="28"/>
              <w:szCs w:val="28"/>
              <w14:textFill>
                <w14:solidFill>
                  <w14:schemeClr w14:val="tx1"/>
                </w14:solidFill>
              </w14:textFill>
            </w:rPr>
            <w:fldChar w:fldCharType="end"/>
          </w:r>
          <w:r>
            <w:rPr>
              <w:rFonts w:hint="eastAsia" w:eastAsiaTheme="minorEastAsia" w:cstheme="minorEastAsia"/>
              <w:color w:val="000000" w:themeColor="text1"/>
              <w:sz w:val="28"/>
              <w:szCs w:val="28"/>
              <w14:textFill>
                <w14:solidFill>
                  <w14:schemeClr w14:val="tx1"/>
                </w14:solidFill>
              </w14:textFill>
            </w:rPr>
            <w:t>56</w:t>
          </w:r>
        </w:p>
        <w:p>
          <w:pPr>
            <w:pStyle w:val="22"/>
            <w:tabs>
              <w:tab w:val="right" w:leader="dot" w:pos="8845"/>
            </w:tabs>
            <w:spacing w:line="540" w:lineRule="exact"/>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fldChar w:fldCharType="end"/>
          </w:r>
        </w:p>
        <w:p>
          <w:pPr>
            <w:spacing w:line="540" w:lineRule="exact"/>
            <w:rPr>
              <w:color w:val="000000" w:themeColor="text1"/>
              <w14:textFill>
                <w14:solidFill>
                  <w14:schemeClr w14:val="tx1"/>
                </w14:solidFill>
              </w14:textFill>
            </w:rPr>
          </w:pPr>
        </w:p>
      </w:sdtContent>
    </w:sdt>
    <w:p>
      <w:pPr>
        <w:spacing w:line="560" w:lineRule="exact"/>
        <w:jc w:val="left"/>
        <w:outlineLvl w:val="0"/>
        <w:rPr>
          <w:rFonts w:eastAsia="黑体" w:cs="黑体"/>
          <w:color w:val="000000" w:themeColor="text1"/>
          <w:sz w:val="32"/>
          <w:szCs w:val="32"/>
          <w14:textFill>
            <w14:solidFill>
              <w14:schemeClr w14:val="tx1"/>
            </w14:solidFill>
          </w14:textFill>
        </w:rPr>
        <w:sectPr>
          <w:pgSz w:w="11906" w:h="16838"/>
          <w:pgMar w:top="2098" w:right="1474" w:bottom="1757" w:left="1587" w:header="851" w:footer="992" w:gutter="0"/>
          <w:pgNumType w:start="1"/>
          <w:cols w:space="425" w:num="1"/>
          <w:docGrid w:type="lines" w:linePitch="312" w:charSpace="0"/>
        </w:sectPr>
      </w:pPr>
      <w:bookmarkStart w:id="6" w:name="_Toc7130"/>
    </w:p>
    <w:p>
      <w:pPr>
        <w:pStyle w:val="2"/>
        <w:ind w:firstLine="0" w:firstLineChars="0"/>
        <w:rPr>
          <w:rFonts w:ascii="Times New Roman" w:hAnsi="Times New Roman"/>
          <w:color w:val="000000" w:themeColor="text1"/>
          <w14:textFill>
            <w14:solidFill>
              <w14:schemeClr w14:val="tx1"/>
            </w14:solidFill>
          </w14:textFill>
        </w:rPr>
      </w:pPr>
    </w:p>
    <w:p>
      <w:pPr>
        <w:spacing w:line="560" w:lineRule="exact"/>
        <w:ind w:firstLine="640" w:firstLineChars="200"/>
        <w:jc w:val="left"/>
        <w:outlineLvl w:val="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1 总则</w:t>
      </w:r>
      <w:bookmarkEnd w:id="6"/>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7" w:name="_Toc25545"/>
      <w:r>
        <w:rPr>
          <w:rFonts w:hint="eastAsia" w:ascii="楷体_GB2312" w:hAnsi="楷体_GB2312" w:eastAsia="楷体_GB2312" w:cs="楷体_GB2312"/>
          <w:b/>
          <w:bCs/>
          <w:color w:val="000000" w:themeColor="text1"/>
          <w:sz w:val="32"/>
          <w:szCs w:val="32"/>
          <w14:textFill>
            <w14:solidFill>
              <w14:schemeClr w14:val="tx1"/>
            </w14:solidFill>
          </w14:textFill>
        </w:rPr>
        <w:t>1.1编制目的</w:t>
      </w:r>
      <w:bookmarkEnd w:id="7"/>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以习近平新时代中国特色社会主义思想为指导，贯彻落实“两个坚持、三个转变”防灾减灾救灾新理念，加强对县城区防洪工作的组织领导，建立部门间协调配合、形成齐抓共管的联动机制，做好水灾突发事件的应急准备和处置工作，保证抗洪抢险工作高效有序进行，最大限度减少灾害造成的危害，保障经济社会稳定发展，特编制《舒城县城区防洪应急预案》。</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8" w:name="_Toc20908"/>
      <w:r>
        <w:rPr>
          <w:rFonts w:hint="eastAsia" w:ascii="楷体_GB2312" w:hAnsi="楷体_GB2312" w:eastAsia="楷体_GB2312" w:cs="楷体_GB2312"/>
          <w:b/>
          <w:bCs/>
          <w:color w:val="000000" w:themeColor="text1"/>
          <w:sz w:val="32"/>
          <w:szCs w:val="32"/>
          <w14:textFill>
            <w14:solidFill>
              <w14:schemeClr w14:val="tx1"/>
            </w14:solidFill>
          </w14:textFill>
        </w:rPr>
        <w:t>1.2编制依据</w:t>
      </w:r>
      <w:bookmarkEnd w:id="8"/>
    </w:p>
    <w:p>
      <w:pPr>
        <w:spacing w:line="560" w:lineRule="exact"/>
        <w:ind w:firstLine="640" w:firstLineChars="200"/>
        <w:jc w:val="left"/>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1.2.1《中华人民共和国水法》；</w:t>
      </w:r>
    </w:p>
    <w:p>
      <w:pPr>
        <w:spacing w:line="560" w:lineRule="exact"/>
        <w:ind w:firstLine="640" w:firstLineChars="200"/>
        <w:jc w:val="left"/>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1.2.2《中华人民共和国突发事件应对法》；</w:t>
      </w:r>
    </w:p>
    <w:p>
      <w:pPr>
        <w:spacing w:line="560" w:lineRule="exact"/>
        <w:ind w:firstLine="640" w:firstLineChars="200"/>
        <w:jc w:val="left"/>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1.2.3《中华人民共和国防洪法》；</w:t>
      </w:r>
    </w:p>
    <w:p>
      <w:pPr>
        <w:spacing w:line="560" w:lineRule="exact"/>
        <w:ind w:firstLine="640" w:firstLineChars="200"/>
        <w:jc w:val="left"/>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1.2.4《中华人民共和国防汛条例》；</w:t>
      </w:r>
    </w:p>
    <w:p>
      <w:pPr>
        <w:spacing w:line="560" w:lineRule="exact"/>
        <w:ind w:firstLine="640" w:firstLineChars="200"/>
        <w:jc w:val="left"/>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1.2.5《国家防汛抗旱应急预案》；</w:t>
      </w:r>
    </w:p>
    <w:p>
      <w:pPr>
        <w:spacing w:line="560" w:lineRule="exact"/>
        <w:ind w:firstLine="640" w:firstLineChars="200"/>
        <w:jc w:val="left"/>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1.2.6《安徽省实施＜中华人民共和国防洪法＞办法》；</w:t>
      </w:r>
    </w:p>
    <w:p>
      <w:pPr>
        <w:spacing w:line="560" w:lineRule="exact"/>
        <w:ind w:firstLine="640" w:firstLineChars="200"/>
        <w:jc w:val="left"/>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1.2.7《安徽省防汛抗旱应急预案》；</w:t>
      </w:r>
    </w:p>
    <w:p>
      <w:pPr>
        <w:spacing w:line="560" w:lineRule="exact"/>
        <w:ind w:firstLine="640" w:firstLineChars="200"/>
        <w:jc w:val="left"/>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1.2.8《安徽省突发事件总体应急预案》；</w:t>
      </w:r>
    </w:p>
    <w:p>
      <w:pPr>
        <w:spacing w:line="560" w:lineRule="exact"/>
        <w:ind w:firstLine="640" w:firstLineChars="200"/>
        <w:jc w:val="left"/>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1.2.9 《六安市防汛抗旱应急预案》；</w:t>
      </w:r>
    </w:p>
    <w:p>
      <w:pPr>
        <w:spacing w:line="560" w:lineRule="exact"/>
        <w:ind w:firstLine="640" w:firstLineChars="200"/>
        <w:jc w:val="left"/>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1.2.10《六安市城市防洪应急预案》</w:t>
      </w:r>
    </w:p>
    <w:p>
      <w:pPr>
        <w:spacing w:line="560" w:lineRule="exact"/>
        <w:ind w:firstLine="640" w:firstLineChars="200"/>
        <w:jc w:val="left"/>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1.2.11《六安市突发事件总体应急预案》；</w:t>
      </w:r>
    </w:p>
    <w:p>
      <w:pPr>
        <w:spacing w:line="560" w:lineRule="exact"/>
        <w:ind w:firstLine="640" w:firstLineChars="200"/>
        <w:jc w:val="left"/>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1.2.12《舒城县防汛抗旱应急预案》；</w:t>
      </w:r>
    </w:p>
    <w:p>
      <w:pPr>
        <w:spacing w:line="560" w:lineRule="exact"/>
        <w:ind w:firstLine="640" w:firstLineChars="200"/>
        <w:jc w:val="left"/>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1.2.13《舒城县城市排水（雨水）防涝综合规划修编（2020—2030）》；</w:t>
      </w:r>
    </w:p>
    <w:p>
      <w:pPr>
        <w:spacing w:line="560" w:lineRule="exact"/>
        <w:ind w:firstLine="640" w:firstLineChars="200"/>
        <w:jc w:val="left"/>
        <w:rPr>
          <w:rFonts w:eastAsia="仿宋_GB2312" w:cs="仿宋_GB2312"/>
          <w:b/>
          <w:bCs/>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1.2.14其它有关法律法规和文件等。</w:t>
      </w:r>
      <w:bookmarkStart w:id="9" w:name="_Toc4384"/>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1.3适用范围</w:t>
      </w:r>
      <w:bookmarkEnd w:id="9"/>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本预案适用于本</w:t>
      </w:r>
      <w:r>
        <w:rPr>
          <w:rFonts w:hint="eastAsia" w:eastAsia="仿宋_GB2312"/>
          <w:color w:val="000000" w:themeColor="text1"/>
          <w:sz w:val="32"/>
          <w:szCs w:val="32"/>
          <w14:textFill>
            <w14:solidFill>
              <w14:schemeClr w14:val="tx1"/>
            </w14:solidFill>
          </w14:textFill>
        </w:rPr>
        <w:t>县城</w:t>
      </w:r>
      <w:r>
        <w:rPr>
          <w:rFonts w:eastAsia="仿宋_GB2312"/>
          <w:color w:val="000000" w:themeColor="text1"/>
          <w:sz w:val="32"/>
          <w:szCs w:val="32"/>
          <w14:textFill>
            <w14:solidFill>
              <w14:schemeClr w14:val="tx1"/>
            </w14:solidFill>
          </w14:textFill>
        </w:rPr>
        <w:t>区内</w:t>
      </w:r>
      <w:r>
        <w:rPr>
          <w:rFonts w:hint="eastAsia" w:eastAsia="仿宋_GB2312"/>
          <w:color w:val="000000" w:themeColor="text1"/>
          <w:sz w:val="32"/>
          <w:szCs w:val="32"/>
          <w14:textFill>
            <w14:solidFill>
              <w14:schemeClr w14:val="tx1"/>
            </w14:solidFill>
          </w14:textFill>
        </w:rPr>
        <w:t>水灾</w:t>
      </w:r>
      <w:r>
        <w:rPr>
          <w:rFonts w:eastAsia="仿宋_GB2312"/>
          <w:color w:val="000000" w:themeColor="text1"/>
          <w:sz w:val="32"/>
          <w:szCs w:val="32"/>
          <w14:textFill>
            <w14:solidFill>
              <w14:schemeClr w14:val="tx1"/>
            </w14:solidFill>
          </w14:textFill>
        </w:rPr>
        <w:t>的防范与处置。</w:t>
      </w:r>
      <w:r>
        <w:rPr>
          <w:rFonts w:hint="eastAsia" w:eastAsia="仿宋_GB2312"/>
          <w:color w:val="000000" w:themeColor="text1"/>
          <w:sz w:val="32"/>
          <w:szCs w:val="32"/>
          <w14:textFill>
            <w14:solidFill>
              <w14:schemeClr w14:val="tx1"/>
            </w14:solidFill>
          </w14:textFill>
        </w:rPr>
        <w:t>水灾</w:t>
      </w:r>
      <w:r>
        <w:rPr>
          <w:rFonts w:eastAsia="仿宋_GB2312"/>
          <w:color w:val="000000" w:themeColor="text1"/>
          <w:sz w:val="32"/>
          <w:szCs w:val="32"/>
          <w14:textFill>
            <w14:solidFill>
              <w14:schemeClr w14:val="tx1"/>
            </w14:solidFill>
          </w14:textFill>
        </w:rPr>
        <w:t>主要包括：洪涝灾害、台风暴雨、堤防决口、水闸倒塌等次生衍生灾害</w:t>
      </w:r>
      <w:r>
        <w:rPr>
          <w:rFonts w:hint="eastAsia" w:eastAsia="仿宋_GB2312"/>
          <w:color w:val="000000" w:themeColor="text1"/>
          <w:sz w:val="32"/>
          <w:szCs w:val="32"/>
          <w14:textFill>
            <w14:solidFill>
              <w14:schemeClr w14:val="tx1"/>
            </w14:solidFill>
          </w14:textFill>
        </w:rPr>
        <w:t>。</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10" w:name="_Toc26842"/>
      <w:r>
        <w:rPr>
          <w:rFonts w:hint="eastAsia" w:ascii="楷体_GB2312" w:hAnsi="楷体_GB2312" w:eastAsia="楷体_GB2312" w:cs="楷体_GB2312"/>
          <w:b/>
          <w:bCs/>
          <w:color w:val="000000" w:themeColor="text1"/>
          <w:sz w:val="32"/>
          <w:szCs w:val="32"/>
          <w14:textFill>
            <w14:solidFill>
              <w14:schemeClr w14:val="tx1"/>
            </w14:solidFill>
          </w14:textFill>
        </w:rPr>
        <w:t>1.4工作原则</w:t>
      </w:r>
      <w:bookmarkEnd w:id="10"/>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1.4.1在县委、县政府统一领导下，防洪工作实行属地政府行政首长负责制，统一指挥，分级分部门负责。</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1.4.2防洪工作以防洪安全为首要目标，实行安全第一、常备不懈，坚持以防为主、防抗结合的原则。</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1.4.3防洪坚持因地制宜，突出重点，兼顾一般，局部利益服从全局利益。</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1.4.4坚持依法防洪，实行公众参与，军民结合，专群结合，平战结合。</w:t>
      </w:r>
    </w:p>
    <w:p>
      <w:pPr>
        <w:spacing w:line="560" w:lineRule="exact"/>
        <w:ind w:firstLine="640" w:firstLineChars="200"/>
        <w:jc w:val="left"/>
        <w:outlineLvl w:val="0"/>
        <w:rPr>
          <w:rFonts w:ascii="黑体" w:hAnsi="黑体" w:eastAsia="黑体" w:cs="黑体"/>
          <w:color w:val="000000" w:themeColor="text1"/>
          <w:sz w:val="32"/>
          <w:szCs w:val="32"/>
          <w14:textFill>
            <w14:solidFill>
              <w14:schemeClr w14:val="tx1"/>
            </w14:solidFill>
          </w14:textFill>
        </w:rPr>
      </w:pPr>
      <w:bookmarkStart w:id="11" w:name="_Toc19223"/>
      <w:r>
        <w:rPr>
          <w:rFonts w:hint="eastAsia" w:ascii="黑体" w:hAnsi="黑体" w:eastAsia="黑体" w:cs="黑体"/>
          <w:color w:val="000000" w:themeColor="text1"/>
          <w:sz w:val="32"/>
          <w:szCs w:val="32"/>
          <w14:textFill>
            <w14:solidFill>
              <w14:schemeClr w14:val="tx1"/>
            </w14:solidFill>
          </w14:textFill>
        </w:rPr>
        <w:t>2 城市概况</w:t>
      </w:r>
      <w:bookmarkEnd w:id="11"/>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12" w:name="_Toc9490"/>
      <w:r>
        <w:rPr>
          <w:rFonts w:hint="eastAsia" w:ascii="楷体_GB2312" w:hAnsi="楷体_GB2312" w:eastAsia="楷体_GB2312" w:cs="楷体_GB2312"/>
          <w:b/>
          <w:bCs/>
          <w:color w:val="000000" w:themeColor="text1"/>
          <w:sz w:val="32"/>
          <w:szCs w:val="32"/>
          <w14:textFill>
            <w14:solidFill>
              <w14:schemeClr w14:val="tx1"/>
            </w14:solidFill>
          </w14:textFill>
        </w:rPr>
        <w:t>2.1自然地理与气候条件</w:t>
      </w:r>
      <w:bookmarkEnd w:id="12"/>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2.1.1自然地理</w:t>
      </w:r>
    </w:p>
    <w:p>
      <w:pPr>
        <w:widowControl/>
        <w:ind w:firstLine="643" w:firstLineChars="200"/>
        <w:rPr>
          <w:rFonts w:eastAsia="仿宋_GB2312"/>
          <w:b/>
          <w:bCs/>
          <w:color w:val="000000" w:themeColor="text1"/>
          <w:kern w:val="0"/>
          <w:sz w:val="32"/>
          <w:szCs w:val="32"/>
          <w14:textFill>
            <w14:solidFill>
              <w14:schemeClr w14:val="tx1"/>
            </w14:solidFill>
          </w14:textFill>
        </w:rPr>
      </w:pPr>
      <w:bookmarkStart w:id="13" w:name="_Toc7743"/>
      <w:r>
        <w:rPr>
          <w:rFonts w:hint="eastAsia" w:eastAsia="仿宋_GB2312"/>
          <w:b/>
          <w:bCs/>
          <w:color w:val="000000" w:themeColor="text1"/>
          <w:kern w:val="0"/>
          <w:sz w:val="32"/>
          <w:szCs w:val="32"/>
          <w14:textFill>
            <w14:solidFill>
              <w14:schemeClr w14:val="tx1"/>
            </w14:solidFill>
          </w14:textFill>
        </w:rPr>
        <w:t>1.地理位置</w:t>
      </w:r>
      <w:bookmarkEnd w:id="13"/>
    </w:p>
    <w:p>
      <w:pPr>
        <w:widowControl/>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舒城县地处安徽中西部，合肥近郊，北纬 </w:t>
      </w:r>
      <w:r>
        <w:rPr>
          <w:rFonts w:eastAsia="仿宋_GB2312"/>
          <w:color w:val="000000" w:themeColor="text1"/>
          <w:kern w:val="0"/>
          <w:sz w:val="32"/>
          <w:szCs w:val="32"/>
          <w14:textFill>
            <w14:solidFill>
              <w14:schemeClr w14:val="tx1"/>
            </w14:solidFill>
          </w14:textFill>
        </w:rPr>
        <w:t>31°01'</w:t>
      </w:r>
      <w:r>
        <w:rPr>
          <w:rFonts w:hint="eastAsia" w:eastAsia="仿宋_GB2312" w:cs="仿宋_GB2312"/>
          <w:color w:val="000000" w:themeColor="text1"/>
          <w:kern w:val="0"/>
          <w:sz w:val="32"/>
          <w:szCs w:val="32"/>
          <w14:textFill>
            <w14:solidFill>
              <w14:schemeClr w14:val="tx1"/>
            </w14:solidFill>
          </w14:textFill>
        </w:rPr>
        <w:t>～</w:t>
      </w:r>
      <w:r>
        <w:rPr>
          <w:rFonts w:eastAsia="仿宋_GB2312"/>
          <w:color w:val="000000" w:themeColor="text1"/>
          <w:kern w:val="0"/>
          <w:sz w:val="32"/>
          <w:szCs w:val="32"/>
          <w14:textFill>
            <w14:solidFill>
              <w14:schemeClr w14:val="tx1"/>
            </w14:solidFill>
          </w14:textFill>
        </w:rPr>
        <w:t>31°34'</w:t>
      </w:r>
      <w:r>
        <w:rPr>
          <w:rFonts w:hint="eastAsia" w:eastAsia="仿宋_GB2312" w:cs="仿宋_GB2312"/>
          <w:color w:val="000000" w:themeColor="text1"/>
          <w:kern w:val="0"/>
          <w:sz w:val="32"/>
          <w:szCs w:val="32"/>
          <w14:textFill>
            <w14:solidFill>
              <w14:schemeClr w14:val="tx1"/>
            </w14:solidFill>
          </w14:textFill>
        </w:rPr>
        <w:t xml:space="preserve">东 </w:t>
      </w:r>
    </w:p>
    <w:p>
      <w:pPr>
        <w:widowControl/>
        <w:jc w:val="left"/>
        <w:rPr>
          <w:rFonts w:eastAsia="仿宋_GB2312"/>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经 </w:t>
      </w:r>
      <w:r>
        <w:rPr>
          <w:rFonts w:eastAsia="仿宋_GB2312"/>
          <w:color w:val="000000" w:themeColor="text1"/>
          <w:kern w:val="0"/>
          <w:sz w:val="32"/>
          <w:szCs w:val="32"/>
          <w14:textFill>
            <w14:solidFill>
              <w14:schemeClr w14:val="tx1"/>
            </w14:solidFill>
          </w14:textFill>
        </w:rPr>
        <w:t>116°26'</w:t>
      </w:r>
      <w:r>
        <w:rPr>
          <w:rFonts w:hint="eastAsia" w:eastAsia="仿宋_GB2312" w:cs="仿宋_GB2312"/>
          <w:color w:val="000000" w:themeColor="text1"/>
          <w:kern w:val="0"/>
          <w:sz w:val="32"/>
          <w:szCs w:val="32"/>
          <w14:textFill>
            <w14:solidFill>
              <w14:schemeClr w14:val="tx1"/>
            </w14:solidFill>
          </w14:textFill>
        </w:rPr>
        <w:t>～</w:t>
      </w:r>
      <w:r>
        <w:rPr>
          <w:rFonts w:eastAsia="仿宋_GB2312"/>
          <w:color w:val="000000" w:themeColor="text1"/>
          <w:kern w:val="0"/>
          <w:sz w:val="32"/>
          <w:szCs w:val="32"/>
          <w14:textFill>
            <w14:solidFill>
              <w14:schemeClr w14:val="tx1"/>
            </w14:solidFill>
          </w14:textFill>
        </w:rPr>
        <w:t>117°15'</w:t>
      </w:r>
      <w:r>
        <w:rPr>
          <w:rFonts w:hint="eastAsia" w:eastAsia="仿宋_GB2312" w:cs="仿宋_GB2312"/>
          <w:color w:val="000000" w:themeColor="text1"/>
          <w:kern w:val="0"/>
          <w:sz w:val="32"/>
          <w:szCs w:val="32"/>
          <w14:textFill>
            <w14:solidFill>
              <w14:schemeClr w14:val="tx1"/>
            </w14:solidFill>
          </w14:textFill>
        </w:rPr>
        <w:t xml:space="preserve">，大别山东麓、巢湖之滨，江淮之间。略呈 </w:t>
      </w:r>
    </w:p>
    <w:p>
      <w:pPr>
        <w:widowControl/>
        <w:jc w:val="left"/>
        <w:rPr>
          <w:rFonts w:eastAsia="仿宋_GB2312"/>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橄榄状，东南与庐江接壤，东北同肥西为邻，南和桐城、潜山毗 </w:t>
      </w:r>
    </w:p>
    <w:p>
      <w:pPr>
        <w:widowControl/>
        <w:jc w:val="left"/>
        <w:rPr>
          <w:rFonts w:eastAsia="仿宋_GB2312"/>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连、西与岳西、霍山分界，北同六安市金安区相交，处合肥、六 </w:t>
      </w:r>
    </w:p>
    <w:p>
      <w:pPr>
        <w:widowControl/>
        <w:jc w:val="left"/>
        <w:rPr>
          <w:rFonts w:eastAsia="仿宋_GB2312"/>
          <w:b/>
          <w:bCs/>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安、安庆三市交汇。</w:t>
      </w:r>
      <w:bookmarkStart w:id="14" w:name="_Toc16845"/>
    </w:p>
    <w:p>
      <w:pPr>
        <w:widowControl/>
        <w:ind w:firstLine="643" w:firstLineChars="200"/>
        <w:rPr>
          <w:rFonts w:eastAsia="仿宋_GB2312"/>
          <w:b/>
          <w:bCs/>
          <w:color w:val="000000" w:themeColor="text1"/>
          <w:kern w:val="0"/>
          <w:sz w:val="32"/>
          <w:szCs w:val="32"/>
          <w14:textFill>
            <w14:solidFill>
              <w14:schemeClr w14:val="tx1"/>
            </w14:solidFill>
          </w14:textFill>
        </w:rPr>
      </w:pPr>
      <w:r>
        <w:rPr>
          <w:rFonts w:eastAsia="仿宋_GB2312"/>
          <w:b/>
          <w:bCs/>
          <w:color w:val="000000" w:themeColor="text1"/>
          <w:kern w:val="0"/>
          <w:sz w:val="32"/>
          <w:szCs w:val="32"/>
          <w14:textFill>
            <w14:solidFill>
              <w14:schemeClr w14:val="tx1"/>
            </w14:solidFill>
          </w14:textFill>
        </w:rPr>
        <w:t>2</w:t>
      </w:r>
      <w:r>
        <w:rPr>
          <w:rFonts w:hint="eastAsia" w:eastAsia="仿宋_GB2312"/>
          <w:b/>
          <w:bCs/>
          <w:color w:val="000000" w:themeColor="text1"/>
          <w:kern w:val="0"/>
          <w:sz w:val="32"/>
          <w:szCs w:val="32"/>
          <w14:textFill>
            <w14:solidFill>
              <w14:schemeClr w14:val="tx1"/>
            </w14:solidFill>
          </w14:textFill>
        </w:rPr>
        <w:t>.交通区位</w:t>
      </w:r>
      <w:bookmarkEnd w:id="14"/>
    </w:p>
    <w:p>
      <w:pPr>
        <w:widowControl/>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舒城县是长三角纵深腹地，皖江城市带承接产业转移示范区 </w:t>
      </w:r>
    </w:p>
    <w:p>
      <w:pPr>
        <w:widowControl/>
        <w:jc w:val="left"/>
        <w:rPr>
          <w:rFonts w:eastAsia="仿宋_GB2312"/>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的前沿阵地和合肥半小时经济圈内城市之一，省会辐射西南的联 </w:t>
      </w:r>
    </w:p>
    <w:p>
      <w:pPr>
        <w:widowControl/>
        <w:jc w:val="left"/>
        <w:rPr>
          <w:rFonts w:eastAsia="仿宋_GB2312"/>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接带，素有</w:t>
      </w:r>
      <w:r>
        <w:rPr>
          <w:rFonts w:eastAsia="仿宋_GB2312"/>
          <w:color w:val="000000" w:themeColor="text1"/>
          <w:kern w:val="0"/>
          <w:sz w:val="32"/>
          <w:szCs w:val="32"/>
          <w14:textFill>
            <w14:solidFill>
              <w14:schemeClr w14:val="tx1"/>
            </w14:solidFill>
          </w14:textFill>
        </w:rPr>
        <w:t>“</w:t>
      </w:r>
      <w:r>
        <w:rPr>
          <w:rFonts w:hint="eastAsia" w:eastAsia="仿宋_GB2312" w:cs="仿宋_GB2312"/>
          <w:color w:val="000000" w:themeColor="text1"/>
          <w:kern w:val="0"/>
          <w:sz w:val="32"/>
          <w:szCs w:val="32"/>
          <w14:textFill>
            <w14:solidFill>
              <w14:schemeClr w14:val="tx1"/>
            </w14:solidFill>
          </w14:textFill>
        </w:rPr>
        <w:t>五省要冲，七省通衢，江淮腹地，皖中咽喉</w:t>
      </w:r>
      <w:r>
        <w:rPr>
          <w:rFonts w:eastAsia="仿宋_GB2312"/>
          <w:color w:val="000000" w:themeColor="text1"/>
          <w:kern w:val="0"/>
          <w:sz w:val="32"/>
          <w:szCs w:val="32"/>
          <w14:textFill>
            <w14:solidFill>
              <w14:schemeClr w14:val="tx1"/>
            </w14:solidFill>
          </w14:textFill>
        </w:rPr>
        <w:t>”</w:t>
      </w:r>
      <w:r>
        <w:rPr>
          <w:rFonts w:hint="eastAsia" w:eastAsia="仿宋_GB2312" w:cs="仿宋_GB2312"/>
          <w:color w:val="000000" w:themeColor="text1"/>
          <w:kern w:val="0"/>
          <w:sz w:val="32"/>
          <w:szCs w:val="32"/>
          <w14:textFill>
            <w14:solidFill>
              <w14:schemeClr w14:val="tx1"/>
            </w14:solidFill>
          </w14:textFill>
        </w:rPr>
        <w:t xml:space="preserve">之称。 </w:t>
      </w:r>
    </w:p>
    <w:p>
      <w:pPr>
        <w:widowControl/>
        <w:jc w:val="left"/>
        <w:rPr>
          <w:rFonts w:eastAsia="仿宋_GB2312"/>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合九铁路、合安高铁沪蓉高速穿境而过，</w:t>
      </w:r>
      <w:r>
        <w:rPr>
          <w:rFonts w:eastAsia="仿宋_GB2312"/>
          <w:color w:val="000000" w:themeColor="text1"/>
          <w:kern w:val="0"/>
          <w:sz w:val="32"/>
          <w:szCs w:val="32"/>
          <w14:textFill>
            <w14:solidFill>
              <w14:schemeClr w14:val="tx1"/>
            </w14:solidFill>
          </w14:textFill>
        </w:rPr>
        <w:t>G105</w:t>
      </w:r>
      <w:r>
        <w:rPr>
          <w:rFonts w:hint="eastAsia" w:eastAsia="仿宋_GB2312" w:cs="仿宋_GB2312"/>
          <w:color w:val="000000" w:themeColor="text1"/>
          <w:kern w:val="0"/>
          <w:sz w:val="32"/>
          <w:szCs w:val="32"/>
          <w14:textFill>
            <w14:solidFill>
              <w14:schemeClr w14:val="tx1"/>
            </w14:solidFill>
          </w14:textFill>
        </w:rPr>
        <w:t>、</w:t>
      </w:r>
      <w:r>
        <w:rPr>
          <w:rFonts w:eastAsia="仿宋_GB2312"/>
          <w:color w:val="000000" w:themeColor="text1"/>
          <w:kern w:val="0"/>
          <w:sz w:val="32"/>
          <w:szCs w:val="32"/>
          <w14:textFill>
            <w14:solidFill>
              <w14:schemeClr w14:val="tx1"/>
            </w14:solidFill>
          </w14:textFill>
        </w:rPr>
        <w:t>G206</w:t>
      </w:r>
      <w:r>
        <w:rPr>
          <w:rFonts w:hint="eastAsia" w:eastAsia="仿宋_GB2312" w:cs="仿宋_GB2312"/>
          <w:color w:val="000000" w:themeColor="text1"/>
          <w:kern w:val="0"/>
          <w:sz w:val="32"/>
          <w:szCs w:val="32"/>
          <w14:textFill>
            <w14:solidFill>
              <w14:schemeClr w14:val="tx1"/>
            </w14:solidFill>
          </w14:textFill>
        </w:rPr>
        <w:t>、</w:t>
      </w:r>
      <w:r>
        <w:rPr>
          <w:rFonts w:eastAsia="仿宋_GB2312"/>
          <w:color w:val="000000" w:themeColor="text1"/>
          <w:kern w:val="0"/>
          <w:sz w:val="32"/>
          <w:szCs w:val="32"/>
          <w14:textFill>
            <w14:solidFill>
              <w14:schemeClr w14:val="tx1"/>
            </w14:solidFill>
          </w14:textFill>
        </w:rPr>
        <w:t>G237</w:t>
      </w:r>
      <w:r>
        <w:rPr>
          <w:rFonts w:hint="eastAsia" w:eastAsia="仿宋_GB2312" w:cs="仿宋_GB2312"/>
          <w:color w:val="000000" w:themeColor="text1"/>
          <w:kern w:val="0"/>
          <w:sz w:val="32"/>
          <w:szCs w:val="32"/>
          <w14:textFill>
            <w14:solidFill>
              <w14:schemeClr w14:val="tx1"/>
            </w14:solidFill>
          </w14:textFill>
        </w:rPr>
        <w:t xml:space="preserve">、 </w:t>
      </w:r>
    </w:p>
    <w:p>
      <w:pPr>
        <w:widowControl/>
        <w:jc w:val="left"/>
        <w:rPr>
          <w:rFonts w:eastAsia="仿宋_GB2312"/>
          <w:color w:val="000000" w:themeColor="text1"/>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G346</w:t>
      </w:r>
      <w:r>
        <w:rPr>
          <w:rFonts w:hint="eastAsia" w:eastAsia="仿宋_GB2312" w:cs="仿宋_GB2312"/>
          <w:color w:val="000000" w:themeColor="text1"/>
          <w:kern w:val="0"/>
          <w:sz w:val="32"/>
          <w:szCs w:val="32"/>
          <w14:textFill>
            <w14:solidFill>
              <w14:schemeClr w14:val="tx1"/>
            </w14:solidFill>
          </w14:textFill>
        </w:rPr>
        <w:t>、</w:t>
      </w:r>
      <w:r>
        <w:rPr>
          <w:rFonts w:eastAsia="仿宋_GB2312"/>
          <w:color w:val="000000" w:themeColor="text1"/>
          <w:kern w:val="0"/>
          <w:sz w:val="32"/>
          <w:szCs w:val="32"/>
          <w14:textFill>
            <w14:solidFill>
              <w14:schemeClr w14:val="tx1"/>
            </w14:solidFill>
          </w14:textFill>
        </w:rPr>
        <w:t>S237</w:t>
      </w:r>
      <w:r>
        <w:rPr>
          <w:rFonts w:hint="eastAsia" w:eastAsia="仿宋_GB2312" w:cs="仿宋_GB2312"/>
          <w:color w:val="000000" w:themeColor="text1"/>
          <w:kern w:val="0"/>
          <w:sz w:val="32"/>
          <w:szCs w:val="32"/>
          <w14:textFill>
            <w14:solidFill>
              <w14:schemeClr w14:val="tx1"/>
            </w14:solidFill>
          </w14:textFill>
        </w:rPr>
        <w:t>、</w:t>
      </w:r>
      <w:r>
        <w:rPr>
          <w:rFonts w:eastAsia="仿宋_GB2312"/>
          <w:color w:val="000000" w:themeColor="text1"/>
          <w:kern w:val="0"/>
          <w:sz w:val="32"/>
          <w:szCs w:val="32"/>
          <w14:textFill>
            <w14:solidFill>
              <w14:schemeClr w14:val="tx1"/>
            </w14:solidFill>
          </w14:textFill>
        </w:rPr>
        <w:t>S241</w:t>
      </w:r>
      <w:r>
        <w:rPr>
          <w:rFonts w:hint="eastAsia" w:eastAsia="仿宋_GB2312" w:cs="仿宋_GB2312"/>
          <w:color w:val="000000" w:themeColor="text1"/>
          <w:kern w:val="0"/>
          <w:sz w:val="32"/>
          <w:szCs w:val="32"/>
          <w14:textFill>
            <w14:solidFill>
              <w14:schemeClr w14:val="tx1"/>
            </w14:solidFill>
          </w14:textFill>
        </w:rPr>
        <w:t>、</w:t>
      </w:r>
      <w:r>
        <w:rPr>
          <w:rFonts w:eastAsia="仿宋_GB2312"/>
          <w:color w:val="000000" w:themeColor="text1"/>
          <w:kern w:val="0"/>
          <w:sz w:val="32"/>
          <w:szCs w:val="32"/>
          <w14:textFill>
            <w14:solidFill>
              <w14:schemeClr w14:val="tx1"/>
            </w14:solidFill>
          </w14:textFill>
        </w:rPr>
        <w:t>S330</w:t>
      </w:r>
      <w:r>
        <w:rPr>
          <w:rFonts w:hint="eastAsia" w:eastAsia="仿宋_GB2312" w:cs="仿宋_GB2312"/>
          <w:color w:val="000000" w:themeColor="text1"/>
          <w:kern w:val="0"/>
          <w:sz w:val="32"/>
          <w:szCs w:val="32"/>
          <w14:textFill>
            <w14:solidFill>
              <w14:schemeClr w14:val="tx1"/>
            </w14:solidFill>
          </w14:textFill>
        </w:rPr>
        <w:t>、</w:t>
      </w:r>
      <w:r>
        <w:rPr>
          <w:rFonts w:eastAsia="仿宋_GB2312"/>
          <w:color w:val="000000" w:themeColor="text1"/>
          <w:kern w:val="0"/>
          <w:sz w:val="32"/>
          <w:szCs w:val="32"/>
          <w14:textFill>
            <w14:solidFill>
              <w14:schemeClr w14:val="tx1"/>
            </w14:solidFill>
          </w14:textFill>
        </w:rPr>
        <w:t>S332</w:t>
      </w:r>
      <w:r>
        <w:rPr>
          <w:rFonts w:hint="eastAsia" w:eastAsia="仿宋_GB2312" w:cs="仿宋_GB2312"/>
          <w:color w:val="000000" w:themeColor="text1"/>
          <w:kern w:val="0"/>
          <w:sz w:val="32"/>
          <w:szCs w:val="32"/>
          <w14:textFill>
            <w14:solidFill>
              <w14:schemeClr w14:val="tx1"/>
            </w14:solidFill>
          </w14:textFill>
        </w:rPr>
        <w:t>、</w:t>
      </w:r>
      <w:r>
        <w:rPr>
          <w:rFonts w:eastAsia="仿宋_GB2312"/>
          <w:color w:val="000000" w:themeColor="text1"/>
          <w:kern w:val="0"/>
          <w:sz w:val="32"/>
          <w:szCs w:val="32"/>
          <w14:textFill>
            <w14:solidFill>
              <w14:schemeClr w14:val="tx1"/>
            </w14:solidFill>
          </w14:textFill>
        </w:rPr>
        <w:t>S454</w:t>
      </w:r>
      <w:r>
        <w:rPr>
          <w:rFonts w:hint="eastAsia" w:eastAsia="仿宋_GB2312" w:cs="仿宋_GB2312"/>
          <w:color w:val="000000" w:themeColor="text1"/>
          <w:kern w:val="0"/>
          <w:sz w:val="32"/>
          <w:szCs w:val="32"/>
          <w14:textFill>
            <w14:solidFill>
              <w14:schemeClr w14:val="tx1"/>
            </w14:solidFill>
          </w14:textFill>
        </w:rPr>
        <w:t>、</w:t>
      </w:r>
      <w:r>
        <w:rPr>
          <w:rFonts w:eastAsia="仿宋_GB2312"/>
          <w:color w:val="000000" w:themeColor="text1"/>
          <w:kern w:val="0"/>
          <w:sz w:val="32"/>
          <w:szCs w:val="32"/>
          <w14:textFill>
            <w14:solidFill>
              <w14:schemeClr w14:val="tx1"/>
            </w14:solidFill>
          </w14:textFill>
        </w:rPr>
        <w:t xml:space="preserve">S603 </w:t>
      </w:r>
      <w:r>
        <w:rPr>
          <w:rFonts w:hint="eastAsia" w:eastAsia="仿宋_GB2312" w:cs="仿宋_GB2312"/>
          <w:color w:val="000000" w:themeColor="text1"/>
          <w:kern w:val="0"/>
          <w:sz w:val="32"/>
          <w:szCs w:val="32"/>
          <w14:textFill>
            <w14:solidFill>
              <w14:schemeClr w14:val="tx1"/>
            </w14:solidFill>
          </w14:textFill>
        </w:rPr>
        <w:t xml:space="preserve">及四通八达的县 </w:t>
      </w:r>
    </w:p>
    <w:p>
      <w:pPr>
        <w:widowControl/>
        <w:jc w:val="left"/>
        <w:rPr>
          <w:rFonts w:eastAsia="仿宋_GB2312"/>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乡村公路形成便捷交通网络，水路入巢湖、通长江。县城至南京 </w:t>
      </w:r>
    </w:p>
    <w:p>
      <w:pPr>
        <w:widowControl/>
        <w:jc w:val="left"/>
        <w:rPr>
          <w:rFonts w:eastAsia="仿宋_GB2312"/>
          <w:color w:val="000000" w:themeColor="text1"/>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 xml:space="preserve">242 </w:t>
      </w:r>
      <w:r>
        <w:rPr>
          <w:rFonts w:hint="eastAsia" w:eastAsia="仿宋_GB2312" w:cs="仿宋_GB2312"/>
          <w:color w:val="000000" w:themeColor="text1"/>
          <w:kern w:val="0"/>
          <w:sz w:val="32"/>
          <w:szCs w:val="32"/>
          <w14:textFill>
            <w14:solidFill>
              <w14:schemeClr w14:val="tx1"/>
            </w14:solidFill>
          </w14:textFill>
        </w:rPr>
        <w:t>km，至上海</w:t>
      </w:r>
      <w:r>
        <w:rPr>
          <w:rFonts w:eastAsia="仿宋_GB2312"/>
          <w:color w:val="000000" w:themeColor="text1"/>
          <w:kern w:val="0"/>
          <w:sz w:val="32"/>
          <w:szCs w:val="32"/>
          <w14:textFill>
            <w14:solidFill>
              <w14:schemeClr w14:val="tx1"/>
            </w14:solidFill>
          </w14:textFill>
        </w:rPr>
        <w:t xml:space="preserve">480 </w:t>
      </w:r>
      <w:r>
        <w:rPr>
          <w:rFonts w:hint="eastAsia" w:eastAsia="仿宋_GB2312" w:cs="仿宋_GB2312"/>
          <w:color w:val="000000" w:themeColor="text1"/>
          <w:kern w:val="0"/>
          <w:sz w:val="32"/>
          <w:szCs w:val="32"/>
          <w14:textFill>
            <w14:solidFill>
              <w14:schemeClr w14:val="tx1"/>
            </w14:solidFill>
          </w14:textFill>
        </w:rPr>
        <w:t>km，至杭州</w:t>
      </w:r>
      <w:r>
        <w:rPr>
          <w:rFonts w:eastAsia="仿宋_GB2312"/>
          <w:color w:val="000000" w:themeColor="text1"/>
          <w:kern w:val="0"/>
          <w:sz w:val="32"/>
          <w:szCs w:val="32"/>
          <w14:textFill>
            <w14:solidFill>
              <w14:schemeClr w14:val="tx1"/>
            </w14:solidFill>
          </w14:textFill>
        </w:rPr>
        <w:t xml:space="preserve">495 </w:t>
      </w:r>
      <w:r>
        <w:rPr>
          <w:rFonts w:hint="eastAsia" w:eastAsia="仿宋_GB2312" w:cs="仿宋_GB2312"/>
          <w:color w:val="000000" w:themeColor="text1"/>
          <w:kern w:val="0"/>
          <w:sz w:val="32"/>
          <w:szCs w:val="32"/>
          <w14:textFill>
            <w14:solidFill>
              <w14:schemeClr w14:val="tx1"/>
            </w14:solidFill>
          </w14:textFill>
        </w:rPr>
        <w:t xml:space="preserve">km，至武汉 </w:t>
      </w:r>
      <w:r>
        <w:rPr>
          <w:rFonts w:eastAsia="仿宋_GB2312"/>
          <w:color w:val="000000" w:themeColor="text1"/>
          <w:kern w:val="0"/>
          <w:sz w:val="32"/>
          <w:szCs w:val="32"/>
          <w14:textFill>
            <w14:solidFill>
              <w14:schemeClr w14:val="tx1"/>
            </w14:solidFill>
          </w14:textFill>
        </w:rPr>
        <w:t xml:space="preserve">460 </w:t>
      </w:r>
      <w:r>
        <w:rPr>
          <w:rFonts w:hint="eastAsia" w:eastAsia="仿宋_GB2312" w:cs="仿宋_GB2312"/>
          <w:color w:val="000000" w:themeColor="text1"/>
          <w:kern w:val="0"/>
          <w:sz w:val="32"/>
          <w:szCs w:val="32"/>
          <w14:textFill>
            <w14:solidFill>
              <w14:schemeClr w14:val="tx1"/>
            </w14:solidFill>
          </w14:textFill>
        </w:rPr>
        <w:t>km，至合肥高新区</w:t>
      </w:r>
      <w:r>
        <w:rPr>
          <w:rFonts w:eastAsia="仿宋_GB2312"/>
          <w:color w:val="000000" w:themeColor="text1"/>
          <w:kern w:val="0"/>
          <w:sz w:val="32"/>
          <w:szCs w:val="32"/>
          <w14:textFill>
            <w14:solidFill>
              <w14:schemeClr w14:val="tx1"/>
            </w14:solidFill>
          </w14:textFill>
        </w:rPr>
        <w:t xml:space="preserve">36 </w:t>
      </w:r>
      <w:r>
        <w:rPr>
          <w:rFonts w:hint="eastAsia" w:eastAsia="仿宋_GB2312" w:cs="仿宋_GB2312"/>
          <w:color w:val="000000" w:themeColor="text1"/>
          <w:kern w:val="0"/>
          <w:sz w:val="32"/>
          <w:szCs w:val="32"/>
          <w14:textFill>
            <w14:solidFill>
              <w14:schemeClr w14:val="tx1"/>
            </w14:solidFill>
          </w14:textFill>
        </w:rPr>
        <w:t>km。形成一横四纵、四环十射的交通格局。</w:t>
      </w:r>
    </w:p>
    <w:p>
      <w:pPr>
        <w:widowControl/>
        <w:ind w:firstLine="643" w:firstLineChars="200"/>
        <w:jc w:val="left"/>
        <w:outlineLvl w:val="0"/>
        <w:rPr>
          <w:rFonts w:eastAsia="仿宋_GB2312"/>
          <w:b/>
          <w:bCs/>
          <w:color w:val="000000" w:themeColor="text1"/>
          <w:kern w:val="0"/>
          <w:sz w:val="32"/>
          <w:szCs w:val="32"/>
          <w14:textFill>
            <w14:solidFill>
              <w14:schemeClr w14:val="tx1"/>
            </w14:solidFill>
          </w14:textFill>
        </w:rPr>
      </w:pPr>
      <w:bookmarkStart w:id="15" w:name="_Toc31893"/>
      <w:bookmarkStart w:id="16" w:name="_Toc9178"/>
      <w:r>
        <w:rPr>
          <w:rFonts w:hint="eastAsia" w:eastAsia="仿宋_GB2312"/>
          <w:b/>
          <w:bCs/>
          <w:color w:val="000000" w:themeColor="text1"/>
          <w:kern w:val="0"/>
          <w:sz w:val="32"/>
          <w:szCs w:val="32"/>
          <w14:textFill>
            <w14:solidFill>
              <w14:schemeClr w14:val="tx1"/>
            </w14:solidFill>
          </w14:textFill>
        </w:rPr>
        <w:t>3.地形地貌</w:t>
      </w:r>
      <w:bookmarkEnd w:id="15"/>
    </w:p>
    <w:p>
      <w:pPr>
        <w:widowControl/>
        <w:ind w:firstLine="640" w:firstLineChars="200"/>
        <w:jc w:val="left"/>
        <w:rPr>
          <w:rFonts w:eastAsia="仿宋_GB2312"/>
          <w:b/>
          <w:bCs/>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舒城县城内地形相对平坦，海拔高度约16～23m，以龙津大道为分水岭，城区总体地势呈西北高东南低的特点。龙津大道以西，地势相对较高，海拔高度21m以上，但三里河、南溪河流域地势较低，海拔高度20m以下，其中三里河流域部分最低海拔为 15m左右。龙津大道以东地区地势普遍较低，海拔高度在19m以下，其中三里河流域、文翁路和杭埠路的中北段地势较低，最低海拔高度为15m。</w:t>
      </w:r>
    </w:p>
    <w:p>
      <w:pPr>
        <w:widowControl/>
        <w:ind w:firstLine="643" w:firstLineChars="200"/>
        <w:jc w:val="left"/>
        <w:outlineLvl w:val="0"/>
        <w:rPr>
          <w:rFonts w:eastAsia="仿宋_GB2312"/>
          <w:b/>
          <w:bCs/>
          <w:color w:val="000000" w:themeColor="text1"/>
          <w:kern w:val="0"/>
          <w:sz w:val="32"/>
          <w:szCs w:val="32"/>
          <w14:textFill>
            <w14:solidFill>
              <w14:schemeClr w14:val="tx1"/>
            </w14:solidFill>
          </w14:textFill>
        </w:rPr>
      </w:pPr>
      <w:r>
        <w:rPr>
          <w:rFonts w:hint="eastAsia" w:eastAsia="仿宋_GB2312"/>
          <w:b/>
          <w:bCs/>
          <w:color w:val="000000" w:themeColor="text1"/>
          <w:kern w:val="0"/>
          <w:sz w:val="32"/>
          <w:szCs w:val="32"/>
          <w14:textFill>
            <w14:solidFill>
              <w14:schemeClr w14:val="tx1"/>
            </w14:solidFill>
          </w14:textFill>
        </w:rPr>
        <w:t>4.河流水系</w:t>
      </w:r>
      <w:bookmarkEnd w:id="16"/>
    </w:p>
    <w:p>
      <w:pPr>
        <w:widowControl/>
        <w:ind w:firstLine="640" w:firstLineChars="200"/>
        <w:jc w:val="left"/>
        <w:outlineLvl w:val="0"/>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舒城县属长江流域巢湖水系，舒城县有8条主要河流，35条集水10～20km</w:t>
      </w:r>
      <w:r>
        <w:rPr>
          <w:rFonts w:hint="eastAsia" w:eastAsia="仿宋_GB2312" w:cs="仿宋_GB2312"/>
          <w:color w:val="000000" w:themeColor="text1"/>
          <w:kern w:val="0"/>
          <w:sz w:val="32"/>
          <w:szCs w:val="32"/>
          <w:vertAlign w:val="superscript"/>
          <w14:textFill>
            <w14:solidFill>
              <w14:schemeClr w14:val="tx1"/>
            </w14:solidFill>
          </w14:textFill>
        </w:rPr>
        <w:t>2</w:t>
      </w:r>
      <w:r>
        <w:rPr>
          <w:rFonts w:hint="eastAsia" w:eastAsia="仿宋_GB2312" w:cs="仿宋_GB2312"/>
          <w:color w:val="000000" w:themeColor="text1"/>
          <w:kern w:val="0"/>
          <w:sz w:val="32"/>
          <w:szCs w:val="32"/>
          <w14:textFill>
            <w14:solidFill>
              <w14:schemeClr w14:val="tx1"/>
            </w14:solidFill>
          </w14:textFill>
        </w:rPr>
        <w:t>的支流小河，河网密度0.7，主要河流有杭埠河、丰乐河，皆发源于境内西南山区，向东北蜿蜒而下，注入巢湖，归属长江水系。县域内唯有西南山区与霍山县界的小河——姚李河流向西北，入淠河，入淮河水系。有三条主要河流由西向东从城区穿过，从南到北依次是：南溪河、杭北干渠和三里河，另外还有护城河与玉带河蜿蜒城中（主要在老城区）。</w:t>
      </w:r>
    </w:p>
    <w:p>
      <w:pPr>
        <w:pStyle w:val="2"/>
        <w:rPr>
          <w:rFonts w:ascii="Times New Roman" w:hAnsi="Times New Roman" w:eastAsia="仿宋_GB2312" w:cs="仿宋_GB2312"/>
          <w:color w:val="000000" w:themeColor="text1"/>
          <w:kern w:val="0"/>
          <w:szCs w:val="32"/>
          <w14:textFill>
            <w14:solidFill>
              <w14:schemeClr w14:val="tx1"/>
            </w14:solidFill>
          </w14:textFill>
        </w:rPr>
      </w:pPr>
      <w:r>
        <w:rPr>
          <w:rFonts w:hint="eastAsia" w:ascii="Times New Roman" w:hAnsi="Times New Roman" w:eastAsia="仿宋_GB2312" w:cs="仿宋_GB2312"/>
          <w:color w:val="000000" w:themeColor="text1"/>
          <w:kern w:val="0"/>
          <w:szCs w:val="32"/>
          <w14:textFill>
            <w14:solidFill>
              <w14:schemeClr w14:val="tx1"/>
            </w14:solidFill>
          </w14:textFill>
        </w:rPr>
        <w:t>南溪河：南溪河又称县河，发源于干汊河镇新河口，至孔集镇杭北干渠渡槽全长25.20km，南溪河从县城南部由西向东穿过，于舒城县城区段（环城路桥～斗口堰）长5.33km。设计防洪标准10年一遇，最大洪峰流量174m</w:t>
      </w:r>
      <w:r>
        <w:rPr>
          <w:rFonts w:hint="eastAsia" w:ascii="Times New Roman" w:hAnsi="Times New Roman" w:eastAsia="仿宋_GB2312" w:cs="仿宋_GB2312"/>
          <w:color w:val="000000" w:themeColor="text1"/>
          <w:kern w:val="0"/>
          <w:szCs w:val="32"/>
          <w:vertAlign w:val="superscript"/>
          <w14:textFill>
            <w14:solidFill>
              <w14:schemeClr w14:val="tx1"/>
            </w14:solidFill>
          </w14:textFill>
        </w:rPr>
        <w:t>3</w:t>
      </w:r>
      <w:r>
        <w:rPr>
          <w:rFonts w:hint="eastAsia" w:ascii="Times New Roman" w:hAnsi="Times New Roman" w:eastAsia="仿宋_GB2312" w:cs="仿宋_GB2312"/>
          <w:color w:val="000000" w:themeColor="text1"/>
          <w:kern w:val="0"/>
          <w:szCs w:val="32"/>
          <w14:textFill>
            <w14:solidFill>
              <w14:schemeClr w14:val="tx1"/>
            </w14:solidFill>
          </w14:textFill>
        </w:rPr>
        <w:t>/s；按 20 年一遇洪水计，最大洪峰流量240m</w:t>
      </w:r>
      <w:r>
        <w:rPr>
          <w:rFonts w:hint="eastAsia" w:ascii="Times New Roman" w:hAnsi="Times New Roman" w:eastAsia="仿宋_GB2312" w:cs="仿宋_GB2312"/>
          <w:color w:val="000000" w:themeColor="text1"/>
          <w:kern w:val="0"/>
          <w:szCs w:val="32"/>
          <w:vertAlign w:val="superscript"/>
          <w14:textFill>
            <w14:solidFill>
              <w14:schemeClr w14:val="tx1"/>
            </w14:solidFill>
          </w14:textFill>
        </w:rPr>
        <w:t>3</w:t>
      </w:r>
      <w:r>
        <w:rPr>
          <w:rFonts w:hint="eastAsia" w:ascii="Times New Roman" w:hAnsi="Times New Roman" w:eastAsia="仿宋_GB2312" w:cs="仿宋_GB2312"/>
          <w:color w:val="000000" w:themeColor="text1"/>
          <w:kern w:val="0"/>
          <w:szCs w:val="32"/>
          <w14:textFill>
            <w14:solidFill>
              <w14:schemeClr w14:val="tx1"/>
            </w14:solidFill>
          </w14:textFill>
        </w:rPr>
        <w:t>/s。</w:t>
      </w:r>
    </w:p>
    <w:p>
      <w:pPr>
        <w:pStyle w:val="2"/>
        <w:rPr>
          <w:rFonts w:ascii="Times New Roman" w:hAnsi="Times New Roman" w:eastAsia="仿宋_GB2312" w:cs="仿宋_GB2312"/>
          <w:color w:val="000000" w:themeColor="text1"/>
          <w:kern w:val="0"/>
          <w:szCs w:val="32"/>
          <w14:textFill>
            <w14:solidFill>
              <w14:schemeClr w14:val="tx1"/>
            </w14:solidFill>
          </w14:textFill>
        </w:rPr>
      </w:pPr>
      <w:r>
        <w:rPr>
          <w:rFonts w:hint="eastAsia" w:ascii="Times New Roman" w:hAnsi="Times New Roman" w:eastAsia="仿宋_GB2312" w:cs="仿宋_GB2312"/>
          <w:color w:val="000000" w:themeColor="text1"/>
          <w:kern w:val="0"/>
          <w:szCs w:val="32"/>
          <w14:textFill>
            <w14:solidFill>
              <w14:schemeClr w14:val="tx1"/>
            </w14:solidFill>
          </w14:textFill>
        </w:rPr>
        <w:t>杭北干渠：杭北干渠位于杭埠河北。干渠灌溉范围，南以杭埠河为界，北至丰乐河，东抵杭埠大圩，西至打山渡槽。控制面积613.6km</w:t>
      </w:r>
      <w:r>
        <w:rPr>
          <w:rFonts w:hint="eastAsia" w:ascii="Times New Roman" w:hAnsi="Times New Roman" w:eastAsia="仿宋_GB2312" w:cs="仿宋_GB2312"/>
          <w:color w:val="000000" w:themeColor="text1"/>
          <w:kern w:val="0"/>
          <w:szCs w:val="32"/>
          <w:vertAlign w:val="superscript"/>
          <w14:textFill>
            <w14:solidFill>
              <w14:schemeClr w14:val="tx1"/>
            </w14:solidFill>
          </w14:textFill>
        </w:rPr>
        <w:t>2</w:t>
      </w:r>
      <w:r>
        <w:rPr>
          <w:rFonts w:hint="eastAsia" w:ascii="Times New Roman" w:hAnsi="Times New Roman" w:eastAsia="仿宋_GB2312" w:cs="仿宋_GB2312"/>
          <w:color w:val="000000" w:themeColor="text1"/>
          <w:kern w:val="0"/>
          <w:szCs w:val="32"/>
          <w14:textFill>
            <w14:solidFill>
              <w14:schemeClr w14:val="tx1"/>
            </w14:solidFill>
          </w14:textFill>
        </w:rPr>
        <w:t>。设计灌溉面积为54.6万亩。其中舒城44万亩，六安10.6万亩。自流灌溉面积为53.9万亩。干渠全长 68.90km，皆位于舒城县境内。据舒城县水利部门提供资料显示，城区段杭北干渠宽约12m，在龙津大道跨杭北干渠桥涵处，桥涵底板高程16.37m，设计水位17.92m，排洪水位19.17m。由于杭北干渠发挥着排洪和灌溉双重作用，故其水位较高，每年至少有四个月水位在17.90m以上。</w:t>
      </w:r>
    </w:p>
    <w:p>
      <w:pPr>
        <w:pStyle w:val="2"/>
        <w:rPr>
          <w:rFonts w:ascii="Times New Roman" w:hAnsi="Times New Roman" w:eastAsia="仿宋_GB2312" w:cs="仿宋_GB2312"/>
          <w:color w:val="000000" w:themeColor="text1"/>
          <w:kern w:val="0"/>
          <w:szCs w:val="32"/>
          <w14:textFill>
            <w14:solidFill>
              <w14:schemeClr w14:val="tx1"/>
            </w14:solidFill>
          </w14:textFill>
        </w:rPr>
      </w:pPr>
      <w:r>
        <w:rPr>
          <w:rFonts w:hint="eastAsia" w:ascii="Times New Roman" w:hAnsi="Times New Roman" w:eastAsia="仿宋_GB2312" w:cs="仿宋_GB2312"/>
          <w:color w:val="000000" w:themeColor="text1"/>
          <w:kern w:val="0"/>
          <w:szCs w:val="32"/>
          <w14:textFill>
            <w14:solidFill>
              <w14:schemeClr w14:val="tx1"/>
            </w14:solidFill>
          </w14:textFill>
        </w:rPr>
        <w:t>三里河：三里河与杭北干渠本为通脉，在舒城上游约3.5km 处与杭北干渠分开。由于三里河下游地面地势较低，故其水位下降较快，据舒城县水利部门提供资料，以龙津大道跨三里河桥为界，桥面以西为自然断面，河床宽约3m，河口宽约12m；三里河于龙津大道桥处常年水位约15m，较高水位为16.2m。</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玉带河、护城河：玉带河与护城河是舒城县县城内河，通过闸门与上述三条河道沟通。</w:t>
      </w:r>
    </w:p>
    <w:p>
      <w:pPr>
        <w:widowControl/>
        <w:ind w:left="620"/>
        <w:jc w:val="left"/>
        <w:outlineLvl w:val="1"/>
        <w:rPr>
          <w:rFonts w:eastAsia="仿宋_GB2312"/>
          <w:b/>
          <w:bCs/>
          <w:color w:val="000000" w:themeColor="text1"/>
          <w:kern w:val="0"/>
          <w:sz w:val="32"/>
          <w:szCs w:val="32"/>
          <w14:textFill>
            <w14:solidFill>
              <w14:schemeClr w14:val="tx1"/>
            </w14:solidFill>
          </w14:textFill>
        </w:rPr>
      </w:pPr>
      <w:bookmarkStart w:id="17" w:name="_Toc3942"/>
      <w:r>
        <w:rPr>
          <w:rFonts w:hint="eastAsia" w:eastAsia="仿宋_GB2312"/>
          <w:b/>
          <w:bCs/>
          <w:color w:val="000000" w:themeColor="text1"/>
          <w:kern w:val="0"/>
          <w:sz w:val="32"/>
          <w:szCs w:val="32"/>
          <w14:textFill>
            <w14:solidFill>
              <w14:schemeClr w14:val="tx1"/>
            </w14:solidFill>
          </w14:textFill>
        </w:rPr>
        <w:t>5.城区排水分区</w:t>
      </w:r>
    </w:p>
    <w:p>
      <w:pPr>
        <w:pStyle w:val="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根据</w:t>
      </w:r>
      <w:r>
        <w:rPr>
          <w:rFonts w:ascii="Times New Roman" w:hAnsi="Times New Roman"/>
          <w:color w:val="000000" w:themeColor="text1"/>
          <w14:textFill>
            <w14:solidFill>
              <w14:schemeClr w14:val="tx1"/>
            </w14:solidFill>
          </w14:textFill>
        </w:rPr>
        <w:t>《</w:t>
      </w:r>
      <w:r>
        <w:rPr>
          <w:rFonts w:hint="eastAsia" w:ascii="Times New Roman" w:hAnsi="Times New Roman" w:eastAsia="仿宋_GB2312" w:cs="仿宋_GB2312"/>
          <w:color w:val="000000" w:themeColor="text1"/>
          <w:szCs w:val="32"/>
          <w14:textFill>
            <w14:solidFill>
              <w14:schemeClr w14:val="tx1"/>
            </w14:solidFill>
          </w14:textFill>
        </w:rPr>
        <w:t>舒城县城市排水（雨水）防涝综合规划修编（2020—2030）</w:t>
      </w:r>
      <w:r>
        <w:rPr>
          <w:rFonts w:ascii="Times New Roman" w:hAnsi="Times New Roman" w:eastAsia="仿宋_GB2312" w:cs="仿宋_GB2312"/>
          <w:color w:val="000000" w:themeColor="text1"/>
          <w:szCs w:val="32"/>
          <w14:textFill>
            <w14:solidFill>
              <w14:schemeClr w14:val="tx1"/>
            </w14:solidFill>
          </w14:textFill>
        </w:rPr>
        <w:t>》</w:t>
      </w:r>
      <w:r>
        <w:rPr>
          <w:rFonts w:hint="eastAsia" w:ascii="Times New Roman" w:hAnsi="Times New Roman" w:eastAsia="仿宋_GB2312" w:cs="仿宋_GB2312"/>
          <w:color w:val="000000" w:themeColor="text1"/>
          <w:szCs w:val="32"/>
          <w14:textFill>
            <w14:solidFill>
              <w14:schemeClr w14:val="tx1"/>
            </w14:solidFill>
          </w14:textFill>
        </w:rPr>
        <w:t>，按舒城县规划城区地形地势、分水岭、汇水线、竖向规划等情况并兼顾城市内涝风险区划、高低排区划分等因素综合考虑划分排水分区，将舒城县城区分为12个排水分区：老城排水一区、老城排水二区、城西排水一区、城西排水二区、南溪排水区、城东排水一区、城东排水二区、城东排水三区、城东排水四区、城北排水一区、城北排水二区、城北排水三区。 （《舒城县规划城区高、低排区划分析图》及 《舒城县城市排水分区规划表》见附件）</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2.1.2气候条件</w:t>
      </w:r>
      <w:bookmarkEnd w:id="17"/>
    </w:p>
    <w:p>
      <w:pPr>
        <w:ind w:firstLine="640" w:firstLineChars="200"/>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舒城县属北亚热带湿润型气候区，雨量充沛，气候温和，四 </w:t>
      </w:r>
    </w:p>
    <w:p>
      <w:pPr>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季分明，季风显著。年平均日照时数 1800 小时，年平均日照 40.6%，年平均气温为 15.8℃，气温受地形高度影响明显。多年 </w:t>
      </w:r>
    </w:p>
    <w:p>
      <w:pPr>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平均降水量 28.56 亿立方米，年际变化大，山区降水多于丘陵、 </w:t>
      </w:r>
    </w:p>
    <w:p>
      <w:pPr>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平原。常年主导风向春夏季为东南风，秋冬季为西北风。全县冬 </w:t>
      </w:r>
    </w:p>
    <w:p>
      <w:pPr>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季多偏北风，夏季多偏南风，春秋两季风向变化大，以偏东风较 </w:t>
      </w:r>
    </w:p>
    <w:p>
      <w:pPr>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多。年平均无霜期224天。常见灾害性天气有暴雨（雪）、雷电、台风、冰雹等。 </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2.2社会经济概况</w:t>
      </w:r>
    </w:p>
    <w:p>
      <w:pPr>
        <w:widowControl/>
        <w:ind w:firstLine="640" w:firstLineChars="200"/>
        <w:jc w:val="left"/>
        <w:rPr>
          <w:rFonts w:eastAsia="仿宋_GB2312" w:cs="黑体"/>
          <w:color w:val="000000" w:themeColor="text1"/>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 xml:space="preserve">2021 </w:t>
      </w:r>
      <w:r>
        <w:rPr>
          <w:rFonts w:hint="eastAsia" w:eastAsia="仿宋_GB2312" w:cs="仿宋_GB2312"/>
          <w:color w:val="000000" w:themeColor="text1"/>
          <w:kern w:val="0"/>
          <w:sz w:val="32"/>
          <w:szCs w:val="32"/>
          <w14:textFill>
            <w14:solidFill>
              <w14:schemeClr w14:val="tx1"/>
            </w14:solidFill>
          </w14:textFill>
        </w:rPr>
        <w:t>年，全县实现地区生产总值</w:t>
      </w:r>
      <w:r>
        <w:rPr>
          <w:rFonts w:eastAsia="仿宋_GB2312"/>
          <w:color w:val="000000" w:themeColor="text1"/>
          <w:kern w:val="0"/>
          <w:sz w:val="32"/>
          <w:szCs w:val="32"/>
          <w14:textFill>
            <w14:solidFill>
              <w14:schemeClr w14:val="tx1"/>
            </w14:solidFill>
          </w14:textFill>
        </w:rPr>
        <w:t>357.4</w:t>
      </w:r>
      <w:r>
        <w:rPr>
          <w:rFonts w:hint="eastAsia" w:eastAsia="仿宋_GB2312" w:cs="仿宋_GB2312"/>
          <w:color w:val="000000" w:themeColor="text1"/>
          <w:kern w:val="0"/>
          <w:sz w:val="32"/>
          <w:szCs w:val="32"/>
          <w14:textFill>
            <w14:solidFill>
              <w14:schemeClr w14:val="tx1"/>
            </w14:solidFill>
          </w14:textFill>
        </w:rPr>
        <w:t>亿元，增长</w:t>
      </w:r>
      <w:r>
        <w:rPr>
          <w:rFonts w:eastAsia="仿宋_GB2312"/>
          <w:color w:val="000000" w:themeColor="text1"/>
          <w:kern w:val="0"/>
          <w:sz w:val="32"/>
          <w:szCs w:val="32"/>
          <w14:textFill>
            <w14:solidFill>
              <w14:schemeClr w14:val="tx1"/>
            </w14:solidFill>
          </w14:textFill>
        </w:rPr>
        <w:t>12.2%</w:t>
      </w:r>
      <w:r>
        <w:rPr>
          <w:rFonts w:hint="eastAsia" w:eastAsia="仿宋_GB2312" w:cs="仿宋_GB2312"/>
          <w:color w:val="000000" w:themeColor="text1"/>
          <w:kern w:val="0"/>
          <w:sz w:val="32"/>
          <w:szCs w:val="32"/>
          <w14:textFill>
            <w14:solidFill>
              <w14:schemeClr w14:val="tx1"/>
            </w14:solidFill>
          </w14:textFill>
        </w:rPr>
        <w:t>，高 于上年同期</w:t>
      </w:r>
      <w:r>
        <w:rPr>
          <w:rFonts w:eastAsia="仿宋_GB2312"/>
          <w:color w:val="000000" w:themeColor="text1"/>
          <w:kern w:val="0"/>
          <w:sz w:val="32"/>
          <w:szCs w:val="32"/>
          <w14:textFill>
            <w14:solidFill>
              <w14:schemeClr w14:val="tx1"/>
            </w14:solidFill>
          </w14:textFill>
        </w:rPr>
        <w:t>7.8</w:t>
      </w:r>
      <w:r>
        <w:rPr>
          <w:rFonts w:hint="eastAsia" w:eastAsia="仿宋_GB2312" w:cs="仿宋_GB2312"/>
          <w:color w:val="000000" w:themeColor="text1"/>
          <w:kern w:val="0"/>
          <w:sz w:val="32"/>
          <w:szCs w:val="32"/>
          <w14:textFill>
            <w14:solidFill>
              <w14:schemeClr w14:val="tx1"/>
            </w14:solidFill>
          </w14:textFill>
        </w:rPr>
        <w:t>个百分点，高于全市水平</w:t>
      </w:r>
      <w:r>
        <w:rPr>
          <w:rFonts w:eastAsia="仿宋_GB2312"/>
          <w:color w:val="000000" w:themeColor="text1"/>
          <w:kern w:val="0"/>
          <w:sz w:val="32"/>
          <w:szCs w:val="32"/>
          <w14:textFill>
            <w14:solidFill>
              <w14:schemeClr w14:val="tx1"/>
            </w14:solidFill>
          </w14:textFill>
        </w:rPr>
        <w:t>1.2</w:t>
      </w:r>
      <w:r>
        <w:rPr>
          <w:rFonts w:hint="eastAsia" w:eastAsia="仿宋_GB2312" w:cs="仿宋_GB2312"/>
          <w:color w:val="000000" w:themeColor="text1"/>
          <w:kern w:val="0"/>
          <w:sz w:val="32"/>
          <w:szCs w:val="32"/>
          <w14:textFill>
            <w14:solidFill>
              <w14:schemeClr w14:val="tx1"/>
            </w14:solidFill>
          </w14:textFill>
        </w:rPr>
        <w:t>个百分点。其中一产</w:t>
      </w:r>
      <w:r>
        <w:rPr>
          <w:rFonts w:eastAsia="仿宋_GB2312"/>
          <w:color w:val="000000" w:themeColor="text1"/>
          <w:kern w:val="0"/>
          <w:sz w:val="32"/>
          <w:szCs w:val="32"/>
          <w14:textFill>
            <w14:solidFill>
              <w14:schemeClr w14:val="tx1"/>
            </w14:solidFill>
          </w14:textFill>
        </w:rPr>
        <w:t>39.1</w:t>
      </w:r>
      <w:r>
        <w:rPr>
          <w:rFonts w:hint="eastAsia" w:eastAsia="仿宋_GB2312" w:cs="仿宋_GB2312"/>
          <w:color w:val="000000" w:themeColor="text1"/>
          <w:kern w:val="0"/>
          <w:sz w:val="32"/>
          <w:szCs w:val="32"/>
          <w14:textFill>
            <w14:solidFill>
              <w14:schemeClr w14:val="tx1"/>
            </w14:solidFill>
          </w14:textFill>
        </w:rPr>
        <w:t>亿元，增长</w:t>
      </w:r>
      <w:r>
        <w:rPr>
          <w:rFonts w:eastAsia="仿宋_GB2312"/>
          <w:color w:val="000000" w:themeColor="text1"/>
          <w:kern w:val="0"/>
          <w:sz w:val="32"/>
          <w:szCs w:val="32"/>
          <w14:textFill>
            <w14:solidFill>
              <w14:schemeClr w14:val="tx1"/>
            </w14:solidFill>
          </w14:textFill>
        </w:rPr>
        <w:t>8.5%</w:t>
      </w:r>
      <w:r>
        <w:rPr>
          <w:rFonts w:hint="eastAsia" w:eastAsia="仿宋_GB2312" w:cs="仿宋_GB2312"/>
          <w:color w:val="000000" w:themeColor="text1"/>
          <w:kern w:val="0"/>
          <w:sz w:val="32"/>
          <w:szCs w:val="32"/>
          <w14:textFill>
            <w14:solidFill>
              <w14:schemeClr w14:val="tx1"/>
            </w14:solidFill>
          </w14:textFill>
        </w:rPr>
        <w:t>；二产</w:t>
      </w:r>
      <w:r>
        <w:rPr>
          <w:rFonts w:eastAsia="仿宋_GB2312"/>
          <w:color w:val="000000" w:themeColor="text1"/>
          <w:kern w:val="0"/>
          <w:sz w:val="32"/>
          <w:szCs w:val="32"/>
          <w14:textFill>
            <w14:solidFill>
              <w14:schemeClr w14:val="tx1"/>
            </w14:solidFill>
          </w14:textFill>
        </w:rPr>
        <w:t>169.3</w:t>
      </w:r>
      <w:r>
        <w:rPr>
          <w:rFonts w:hint="eastAsia" w:eastAsia="仿宋_GB2312" w:cs="仿宋_GB2312"/>
          <w:color w:val="000000" w:themeColor="text1"/>
          <w:kern w:val="0"/>
          <w:sz w:val="32"/>
          <w:szCs w:val="32"/>
          <w14:textFill>
            <w14:solidFill>
              <w14:schemeClr w14:val="tx1"/>
            </w14:solidFill>
          </w14:textFill>
        </w:rPr>
        <w:t>亿元，增长</w:t>
      </w:r>
      <w:r>
        <w:rPr>
          <w:rFonts w:eastAsia="仿宋_GB2312"/>
          <w:color w:val="000000" w:themeColor="text1"/>
          <w:kern w:val="0"/>
          <w:sz w:val="32"/>
          <w:szCs w:val="32"/>
          <w14:textFill>
            <w14:solidFill>
              <w14:schemeClr w14:val="tx1"/>
            </w14:solidFill>
          </w14:textFill>
        </w:rPr>
        <w:t>12.3%</w:t>
      </w:r>
      <w:r>
        <w:rPr>
          <w:rFonts w:hint="eastAsia" w:eastAsia="仿宋_GB2312" w:cs="仿宋_GB2312"/>
          <w:color w:val="000000" w:themeColor="text1"/>
          <w:kern w:val="0"/>
          <w:sz w:val="32"/>
          <w:szCs w:val="32"/>
          <w14:textFill>
            <w14:solidFill>
              <w14:schemeClr w14:val="tx1"/>
            </w14:solidFill>
          </w14:textFill>
        </w:rPr>
        <w:t>；三产</w:t>
      </w:r>
      <w:r>
        <w:rPr>
          <w:rFonts w:eastAsia="仿宋_GB2312"/>
          <w:color w:val="000000" w:themeColor="text1"/>
          <w:kern w:val="0"/>
          <w:sz w:val="32"/>
          <w:szCs w:val="32"/>
          <w14:textFill>
            <w14:solidFill>
              <w14:schemeClr w14:val="tx1"/>
            </w14:solidFill>
          </w14:textFill>
        </w:rPr>
        <w:t>149.0</w:t>
      </w:r>
      <w:r>
        <w:rPr>
          <w:rFonts w:hint="eastAsia" w:eastAsia="仿宋_GB2312" w:cs="仿宋_GB2312"/>
          <w:color w:val="000000" w:themeColor="text1"/>
          <w:kern w:val="0"/>
          <w:sz w:val="32"/>
          <w:szCs w:val="32"/>
          <w14:textFill>
            <w14:solidFill>
              <w14:schemeClr w14:val="tx1"/>
            </w14:solidFill>
          </w14:textFill>
        </w:rPr>
        <w:t xml:space="preserve">亿元，增长 </w:t>
      </w:r>
      <w:r>
        <w:rPr>
          <w:rFonts w:eastAsia="仿宋_GB2312"/>
          <w:color w:val="000000" w:themeColor="text1"/>
          <w:kern w:val="0"/>
          <w:sz w:val="32"/>
          <w:szCs w:val="32"/>
          <w14:textFill>
            <w14:solidFill>
              <w14:schemeClr w14:val="tx1"/>
            </w14:solidFill>
          </w14:textFill>
        </w:rPr>
        <w:t>13.2%</w:t>
      </w:r>
      <w:r>
        <w:rPr>
          <w:rFonts w:hint="eastAsia" w:eastAsia="仿宋_GB2312" w:cs="仿宋_GB2312"/>
          <w:color w:val="000000" w:themeColor="text1"/>
          <w:kern w:val="0"/>
          <w:sz w:val="32"/>
          <w:szCs w:val="32"/>
          <w14:textFill>
            <w14:solidFill>
              <w14:schemeClr w14:val="tx1"/>
            </w14:solidFill>
          </w14:textFill>
        </w:rPr>
        <w:t>。</w:t>
      </w:r>
      <w:bookmarkStart w:id="18" w:name="_Toc12320"/>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2.3洪涝风险特征</w:t>
      </w:r>
      <w:bookmarkEnd w:id="18"/>
    </w:p>
    <w:p>
      <w:pPr>
        <w:pStyle w:val="2"/>
        <w:rPr>
          <w:rFonts w:ascii="Times New Roman" w:hAnsi="Times New Roman" w:eastAsia="仿宋_GB2312" w:cs="仿宋_GB2312"/>
          <w:color w:val="000000" w:themeColor="text1"/>
          <w:kern w:val="0"/>
          <w:szCs w:val="32"/>
          <w14:textFill>
            <w14:solidFill>
              <w14:schemeClr w14:val="tx1"/>
            </w14:solidFill>
          </w14:textFill>
        </w:rPr>
      </w:pPr>
      <w:r>
        <w:rPr>
          <w:rFonts w:hint="eastAsia" w:ascii="Times New Roman" w:hAnsi="Times New Roman" w:eastAsia="仿宋_GB2312" w:cs="仿宋_GB2312"/>
          <w:color w:val="000000" w:themeColor="text1"/>
          <w:kern w:val="0"/>
          <w:szCs w:val="32"/>
          <w14:textFill>
            <w14:solidFill>
              <w14:schemeClr w14:val="tx1"/>
            </w14:solidFill>
          </w14:textFill>
        </w:rPr>
        <w:t>舒城县城区主要泄水渠道为：三里河、南溪河和杭北干渠等。 暴雨时节，三里河 、南溪河以及杭北干渠等水位居高不下，造成城区低洼处雨水难以排入河道，甚至出现河水倒灌的现象。2021年8月12日，舒城县受大风、雷电等强对流天气影响，多个乡镇遭遇大范围强降雨天气，城区 6小时内降雨量达到101.8毫米，当日降水量排名全国第四，城区洪涝灾害较为严重。</w:t>
      </w:r>
    </w:p>
    <w:p>
      <w:pPr>
        <w:pStyle w:val="2"/>
        <w:rPr>
          <w:rFonts w:ascii="Times New Roman" w:hAnsi="Times New Roman" w:eastAsia="仿宋_GB2312" w:cs="仿宋_GB2312"/>
          <w:color w:val="000000" w:themeColor="text1"/>
          <w:kern w:val="0"/>
          <w:szCs w:val="32"/>
          <w14:textFill>
            <w14:solidFill>
              <w14:schemeClr w14:val="tx1"/>
            </w14:solidFill>
          </w14:textFill>
        </w:rPr>
      </w:pPr>
      <w:r>
        <w:rPr>
          <w:rFonts w:hint="eastAsia" w:ascii="Times New Roman" w:hAnsi="Times New Roman" w:eastAsia="仿宋_GB2312" w:cs="仿宋_GB2312"/>
          <w:color w:val="000000" w:themeColor="text1"/>
          <w:kern w:val="0"/>
          <w:szCs w:val="32"/>
          <w14:textFill>
            <w14:solidFill>
              <w14:schemeClr w14:val="tx1"/>
            </w14:solidFill>
          </w14:textFill>
        </w:rPr>
        <w:t>随着经济社会发展和河道整治工程的规划实施，舒城县城区防洪排涝体系正在逐渐完善。但是，随着城市建设速度的加速，在项目建设过程中，出现了各种排水防涝的隐患，结合舒城县城区自然地理、气候条件，城区在汛期易出现排水防涝险情的原因总结如下。</w:t>
      </w:r>
    </w:p>
    <w:p>
      <w:pPr>
        <w:pStyle w:val="2"/>
        <w:rPr>
          <w:rFonts w:ascii="Times New Roman" w:hAnsi="Times New Roman" w:eastAsia="仿宋_GB2312" w:cs="仿宋_GB2312"/>
          <w:color w:val="000000" w:themeColor="text1"/>
          <w:kern w:val="0"/>
          <w:szCs w:val="32"/>
          <w14:textFill>
            <w14:solidFill>
              <w14:schemeClr w14:val="tx1"/>
            </w14:solidFill>
          </w14:textFill>
        </w:rPr>
      </w:pPr>
      <w:r>
        <w:rPr>
          <w:rFonts w:hint="eastAsia" w:ascii="Times New Roman" w:hAnsi="Times New Roman" w:eastAsia="仿宋_GB2312" w:cs="仿宋_GB2312"/>
          <w:color w:val="000000" w:themeColor="text1"/>
          <w:kern w:val="0"/>
          <w:szCs w:val="32"/>
          <w14:textFill>
            <w14:solidFill>
              <w14:schemeClr w14:val="tx1"/>
            </w14:solidFill>
          </w14:textFill>
        </w:rPr>
        <w:t>一是城区建设速度加快，水面率下降，地表径流不断增大。城市建设的扩张，使原本具有自然蓄水调洪错峰功能的洼地、塘、沟渠等被人为填筑破坏或填为它用，降低了雨水的调蓄分流功能。而且比表汇流时间变短，峰现时刻提前，峰值变大，给城区排水防涝工作带来了极大压力。</w:t>
      </w:r>
    </w:p>
    <w:p>
      <w:pPr>
        <w:pStyle w:val="2"/>
        <w:rPr>
          <w:rFonts w:ascii="Times New Roman" w:hAnsi="Times New Roman" w:eastAsia="仿宋_GB2312" w:cs="仿宋_GB2312"/>
          <w:color w:val="000000" w:themeColor="text1"/>
          <w:kern w:val="0"/>
          <w:szCs w:val="32"/>
          <w14:textFill>
            <w14:solidFill>
              <w14:schemeClr w14:val="tx1"/>
            </w14:solidFill>
          </w14:textFill>
        </w:rPr>
      </w:pPr>
      <w:r>
        <w:rPr>
          <w:rFonts w:hint="eastAsia" w:ascii="Times New Roman" w:hAnsi="Times New Roman" w:eastAsia="仿宋_GB2312" w:cs="仿宋_GB2312"/>
          <w:color w:val="000000" w:themeColor="text1"/>
          <w:kern w:val="0"/>
          <w:szCs w:val="32"/>
          <w14:textFill>
            <w14:solidFill>
              <w14:schemeClr w14:val="tx1"/>
            </w14:solidFill>
          </w14:textFill>
        </w:rPr>
        <w:t>二是城区排水管网行洪排涝能力不足。随着城区建设步伐的加大，各种基础建设工程集中修建，导致部分城区雨污水管道被扰动或临时破坏，增大了临近管道的排涝雨量，导致管道排泄能力不足：同时，随着城市化进程的加快，地面硬化面积也急剧扩大，存在部分排水管网系统不够完善、老城区排水标准较低、部分排涝设施行洪排涝能力不足等问题。</w:t>
      </w:r>
    </w:p>
    <w:p>
      <w:pPr>
        <w:pStyle w:val="2"/>
        <w:rPr>
          <w:rFonts w:ascii="Times New Roman" w:hAnsi="Times New Roman"/>
          <w:color w:val="000000" w:themeColor="text1"/>
          <w:szCs w:val="32"/>
          <w14:textFill>
            <w14:solidFill>
              <w14:schemeClr w14:val="tx1"/>
            </w14:solidFill>
          </w14:textFill>
        </w:rPr>
      </w:pPr>
      <w:r>
        <w:rPr>
          <w:rFonts w:hint="eastAsia" w:ascii="Times New Roman" w:hAnsi="Times New Roman" w:eastAsia="仿宋_GB2312" w:cs="仿宋_GB2312"/>
          <w:color w:val="000000" w:themeColor="text1"/>
          <w:kern w:val="0"/>
          <w:szCs w:val="32"/>
          <w14:textFill>
            <w14:solidFill>
              <w14:schemeClr w14:val="tx1"/>
            </w14:solidFill>
          </w14:textFill>
        </w:rPr>
        <w:t>三是城区低洼地段易积水。城区地形高低起伏，且地形高差较大，遇强降雨时，雨水汇流较快，极易造成低注地区积水，形成内涝，影响群众交通出行和生产生活。</w:t>
      </w:r>
    </w:p>
    <w:p>
      <w:pPr>
        <w:spacing w:line="560" w:lineRule="exact"/>
        <w:ind w:firstLine="640" w:firstLineChars="200"/>
        <w:jc w:val="left"/>
        <w:outlineLvl w:val="0"/>
        <w:rPr>
          <w:rFonts w:ascii="黑体" w:hAnsi="黑体" w:eastAsia="黑体" w:cs="黑体"/>
          <w:color w:val="000000" w:themeColor="text1"/>
          <w:sz w:val="32"/>
          <w:szCs w:val="32"/>
          <w14:textFill>
            <w14:solidFill>
              <w14:schemeClr w14:val="tx1"/>
            </w14:solidFill>
          </w14:textFill>
        </w:rPr>
      </w:pPr>
      <w:bookmarkStart w:id="19" w:name="_Toc19845"/>
      <w:r>
        <w:rPr>
          <w:rFonts w:hint="eastAsia" w:ascii="黑体" w:hAnsi="黑体" w:eastAsia="黑体" w:cs="黑体"/>
          <w:color w:val="000000" w:themeColor="text1"/>
          <w:sz w:val="32"/>
          <w:szCs w:val="32"/>
          <w14:textFill>
            <w14:solidFill>
              <w14:schemeClr w14:val="tx1"/>
            </w14:solidFill>
          </w14:textFill>
        </w:rPr>
        <w:t>3组织指挥体系及职责</w:t>
      </w:r>
      <w:bookmarkEnd w:id="19"/>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20" w:name="_Toc14731"/>
      <w:r>
        <w:rPr>
          <w:rFonts w:hint="eastAsia" w:ascii="楷体_GB2312" w:hAnsi="楷体_GB2312" w:eastAsia="楷体_GB2312" w:cs="楷体_GB2312"/>
          <w:b/>
          <w:bCs/>
          <w:color w:val="000000" w:themeColor="text1"/>
          <w:sz w:val="32"/>
          <w:szCs w:val="32"/>
          <w14:textFill>
            <w14:solidFill>
              <w14:schemeClr w14:val="tx1"/>
            </w14:solidFill>
          </w14:textFill>
        </w:rPr>
        <w:t>3.1 组织指挥体系</w:t>
      </w:r>
      <w:bookmarkEnd w:id="20"/>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县政府设立县城区防汛抗旱指挥部（以下简称县城区防指），负责组织、指挥城区的防汛抗旱工作。县城区防指由分管住建副县长任指挥长，县住建局局长和县城管局局长任副指挥长，县城区防汛办公室（以下简称县城区防汛办）设在县城管局，县城管局局长任县城区防汛办主任。成员由县纪委监委、县人武部、县委组织部、县委宣传部、县住建局（人防办）、县城管局、县发改委、县财政局、县教育局、县经信局、县公安局、县民政局、县自然资源局、县生态环境分局、县交通局、县农业农村局、县水利局、县商务局、县卫健委、县应急局、县气象局、县文旅体局、县融媒体中心、县重点工程处、县机关事务中心、城关镇、县经济开发区、舒城供电公司、武警舒城中队、县消防救援大队、电信舒城分公司、移动舒城分公司、联通舒城分公司、人保财险舒城支公司等单位的主要或分管领导担任。</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21" w:name="_Toc8203"/>
      <w:r>
        <w:rPr>
          <w:rFonts w:hint="eastAsia" w:ascii="楷体_GB2312" w:hAnsi="楷体_GB2312" w:eastAsia="楷体_GB2312" w:cs="楷体_GB2312"/>
          <w:b/>
          <w:bCs/>
          <w:color w:val="000000" w:themeColor="text1"/>
          <w:sz w:val="32"/>
          <w:szCs w:val="32"/>
          <w14:textFill>
            <w14:solidFill>
              <w14:schemeClr w14:val="tx1"/>
            </w14:solidFill>
          </w14:textFill>
        </w:rPr>
        <w:t>3.2县城区防汛办职责</w:t>
      </w:r>
      <w:bookmarkEnd w:id="21"/>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主要职责是组织拟订并实施《舒城县城区防洪应急预案》；收集掌握汛情、险情、灾情和防汛行动情况等；组织城区防汛会商，分析研判防汛形势，提出应对方案与建议；发布防汛抢险救灾的通知，协调、监督各地各有关部门落实县城区防指工作部署；定期组织开展防汛培训演练工作；监督落实重要工程和重点区域防汛责任；组织协调、指导重大水灾应急抢险救援工作，调度城区防汛设备及抢险物资。</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22" w:name="_Toc18239"/>
      <w:r>
        <w:rPr>
          <w:rFonts w:hint="eastAsia" w:ascii="楷体_GB2312" w:hAnsi="楷体_GB2312" w:eastAsia="楷体_GB2312" w:cs="楷体_GB2312"/>
          <w:b/>
          <w:bCs/>
          <w:color w:val="000000" w:themeColor="text1"/>
          <w:sz w:val="32"/>
          <w:szCs w:val="32"/>
          <w14:textFill>
            <w14:solidFill>
              <w14:schemeClr w14:val="tx1"/>
            </w14:solidFill>
          </w14:textFill>
        </w:rPr>
        <w:t>3.3 成员单位职责</w:t>
      </w:r>
      <w:bookmarkEnd w:id="22"/>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（一）县纪委监委：汛期开展防汛救灾监督检查，对防汛救灾工作全程监督，严明政治纪律，对有令不行、有禁不止、失职渎职等问题，一律追责问责严肃处理。</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（二）县人武部：负责组织</w:t>
      </w:r>
      <w:r>
        <w:rPr>
          <w:rFonts w:eastAsia="仿宋_GB2312"/>
          <w:color w:val="000000" w:themeColor="text1"/>
          <w:sz w:val="32"/>
          <w:szCs w:val="32"/>
          <w14:textFill>
            <w14:solidFill>
              <w14:schemeClr w14:val="tx1"/>
            </w14:solidFill>
          </w14:textFill>
        </w:rPr>
        <w:t>解放军、武警部队</w:t>
      </w:r>
      <w:r>
        <w:rPr>
          <w:rFonts w:hint="eastAsia" w:eastAsia="仿宋_GB2312"/>
          <w:color w:val="000000" w:themeColor="text1"/>
          <w:sz w:val="32"/>
          <w:szCs w:val="32"/>
          <w14:textFill>
            <w14:solidFill>
              <w14:schemeClr w14:val="tx1"/>
            </w14:solidFill>
          </w14:textFill>
        </w:rPr>
        <w:t>等</w:t>
      </w:r>
      <w:r>
        <w:rPr>
          <w:rFonts w:eastAsia="仿宋_GB2312"/>
          <w:color w:val="000000" w:themeColor="text1"/>
          <w:sz w:val="32"/>
          <w:szCs w:val="32"/>
          <w14:textFill>
            <w14:solidFill>
              <w14:schemeClr w14:val="tx1"/>
            </w14:solidFill>
          </w14:textFill>
        </w:rPr>
        <w:t>参加抢险</w:t>
      </w:r>
      <w:r>
        <w:rPr>
          <w:rFonts w:hint="eastAsia" w:eastAsia="仿宋_GB2312"/>
          <w:color w:val="000000" w:themeColor="text1"/>
          <w:sz w:val="32"/>
          <w:szCs w:val="32"/>
          <w14:textFill>
            <w14:solidFill>
              <w14:schemeClr w14:val="tx1"/>
            </w14:solidFill>
          </w14:textFill>
        </w:rPr>
        <w:t>的联络工作，协助县城区防指审定城区群众的撤退方案，督促检查防汛命令的执行情况。</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（二）县委组织部：负责统筹汛期各单位、各行业、各领域防汛救灾资源，有组织地动员社会力量有序参与。</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（三）县委宣传部：负责正确把握全县防汛宣传工作导向，及时协调、指导新闻宣传单位做好防汛新闻报道工作。</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四）县教育局：负责定期安排学校开展防汛安全教育，要求各学校制定防汛预案、明确责任人，成立防汛抢险队；汛期督导各学校对校区及周边区域进行全面安全检查，并要求学校对师生做好防汛宣传教育和疏散等工作，封堵、关闭水深低洼区域等危险场所，并设立醒目的警示标志等。</w:t>
      </w:r>
    </w:p>
    <w:p>
      <w:pPr>
        <w:overflowPunct w:val="0"/>
        <w:adjustRightInd w:val="0"/>
        <w:snapToGrid w:val="0"/>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（五）县民政局：</w:t>
      </w:r>
      <w:r>
        <w:rPr>
          <w:rFonts w:hint="eastAsia" w:eastAsia="仿宋_GB2312" w:cs="仿宋_GB2312"/>
          <w:color w:val="000000" w:themeColor="text1"/>
          <w:sz w:val="32"/>
          <w:szCs w:val="32"/>
          <w14:textFill>
            <w14:solidFill>
              <w14:schemeClr w14:val="tx1"/>
            </w14:solidFill>
          </w14:textFill>
        </w:rPr>
        <w:t>负责组织安排城区危险区民政福利设施及财产安全转移、洪涝灾区居民生活临时救助和五保、低保等特殊困难受灾群体的基本生活保障工作；督促指导城区及时将符合临时救助或最低生活保障条件的受灾群众，按规定程序纳入保障范围。</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（六）县商务局：主要负责汛期保证城区成品油流通企业的安全监管工作，负责城区应急食品供应，并根据城区市场防汛物资储备统计，及时加大调运力度，并参与协调调度。</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七）县卫健委：负责汛期排查各医院病房、办公室、地下车库等处，发现漏雨部位及时修缮；对各医疗机构制度落实情况、特种设备运行情况、应急车辆及药品物资储备情况、安保情况进行不间断抽查；协调相关医院对抢救出的受灾群众进行检查、救治等；做好受灾中和受灾后灾区防疫等工作，确保大灾之后无大疫。</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八）县应急局：负责组织协调城区灾害应急救援工作，为县政府、县城区防指组织防汛排涝做好保障工作；组织核查并统一发布灾情信息；负责防汛时的相关安全生产工作，指导城区防汛排涝应急预案体系建设，建立应急协调联动机制，组织应急处置工作。</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（九）县发改委：负责协调城区防汛排涝保安、除险加固工程等资金的计划协调、安排；负责防汛、抢险、救灾所需物资、粮食供应的安排和筹集工作。</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（十）县财政局：负责城区防汛排涝经费的计划安排，确保防汛排涝、内涝治理工作的经费投入，监督城区年度防汛排涝经费的投入及使用情况。</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一）县水利局：负责水情预警和洪水预报及主要河湖和水工程的防御洪水灾害、应急水量调度；承担防御洪水应急抢险的技术保障，承担台风防御期间重要水工程调度，组织指导水毁水利工程修复工作；负责防汛仓库、防汛排涝物资储备和管理工作；根据《舒城县城区内涝点治理清单》任务分工，完成内涝点治理工作。</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（十二）县城管局：负责城区防汛排涝、排涝工程安全运行以及排水系统的管理工作，确保排水通畅；根据《舒城县城区内涝点治理清单》任务分工，完成内涝点治理工作。</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（十三）县交通局：负责组织落实城区防汛排涝抢险救灾车辆和船只调度；保障公路和水运交通设施的安全通行；负责水毁道路、桥梁的修复工作。</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（十四）县公安局：负责城区防汛排涝期间社会面治安管控工作，维护防汛抢险秩序，协助属地政府做好群众转移、疏散以及救灾安置点的秩序维护和安全保障等工作。</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（十五）县生态环境分局：负责城区水环境质量应急监测和城区供水安全工作，为实施防洪、供水调度提供水质数据参考；负责协调做好突发环境事件应急处置工作。</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六）县住建局：负责住建系统防洪、排涝工程安全运行，调度人防通讯、队伍力量，指导城区防汛排涝工作；监督检查建筑工地和基坑防汛安全工作；指导居民小区地下车库暴雨防御工作；督促三峡集团尽快实施城区雨污水管网建设、改造。</w:t>
      </w:r>
    </w:p>
    <w:p>
      <w:pPr>
        <w:spacing w:line="560" w:lineRule="exact"/>
        <w:ind w:firstLine="640" w:firstLineChars="200"/>
        <w:jc w:val="left"/>
        <w:rPr>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（十七）县自然资源局：</w:t>
      </w:r>
      <w:r>
        <w:rPr>
          <w:rFonts w:eastAsia="仿宋_GB2312" w:cs="仿宋_GB2312"/>
          <w:color w:val="000000" w:themeColor="text1"/>
          <w:kern w:val="0"/>
          <w:sz w:val="32"/>
          <w:szCs w:val="32"/>
          <w14:textFill>
            <w14:solidFill>
              <w14:schemeClr w14:val="tx1"/>
            </w14:solidFill>
          </w14:textFill>
        </w:rPr>
        <w:t>负责</w:t>
      </w:r>
      <w:r>
        <w:rPr>
          <w:rFonts w:hint="eastAsia" w:eastAsia="仿宋_GB2312" w:cs="仿宋_GB2312"/>
          <w:color w:val="000000" w:themeColor="text1"/>
          <w:kern w:val="0"/>
          <w:sz w:val="32"/>
          <w:szCs w:val="32"/>
          <w14:textFill>
            <w14:solidFill>
              <w14:schemeClr w14:val="tx1"/>
            </w14:solidFill>
          </w14:textFill>
        </w:rPr>
        <w:t>城区</w:t>
      </w:r>
      <w:r>
        <w:rPr>
          <w:rFonts w:eastAsia="仿宋_GB2312" w:cs="仿宋_GB2312"/>
          <w:color w:val="000000" w:themeColor="text1"/>
          <w:kern w:val="0"/>
          <w:sz w:val="32"/>
          <w:szCs w:val="32"/>
          <w14:textFill>
            <w14:solidFill>
              <w14:schemeClr w14:val="tx1"/>
            </w14:solidFill>
          </w14:textFill>
        </w:rPr>
        <w:t>地质灾害防治、防</w:t>
      </w:r>
      <w:r>
        <w:rPr>
          <w:rFonts w:hint="eastAsia" w:eastAsia="仿宋_GB2312" w:cs="仿宋_GB2312"/>
          <w:color w:val="000000" w:themeColor="text1"/>
          <w:kern w:val="0"/>
          <w:sz w:val="32"/>
          <w:szCs w:val="32"/>
          <w14:textFill>
            <w14:solidFill>
              <w14:schemeClr w14:val="tx1"/>
            </w14:solidFill>
          </w14:textFill>
        </w:rPr>
        <w:t>汛抢险、救灾物资筹备等工作，</w:t>
      </w:r>
      <w:r>
        <w:rPr>
          <w:rFonts w:hint="eastAsia" w:eastAsia="仿宋_GB2312"/>
          <w:color w:val="000000" w:themeColor="text1"/>
          <w:sz w:val="32"/>
          <w:szCs w:val="32"/>
          <w14:textFill>
            <w14:solidFill>
              <w14:schemeClr w14:val="tx1"/>
            </w14:solidFill>
          </w14:textFill>
        </w:rPr>
        <w:t>做好城区防汛抢险取土用地、内涝治理工程建设土地使用协调及防汛抢险砂石调运工作。</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八）县重点工程处：负责城区重点工程项目建设期间的防汛、排涝工作，制定相应的防汛排涝排涝方案、应急抢险预案及配备抢险物资和装备，组织建立相应的防汛排涝应急抢险队伍，在道路建设或改造过程中充分考虑雨污水走向，确保新建、扩建、改建、续建工程不发生内涝问题；根据《舒城县城区内涝点治理清单》任务分工，完成内涝点治理工作。</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（十九）县经信局：负责城区工业厂矿的防汛工作，协调安排防汛排涝有关物资。</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（二十）县气象局：负责发布灾害性天气的预警预报专业服务工作，对汛期重要天气形势和台风、短时强降雨等灾害性天气及时发布滚动预报，及时向县城区防指和有关成员单位提供气象预报信息。</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（二十一）县农业农村局：负责及时掌握农林畜牧渔业受灾情况；负责指导农林畜牧渔业遭受水灾的防灾、减灾和救灾工作，及灾区农业结构调整和灾后恢复生产工作。</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十二）县文旅体局：负责汛期督促景区及文化体育场所加强防汛安全巡查和监测工作，指导其成立党员巡逻队，24小时巡查，对地质灾害隐患进行实时监测，对核心景点暂时关闭，积极做好安全防护警示，对上级可能确定的安置场所做好安排和布置工作。</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（二十三）县机关事务中心：主要负责县城区防指的车辆、用餐和物资保障，做好车辆的调度和餐饮、物资的筹备以及汛期县机关大院的安全防范工作。</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十四）城关镇、开发区政府：负责管辖范围内河道的清障、清淤等工作，确保河道行洪畅通，负责贮备属地范围内防汛物资，组织抢险突击队，开展日常防汛和防洪抢险救灾等工作；根据《舒城县城区内涝点治理清单》任务分工，完成内涝点治理工作。</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（二十五）舒城供电公司：负责城区防汛、排涝和灾民生活用电及水毁电力线路修复、重大抢险照明工作；提供施工区域以及集中安置点的电力保障工作，对涉及电力改造相关事项，提供技术支持与配合。</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（二十六）县融媒体中心：负责充分利用广播、电视、网站和手机客户端等媒体及时发布天气预报和灾情信息，做好新闻报道及时向社会发布</w:t>
      </w:r>
      <w:bookmarkStart w:id="23" w:name="OLE_LINK1"/>
      <w:bookmarkStart w:id="24" w:name="OLE_LINK2"/>
      <w:r>
        <w:rPr>
          <w:rFonts w:hint="eastAsia" w:eastAsia="仿宋_GB2312"/>
          <w:color w:val="000000" w:themeColor="text1"/>
          <w:sz w:val="32"/>
          <w:szCs w:val="32"/>
          <w14:textFill>
            <w14:solidFill>
              <w14:schemeClr w14:val="tx1"/>
            </w14:solidFill>
          </w14:textFill>
        </w:rPr>
        <w:t>抗洪救灾</w:t>
      </w:r>
      <w:bookmarkEnd w:id="23"/>
      <w:bookmarkEnd w:id="24"/>
      <w:r>
        <w:rPr>
          <w:rFonts w:hint="eastAsia" w:eastAsia="仿宋_GB2312"/>
          <w:color w:val="000000" w:themeColor="text1"/>
          <w:sz w:val="32"/>
          <w:szCs w:val="32"/>
          <w14:textFill>
            <w14:solidFill>
              <w14:schemeClr w14:val="tx1"/>
            </w14:solidFill>
          </w14:textFill>
        </w:rPr>
        <w:t>情况。</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（二十七）武警舒城中队：负责组织所属部队实施抗洪抢险和救灾，参加重大工程和重大险情的抢险工作；协助公安部门维护抢险救灾秩序和灾区社会治安；协助转移危险地区的群众。</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十八）县消防救援大队：负责制订抢险救援行动方案，汛期与县城区防汛办、气象、交通、公安等单位联动，掌握灾情状况，参加大型洪涝灾害事故的抢险救援，确定救援力量部署及转移疏散灾民和物资的路线。</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十九）电信舒城分公司、移动舒城分公司、联通舒城分公司：负责通信设施的防洪安全，确保通讯畅通，保障防汛信息的及时、准确传递；在紧急情况下，及时采取应急措施，保证防汛指挥联络畅通；提供通信系统洪水灾害损失情况。</w:t>
      </w:r>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（三十）人保财险舒城支公司：负责城区内保险企业采用流动宣传车辆及条幅进行防洪宣传，讲解家庭财产、人身意外、农业种植养殖等相关防灾防损知识及灾后</w:t>
      </w:r>
      <w:r>
        <w:fldChar w:fldCharType="begin"/>
      </w:r>
      <w:r>
        <w:instrText xml:space="preserve"> HYPERLINK "https://finance.hebnews.cn/node_34949.htm" </w:instrText>
      </w:r>
      <w:r>
        <w:fldChar w:fldCharType="separate"/>
      </w:r>
      <w:r>
        <w:rPr>
          <w:rFonts w:eastAsia="仿宋_GB2312"/>
          <w:color w:val="000000" w:themeColor="text1"/>
          <w:sz w:val="32"/>
          <w:szCs w:val="32"/>
          <w14:textFill>
            <w14:solidFill>
              <w14:schemeClr w14:val="tx1"/>
            </w14:solidFill>
          </w14:textFill>
        </w:rPr>
        <w:t>保险</w:t>
      </w:r>
      <w:r>
        <w:rPr>
          <w:rFonts w:eastAsia="仿宋_GB2312"/>
          <w:color w:val="000000" w:themeColor="text1"/>
          <w:sz w:val="32"/>
          <w:szCs w:val="32"/>
          <w14:textFill>
            <w14:solidFill>
              <w14:schemeClr w14:val="tx1"/>
            </w14:solidFill>
          </w14:textFill>
        </w:rPr>
        <w:fldChar w:fldCharType="end"/>
      </w:r>
      <w:r>
        <w:rPr>
          <w:rFonts w:eastAsia="仿宋_GB2312"/>
          <w:color w:val="000000" w:themeColor="text1"/>
          <w:sz w:val="32"/>
          <w:szCs w:val="32"/>
          <w14:textFill>
            <w14:solidFill>
              <w14:schemeClr w14:val="tx1"/>
            </w14:solidFill>
          </w14:textFill>
        </w:rPr>
        <w:t>理赔服务</w:t>
      </w:r>
      <w:r>
        <w:rPr>
          <w:rFonts w:hint="eastAsia" w:eastAsia="仿宋_GB2312"/>
          <w:color w:val="000000" w:themeColor="text1"/>
          <w:sz w:val="32"/>
          <w:szCs w:val="32"/>
          <w14:textFill>
            <w14:solidFill>
              <w14:schemeClr w14:val="tx1"/>
            </w14:solidFill>
          </w14:textFill>
        </w:rPr>
        <w:t>。</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25" w:name="_Toc29240"/>
      <w:r>
        <w:rPr>
          <w:rFonts w:hint="eastAsia" w:ascii="楷体_GB2312" w:hAnsi="楷体_GB2312" w:eastAsia="楷体_GB2312" w:cs="楷体_GB2312"/>
          <w:b/>
          <w:bCs/>
          <w:color w:val="000000" w:themeColor="text1"/>
          <w:sz w:val="32"/>
          <w:szCs w:val="32"/>
          <w14:textFill>
            <w14:solidFill>
              <w14:schemeClr w14:val="tx1"/>
            </w14:solidFill>
          </w14:textFill>
        </w:rPr>
        <w:t>3.4 防汛现场指挥机构</w:t>
      </w:r>
      <w:bookmarkEnd w:id="25"/>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当</w:t>
      </w:r>
      <w:r>
        <w:rPr>
          <w:rFonts w:hint="eastAsia" w:eastAsia="仿宋_GB2312" w:cs="仿宋_GB2312"/>
          <w:color w:val="000000" w:themeColor="text1"/>
          <w:kern w:val="0"/>
          <w:sz w:val="32"/>
          <w:szCs w:val="32"/>
          <w14:textFill>
            <w14:solidFill>
              <w14:schemeClr w14:val="tx1"/>
            </w14:solidFill>
          </w14:textFill>
        </w:rPr>
        <w:t>杭北干渠、南溪河、三里河、护城河、玉带河</w:t>
      </w:r>
      <w:r>
        <w:rPr>
          <w:rFonts w:hint="eastAsia" w:eastAsia="仿宋_GB2312"/>
          <w:color w:val="000000" w:themeColor="text1"/>
          <w:sz w:val="32"/>
          <w:szCs w:val="32"/>
          <w14:textFill>
            <w14:solidFill>
              <w14:schemeClr w14:val="tx1"/>
            </w14:solidFill>
          </w14:textFill>
        </w:rPr>
        <w:t>等城区主要河流</w:t>
      </w:r>
      <w:r>
        <w:rPr>
          <w:rFonts w:eastAsia="仿宋_GB2312"/>
          <w:color w:val="000000" w:themeColor="text1"/>
          <w:sz w:val="32"/>
          <w:szCs w:val="32"/>
          <w14:textFill>
            <w14:solidFill>
              <w14:schemeClr w14:val="tx1"/>
            </w14:solidFill>
          </w14:textFill>
        </w:rPr>
        <w:t>水位</w:t>
      </w:r>
      <w:r>
        <w:rPr>
          <w:rFonts w:hint="eastAsia" w:eastAsia="仿宋_GB2312"/>
          <w:color w:val="000000" w:themeColor="text1"/>
          <w:sz w:val="32"/>
          <w:szCs w:val="32"/>
          <w14:textFill>
            <w14:solidFill>
              <w14:schemeClr w14:val="tx1"/>
            </w14:solidFill>
          </w14:textFill>
        </w:rPr>
        <w:t>迅速上涨</w:t>
      </w:r>
      <w:r>
        <w:rPr>
          <w:rFonts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水利</w:t>
      </w:r>
      <w:r>
        <w:rPr>
          <w:rFonts w:eastAsia="仿宋_GB2312"/>
          <w:color w:val="000000" w:themeColor="text1"/>
          <w:sz w:val="32"/>
          <w:szCs w:val="32"/>
          <w14:textFill>
            <w14:solidFill>
              <w14:schemeClr w14:val="tx1"/>
            </w14:solidFill>
          </w14:textFill>
        </w:rPr>
        <w:t>工程出现重大险情或其他紧急情况需要现场指挥的，组建现场指挥机构。现场指挥机构由当地行政首长、武警部队首长和</w:t>
      </w:r>
      <w:r>
        <w:rPr>
          <w:rFonts w:hint="eastAsia" w:eastAsia="仿宋_GB2312"/>
          <w:color w:val="000000" w:themeColor="text1"/>
          <w:sz w:val="32"/>
          <w:szCs w:val="32"/>
          <w14:textFill>
            <w14:solidFill>
              <w14:schemeClr w14:val="tx1"/>
            </w14:solidFill>
          </w14:textFill>
        </w:rPr>
        <w:t>防洪</w:t>
      </w:r>
      <w:r>
        <w:rPr>
          <w:rFonts w:eastAsia="仿宋_GB2312"/>
          <w:color w:val="000000" w:themeColor="text1"/>
          <w:sz w:val="32"/>
          <w:szCs w:val="32"/>
          <w14:textFill>
            <w14:solidFill>
              <w14:schemeClr w14:val="tx1"/>
            </w14:solidFill>
          </w14:textFill>
        </w:rPr>
        <w:t>专家组成，专家组负责拟订抢险方案，行政首长对抢险方案进行决策，并组织实施。解放军、武警部队参加抢险，由人武部负责组织、协调。</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26" w:name="_Toc15748"/>
      <w:r>
        <w:rPr>
          <w:rFonts w:hint="eastAsia" w:ascii="楷体_GB2312" w:hAnsi="楷体_GB2312" w:eastAsia="楷体_GB2312" w:cs="楷体_GB2312"/>
          <w:b/>
          <w:bCs/>
          <w:color w:val="000000" w:themeColor="text1"/>
          <w:sz w:val="32"/>
          <w:szCs w:val="32"/>
          <w14:textFill>
            <w14:solidFill>
              <w14:schemeClr w14:val="tx1"/>
            </w14:solidFill>
          </w14:textFill>
        </w:rPr>
        <w:t>3.5有关部门配合和衔接机制</w:t>
      </w:r>
      <w:bookmarkEnd w:id="26"/>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应急、水利、气象等部门建立定期会商和信息共享机制，健全应急管理信息平台和监测预警网络，共同分析研判汛情和险情灾情，实时共享相关监测预报预警和重要调度信息，联合开展防灾救灾综合演练、检查督察等，形成工作合力。当预报发生大洪水或突发险情时，水利部门组织防洪会商，应急管理等部门派员参加。当江河湖泊达到警戒水位并预报继续上涨时，应急管理部门应组织指导有关地方提前落实抢险队伍、预置抢险物资，视情开展巡查值守，做好应急抢险和人员转移准备。洪水灾害发生后，水利部门按照</w:t>
      </w:r>
      <w:r>
        <w:rPr>
          <w:rFonts w:hint="eastAsia" w:eastAsia="仿宋_GB2312"/>
          <w:color w:val="000000" w:themeColor="text1"/>
          <w:sz w:val="32"/>
          <w:szCs w:val="32"/>
          <w14:textFill>
            <w14:solidFill>
              <w14:schemeClr w14:val="tx1"/>
            </w14:solidFill>
          </w14:textFill>
        </w:rPr>
        <w:t>县城区</w:t>
      </w:r>
      <w:r>
        <w:rPr>
          <w:rFonts w:eastAsia="仿宋_GB2312"/>
          <w:color w:val="000000" w:themeColor="text1"/>
          <w:sz w:val="32"/>
          <w:szCs w:val="32"/>
          <w14:textFill>
            <w14:solidFill>
              <w14:schemeClr w14:val="tx1"/>
            </w14:solidFill>
          </w14:textFill>
        </w:rPr>
        <w:t>防指部署，派出水</w:t>
      </w:r>
      <w:r>
        <w:rPr>
          <w:rFonts w:hint="eastAsia" w:eastAsia="仿宋_GB2312"/>
          <w:color w:val="000000" w:themeColor="text1"/>
          <w:sz w:val="32"/>
          <w:szCs w:val="32"/>
          <w14:textFill>
            <w14:solidFill>
              <w14:schemeClr w14:val="tx1"/>
            </w14:solidFill>
          </w14:textFill>
        </w:rPr>
        <w:t>灾</w:t>
      </w:r>
      <w:r>
        <w:rPr>
          <w:rFonts w:eastAsia="仿宋_GB2312"/>
          <w:color w:val="000000" w:themeColor="text1"/>
          <w:sz w:val="32"/>
          <w:szCs w:val="32"/>
          <w14:textFill>
            <w14:solidFill>
              <w14:schemeClr w14:val="tx1"/>
            </w14:solidFill>
          </w14:textFill>
        </w:rPr>
        <w:t>防御抢险专家组</w:t>
      </w:r>
      <w:r>
        <w:rPr>
          <w:rFonts w:hint="eastAsia" w:eastAsia="仿宋_GB2312"/>
          <w:color w:val="000000" w:themeColor="text1"/>
          <w:sz w:val="32"/>
          <w:szCs w:val="32"/>
          <w14:textFill>
            <w14:solidFill>
              <w14:schemeClr w14:val="tx1"/>
            </w14:solidFill>
          </w14:textFill>
        </w:rPr>
        <w:t>，协助现场指挥部开展险情处置。</w:t>
      </w:r>
      <w:r>
        <w:rPr>
          <w:rFonts w:eastAsia="仿宋_GB2312"/>
          <w:color w:val="000000" w:themeColor="text1"/>
          <w:sz w:val="32"/>
          <w:szCs w:val="32"/>
          <w14:textFill>
            <w14:solidFill>
              <w14:schemeClr w14:val="tx1"/>
            </w14:solidFill>
          </w14:textFill>
        </w:rPr>
        <w:t>在汛期，河道、水库、水电站、闸坝等水工程管理单位必须按照规定对水工程进行巡查，发现险情，必须立即采取抢护措施，并及时向</w:t>
      </w:r>
      <w:r>
        <w:rPr>
          <w:rFonts w:hint="eastAsia" w:eastAsia="仿宋_GB2312"/>
          <w:color w:val="000000" w:themeColor="text1"/>
          <w:sz w:val="32"/>
          <w:szCs w:val="32"/>
          <w14:textFill>
            <w14:solidFill>
              <w14:schemeClr w14:val="tx1"/>
            </w14:solidFill>
          </w14:textFill>
        </w:rPr>
        <w:t>县城区防指</w:t>
      </w:r>
      <w:r>
        <w:rPr>
          <w:rFonts w:eastAsia="仿宋_GB2312"/>
          <w:color w:val="000000" w:themeColor="text1"/>
          <w:sz w:val="32"/>
          <w:szCs w:val="32"/>
          <w14:textFill>
            <w14:solidFill>
              <w14:schemeClr w14:val="tx1"/>
            </w14:solidFill>
          </w14:textFill>
        </w:rPr>
        <w:t>和上级主管部门报告</w:t>
      </w:r>
      <w:r>
        <w:rPr>
          <w:rFonts w:hint="eastAsia" w:eastAsia="仿宋_GB2312"/>
          <w:color w:val="000000" w:themeColor="text1"/>
          <w:sz w:val="32"/>
          <w:szCs w:val="32"/>
          <w14:textFill>
            <w14:solidFill>
              <w14:schemeClr w14:val="tx1"/>
            </w14:solidFill>
          </w14:textFill>
        </w:rPr>
        <w:t>。</w:t>
      </w:r>
    </w:p>
    <w:p>
      <w:pPr>
        <w:spacing w:line="560" w:lineRule="exact"/>
        <w:ind w:firstLine="640" w:firstLineChars="200"/>
        <w:jc w:val="left"/>
        <w:outlineLvl w:val="0"/>
        <w:rPr>
          <w:rFonts w:ascii="黑体" w:hAnsi="黑体" w:eastAsia="黑体" w:cs="黑体"/>
          <w:color w:val="000000" w:themeColor="text1"/>
          <w:sz w:val="32"/>
          <w:szCs w:val="32"/>
          <w14:textFill>
            <w14:solidFill>
              <w14:schemeClr w14:val="tx1"/>
            </w14:solidFill>
          </w14:textFill>
        </w:rPr>
      </w:pPr>
      <w:bookmarkStart w:id="27" w:name="_Toc11560"/>
      <w:r>
        <w:rPr>
          <w:rFonts w:hint="eastAsia" w:ascii="黑体" w:hAnsi="黑体" w:eastAsia="黑体" w:cs="黑体"/>
          <w:color w:val="000000" w:themeColor="text1"/>
          <w:sz w:val="32"/>
          <w:szCs w:val="32"/>
          <w14:textFill>
            <w14:solidFill>
              <w14:schemeClr w14:val="tx1"/>
            </w14:solidFill>
          </w14:textFill>
        </w:rPr>
        <w:t>4.汛前准备</w:t>
      </w:r>
      <w:bookmarkEnd w:id="27"/>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28" w:name="_Toc1810"/>
      <w:r>
        <w:rPr>
          <w:rFonts w:hint="eastAsia" w:ascii="楷体_GB2312" w:hAnsi="楷体_GB2312" w:eastAsia="楷体_GB2312" w:cs="楷体_GB2312"/>
          <w:b/>
          <w:bCs/>
          <w:color w:val="000000" w:themeColor="text1"/>
          <w:sz w:val="32"/>
          <w:szCs w:val="32"/>
          <w14:textFill>
            <w14:solidFill>
              <w14:schemeClr w14:val="tx1"/>
            </w14:solidFill>
          </w14:textFill>
        </w:rPr>
        <w:t>4.1 责任落实</w:t>
      </w:r>
      <w:bookmarkEnd w:id="28"/>
    </w:p>
    <w:p>
      <w:pPr>
        <w:spacing w:line="560" w:lineRule="exact"/>
        <w:ind w:firstLine="640" w:firstLineChars="200"/>
        <w:jc w:val="left"/>
        <w:outlineLvl w:val="1"/>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落实以行政首长负责制为核心的分级责任制、部门责任制、技术责任制、岗位责任制、分包责任制等各类防汛排涝责任制，确保防汛排涝责任全覆盖、无盲区。县城区防汛办负责组织、指挥区域内的防汛排涝工作。每年汛前，应调整充实县城区防汛办，落实防汛排涝责任人、防汛排涝队伍和洪涝灾害易发重点区域的监测网络及预警措施，加强防汛专业机动抢险队的建设。</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29" w:name="_Toc26241"/>
      <w:r>
        <w:rPr>
          <w:rFonts w:hint="eastAsia" w:ascii="楷体_GB2312" w:hAnsi="楷体_GB2312" w:eastAsia="楷体_GB2312" w:cs="楷体_GB2312"/>
          <w:b/>
          <w:bCs/>
          <w:color w:val="000000" w:themeColor="text1"/>
          <w:sz w:val="32"/>
          <w:szCs w:val="32"/>
          <w14:textFill>
            <w14:solidFill>
              <w14:schemeClr w14:val="tx1"/>
            </w14:solidFill>
          </w14:textFill>
        </w:rPr>
        <w:t>4.2应急预案</w:t>
      </w:r>
      <w:bookmarkEnd w:id="29"/>
    </w:p>
    <w:p>
      <w:pPr>
        <w:spacing w:line="560" w:lineRule="exact"/>
        <w:ind w:firstLine="640" w:firstLineChars="200"/>
        <w:jc w:val="lef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各部门应根据实际，进一步加强预案管理，及时修订完善各类预案方案。城管部门负责制定完善城区防洪应急预案；水利部门负责修订完善水利工程调度方案、洪涝灾害防御预案等，研究制定防御超标准洪水的应急方案；自然资源部门负责编制地质灾害防治规划和防护标准并指导实施。相关部门要按管理权限制定重点险工险段抢险方案，并加强预案管理，适时修订完善。</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30" w:name="_Toc2459"/>
      <w:r>
        <w:rPr>
          <w:rFonts w:hint="eastAsia" w:ascii="楷体_GB2312" w:hAnsi="楷体_GB2312" w:eastAsia="楷体_GB2312" w:cs="楷体_GB2312"/>
          <w:b/>
          <w:bCs/>
          <w:color w:val="000000" w:themeColor="text1"/>
          <w:sz w:val="32"/>
          <w:szCs w:val="32"/>
          <w14:textFill>
            <w14:solidFill>
              <w14:schemeClr w14:val="tx1"/>
            </w14:solidFill>
          </w14:textFill>
        </w:rPr>
        <w:t>4.3汛前检查</w:t>
      </w:r>
      <w:bookmarkEnd w:id="30"/>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各部门开展汛前大检查，查找薄弱环节，限期整改，消除隐患，确保度汛责任和措施落实到位；做好防汛排涝设备维修保养工作，确保正常运行。</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4.3.1检查要求</w:t>
      </w:r>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各部门要按照责任分工，结合本地区、本行业、本单位实际，以近年来内涝灾害防御工作中暴露的薄弱环节为重点，对组织、工程、预案、物资、队伍、通讯等方面的准备情况进行全面细致的检查，排查和梳理出威胁防汛排涝安全的各类隐患和问题。对检查发现的防汛隐患和问题，要逐项登记造册、逐项整改落实，</w:t>
      </w:r>
    </w:p>
    <w:p>
      <w:pPr>
        <w:spacing w:line="560" w:lineRule="exact"/>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要按照属地管理的原则，切实采取有力措施，落实整改责任，边查边改、以查促改，对整改情况要进行跟踪、复查、验收，做到整改不到位不放过，问题不解决不放手。检查结束后，要及时形成有基本情况、有客观分析、有建议措施的检查总结报告。</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4.3.2组织形式</w:t>
      </w:r>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各部门负责组织包保范围内汛前准备和大检查工作；防汛排涝成员单位负责组织本部门、本系统的汛前准备和检查工作，协调和督促落实安全度汛措施。</w:t>
      </w:r>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检查形式以基层自查为主，县城区防汛办重点检查。</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31" w:name="_Toc327"/>
      <w:r>
        <w:rPr>
          <w:rFonts w:hint="eastAsia" w:ascii="楷体_GB2312" w:hAnsi="楷体_GB2312" w:eastAsia="楷体_GB2312" w:cs="楷体_GB2312"/>
          <w:b/>
          <w:bCs/>
          <w:color w:val="000000" w:themeColor="text1"/>
          <w:sz w:val="32"/>
          <w:szCs w:val="32"/>
          <w14:textFill>
            <w14:solidFill>
              <w14:schemeClr w14:val="tx1"/>
            </w14:solidFill>
          </w14:textFill>
        </w:rPr>
        <w:t>4.4工程准备</w:t>
      </w:r>
      <w:bookmarkEnd w:id="31"/>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完成水毁工程修复、在建开口工程复堤复坝任务，整治消除各类防洪工程度汛隐患，落实汛期在建涉水工程和病险工程安全度汛方案和措施。</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32" w:name="_Toc18375"/>
      <w:r>
        <w:rPr>
          <w:rFonts w:hint="eastAsia" w:ascii="楷体_GB2312" w:hAnsi="楷体_GB2312" w:eastAsia="楷体_GB2312" w:cs="楷体_GB2312"/>
          <w:b/>
          <w:bCs/>
          <w:color w:val="000000" w:themeColor="text1"/>
          <w:sz w:val="32"/>
          <w:szCs w:val="32"/>
          <w14:textFill>
            <w14:solidFill>
              <w14:schemeClr w14:val="tx1"/>
            </w14:solidFill>
          </w14:textFill>
        </w:rPr>
        <w:t>4.5应急物资和队伍</w:t>
      </w:r>
      <w:bookmarkEnd w:id="32"/>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（1）按照分级负责的原则，储备必需的防洪物料。县城区防汛办、重点防洪工程管理单位以及受洪水威胁的其他单位应按就近储备的原则，在防汛重点地段应储备一定数量的抢险物料，以应急需。</w:t>
      </w:r>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应急、水利、交通、城管等部门按照防汛工作需要储备必要的防汛物资，出现险情时就近使用本部门物资；根据防汛抢险需要，提出调度使用县城区防指成员单位管理的物资方案，由县城区防指下达命令执行。</w:t>
      </w:r>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（3）应急部门应统筹应急救援力量建设，统一协调指挥各类应急专业队伍，建立应急协调联动机制，推进指挥平台对接，衔接武警部队参与应急救援工作。</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33" w:name="_Toc14955"/>
      <w:r>
        <w:rPr>
          <w:rFonts w:hint="eastAsia" w:ascii="楷体_GB2312" w:hAnsi="楷体_GB2312" w:eastAsia="楷体_GB2312" w:cs="楷体_GB2312"/>
          <w:b/>
          <w:bCs/>
          <w:color w:val="000000" w:themeColor="text1"/>
          <w:sz w:val="32"/>
          <w:szCs w:val="32"/>
          <w14:textFill>
            <w14:solidFill>
              <w14:schemeClr w14:val="tx1"/>
            </w14:solidFill>
          </w14:textFill>
        </w:rPr>
        <w:t>4.6培训演练</w:t>
      </w:r>
      <w:bookmarkEnd w:id="33"/>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县城区防汛办负责城区防汛机动抢险队有关人员的培训。培训工作应结合实际，采取多种形式，实行定期与不定期相结合，每年至少组织一次，培训工作应在汛前完成。</w:t>
      </w:r>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县城区防汛办负责组织开展应急抢险救援演练；防汛排涝成员单位结合各自职责开展培训和演练。培训演练情况应报上级防指备案，主要包括培训演练时间、地点、内容、参加人员及数量、效果及培训演练总结等。</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34" w:name="_Toc25605"/>
      <w:r>
        <w:rPr>
          <w:rFonts w:hint="eastAsia" w:ascii="楷体_GB2312" w:hAnsi="楷体_GB2312" w:eastAsia="楷体_GB2312" w:cs="楷体_GB2312"/>
          <w:b/>
          <w:bCs/>
          <w:color w:val="000000" w:themeColor="text1"/>
          <w:sz w:val="32"/>
          <w:szCs w:val="32"/>
          <w14:textFill>
            <w14:solidFill>
              <w14:schemeClr w14:val="tx1"/>
            </w14:solidFill>
          </w14:textFill>
        </w:rPr>
        <w:t>4.7宣传教育</w:t>
      </w:r>
      <w:bookmarkEnd w:id="34"/>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各部门多渠道、多形式开展防灾避险知识宣传教育，推动防灾避险知识进企业、进农村、进社区、进学校、进家庭，增强社会公众防灾减灾意识，提高风险识别、防灾避险和自救互救能力。</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35" w:name="_Toc9948"/>
      <w:r>
        <w:rPr>
          <w:rFonts w:hint="eastAsia" w:ascii="楷体_GB2312" w:hAnsi="楷体_GB2312" w:eastAsia="楷体_GB2312" w:cs="楷体_GB2312"/>
          <w:b/>
          <w:bCs/>
          <w:color w:val="000000" w:themeColor="text1"/>
          <w:sz w:val="32"/>
          <w:szCs w:val="32"/>
          <w14:textFill>
            <w14:solidFill>
              <w14:schemeClr w14:val="tx1"/>
            </w14:solidFill>
          </w14:textFill>
        </w:rPr>
        <w:t>4.8社会动员</w:t>
      </w:r>
      <w:bookmarkEnd w:id="35"/>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属地政府应广泛动员社会力量，积极参与巡堤查险、抢险除险、人员转移等防汛排涝工作。</w:t>
      </w:r>
    </w:p>
    <w:p>
      <w:pPr>
        <w:spacing w:line="560" w:lineRule="exact"/>
        <w:ind w:firstLine="640" w:firstLineChars="200"/>
        <w:jc w:val="left"/>
        <w:outlineLvl w:val="0"/>
        <w:rPr>
          <w:rFonts w:ascii="黑体" w:hAnsi="黑体" w:eastAsia="黑体" w:cs="黑体"/>
          <w:color w:val="000000" w:themeColor="text1"/>
          <w:sz w:val="32"/>
          <w:szCs w:val="32"/>
          <w14:textFill>
            <w14:solidFill>
              <w14:schemeClr w14:val="tx1"/>
            </w14:solidFill>
          </w14:textFill>
        </w:rPr>
      </w:pPr>
      <w:bookmarkStart w:id="36" w:name="_Toc4819"/>
      <w:r>
        <w:rPr>
          <w:rFonts w:hint="eastAsia" w:ascii="黑体" w:hAnsi="黑体" w:eastAsia="黑体" w:cs="黑体"/>
          <w:color w:val="000000" w:themeColor="text1"/>
          <w:sz w:val="32"/>
          <w:szCs w:val="32"/>
          <w14:textFill>
            <w14:solidFill>
              <w14:schemeClr w14:val="tx1"/>
            </w14:solidFill>
          </w14:textFill>
        </w:rPr>
        <w:t>5监测预警</w:t>
      </w:r>
      <w:bookmarkEnd w:id="36"/>
      <w:bookmarkStart w:id="37" w:name="_Toc5927"/>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5.1监测预报</w:t>
      </w:r>
      <w:bookmarkEnd w:id="37"/>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气象部门负责灾害性天气监测预报；水利部门负责水情监测预报；自然资源部门负责地质灾害监测预报；其他相关部门负责城区内涝监测预报。各部门及时向县城区防汛办报送信息。</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38" w:name="_Toc16502"/>
      <w:r>
        <w:rPr>
          <w:rFonts w:hint="eastAsia" w:ascii="楷体_GB2312" w:hAnsi="楷体_GB2312" w:eastAsia="楷体_GB2312" w:cs="楷体_GB2312"/>
          <w:b/>
          <w:bCs/>
          <w:color w:val="000000" w:themeColor="text1"/>
          <w:sz w:val="32"/>
          <w:szCs w:val="32"/>
          <w14:textFill>
            <w14:solidFill>
              <w14:schemeClr w14:val="tx1"/>
            </w14:solidFill>
          </w14:textFill>
        </w:rPr>
        <w:t>5.2预警类别与等级</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5.2.1Ⅳ级预警</w:t>
      </w:r>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（1）当气象部门发布暴雨蓝色预警时，经会商后决定启动；</w:t>
      </w:r>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（2）当城区部分道路或低洼区域出现多处积水，经会商后决定启动；</w:t>
      </w:r>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（3）接县防汛抗旱指挥部（以下简称县防指）防汛IV级预警。</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5.2.2Ⅲ级预警</w:t>
      </w:r>
    </w:p>
    <w:p>
      <w:pPr>
        <w:pStyle w:val="2"/>
        <w:rPr>
          <w:rFonts w:ascii="Times New Roman" w:hAnsi="Times New Roman" w:eastAsia="仿宋_GB2312" w:cs="仿宋_GB2312"/>
          <w:color w:val="000000" w:themeColor="text1"/>
          <w:szCs w:val="32"/>
          <w14:textFill>
            <w14:solidFill>
              <w14:schemeClr w14:val="tx1"/>
            </w14:solidFill>
          </w14:textFill>
        </w:rPr>
      </w:pPr>
      <w:r>
        <w:rPr>
          <w:rFonts w:hint="eastAsia" w:ascii="Times New Roman" w:hAnsi="Times New Roman" w:eastAsia="仿宋_GB2312" w:cs="仿宋_GB2312"/>
          <w:color w:val="000000" w:themeColor="text1"/>
          <w:szCs w:val="32"/>
          <w14:textFill>
            <w14:solidFill>
              <w14:schemeClr w14:val="tx1"/>
            </w14:solidFill>
          </w14:textFill>
        </w:rPr>
        <w:t>（1）当气象部门发布暴雨黄色预警时，经会商后决定启动；</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（2）当城区部分道路、低洼区域出现多处积水，并将影响行人和车辆通行，</w:t>
      </w:r>
      <w:r>
        <w:rPr>
          <w:rFonts w:hint="eastAsia" w:eastAsia="仿宋_GB2312"/>
          <w:color w:val="000000" w:themeColor="text1"/>
          <w:sz w:val="32"/>
          <w:szCs w:val="32"/>
          <w14:textFill>
            <w14:solidFill>
              <w14:schemeClr w14:val="tx1"/>
            </w14:solidFill>
          </w14:textFill>
        </w:rPr>
        <w:t>经会商后决定启动；</w:t>
      </w:r>
    </w:p>
    <w:p>
      <w:pPr>
        <w:pStyle w:val="2"/>
        <w:rPr>
          <w:rFonts w:ascii="Times New Roman" w:hAnsi="Times New Roman" w:eastAsia="仿宋_GB2312" w:cs="仿宋_GB2312"/>
          <w:color w:val="000000" w:themeColor="text1"/>
          <w:szCs w:val="32"/>
          <w14:textFill>
            <w14:solidFill>
              <w14:schemeClr w14:val="tx1"/>
            </w14:solidFill>
          </w14:textFill>
        </w:rPr>
      </w:pPr>
      <w:r>
        <w:rPr>
          <w:rFonts w:hint="eastAsia" w:ascii="Times New Roman" w:hAnsi="Times New Roman" w:eastAsia="仿宋_GB2312" w:cs="仿宋_GB2312"/>
          <w:color w:val="000000" w:themeColor="text1"/>
          <w:szCs w:val="32"/>
          <w14:textFill>
            <w14:solidFill>
              <w14:schemeClr w14:val="tx1"/>
            </w14:solidFill>
          </w14:textFill>
        </w:rPr>
        <w:t>（3）接县防指防汛Ⅲ级预警。</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5.2.3Ⅱ级预警</w:t>
      </w:r>
    </w:p>
    <w:p>
      <w:pPr>
        <w:pStyle w:val="2"/>
        <w:rPr>
          <w:rFonts w:ascii="Times New Roman" w:hAnsi="Times New Roman" w:eastAsia="仿宋_GB2312" w:cs="仿宋_GB2312"/>
          <w:color w:val="000000" w:themeColor="text1"/>
          <w:szCs w:val="32"/>
          <w14:textFill>
            <w14:solidFill>
              <w14:schemeClr w14:val="tx1"/>
            </w14:solidFill>
          </w14:textFill>
        </w:rPr>
      </w:pPr>
      <w:r>
        <w:rPr>
          <w:rFonts w:hint="eastAsia" w:ascii="Times New Roman" w:hAnsi="Times New Roman" w:eastAsia="仿宋_GB2312" w:cs="仿宋_GB2312"/>
          <w:color w:val="000000" w:themeColor="text1"/>
          <w:szCs w:val="32"/>
          <w14:textFill>
            <w14:solidFill>
              <w14:schemeClr w14:val="tx1"/>
            </w14:solidFill>
          </w14:textFill>
        </w:rPr>
        <w:t>（1）当气象部门发布暴雨橙色预警时，经会商后决定启动；</w:t>
      </w:r>
    </w:p>
    <w:p>
      <w:pPr>
        <w:pStyle w:val="2"/>
        <w:rPr>
          <w:rFonts w:ascii="Times New Roman" w:hAnsi="Times New Roman" w:eastAsia="仿宋_GB2312" w:cs="仿宋_GB2312"/>
          <w:color w:val="000000" w:themeColor="text1"/>
          <w:szCs w:val="32"/>
          <w14:textFill>
            <w14:solidFill>
              <w14:schemeClr w14:val="tx1"/>
            </w14:solidFill>
          </w14:textFill>
        </w:rPr>
      </w:pPr>
      <w:r>
        <w:rPr>
          <w:rFonts w:hint="eastAsia" w:ascii="Times New Roman" w:hAnsi="Times New Roman" w:eastAsia="仿宋_GB2312" w:cs="仿宋_GB2312"/>
          <w:color w:val="000000" w:themeColor="text1"/>
          <w:szCs w:val="32"/>
          <w14:textFill>
            <w14:solidFill>
              <w14:schemeClr w14:val="tx1"/>
            </w14:solidFill>
          </w14:textFill>
        </w:rPr>
        <w:t>（2）当城区部分道路、低洼区域出现多处严重积水，并将危及市民生命财产和行车安全</w:t>
      </w:r>
      <w:r>
        <w:rPr>
          <w:rFonts w:hint="eastAsia" w:eastAsia="仿宋_GB2312" w:cs="仿宋_GB2312"/>
          <w:color w:val="000000" w:themeColor="text1"/>
          <w:szCs w:val="32"/>
          <w14:textFill>
            <w14:solidFill>
              <w14:schemeClr w14:val="tx1"/>
            </w14:solidFill>
          </w14:textFill>
        </w:rPr>
        <w:t>，</w:t>
      </w:r>
      <w:r>
        <w:rPr>
          <w:rFonts w:hint="eastAsia" w:ascii="Times New Roman" w:hAnsi="Times New Roman" w:eastAsia="仿宋_GB2312"/>
          <w:color w:val="000000" w:themeColor="text1"/>
          <w:szCs w:val="32"/>
          <w14:textFill>
            <w14:solidFill>
              <w14:schemeClr w14:val="tx1"/>
            </w14:solidFill>
          </w14:textFill>
        </w:rPr>
        <w:t>经会商后决定启动；</w:t>
      </w:r>
    </w:p>
    <w:p>
      <w:pPr>
        <w:pStyle w:val="2"/>
        <w:rPr>
          <w:rFonts w:ascii="Times New Roman" w:hAnsi="Times New Roman" w:eastAsia="仿宋_GB2312" w:cs="仿宋_GB2312"/>
          <w:color w:val="000000" w:themeColor="text1"/>
          <w:szCs w:val="32"/>
          <w14:textFill>
            <w14:solidFill>
              <w14:schemeClr w14:val="tx1"/>
            </w14:solidFill>
          </w14:textFill>
        </w:rPr>
      </w:pPr>
      <w:r>
        <w:rPr>
          <w:rFonts w:hint="eastAsia" w:ascii="Times New Roman" w:hAnsi="Times New Roman" w:eastAsia="仿宋_GB2312" w:cs="仿宋_GB2312"/>
          <w:color w:val="000000" w:themeColor="text1"/>
          <w:szCs w:val="32"/>
          <w14:textFill>
            <w14:solidFill>
              <w14:schemeClr w14:val="tx1"/>
            </w14:solidFill>
          </w14:textFill>
        </w:rPr>
        <w:t>（3）接县防指防汛Ⅱ级预警。</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5.2.4 Ⅰ级预警</w:t>
      </w:r>
    </w:p>
    <w:p>
      <w:pPr>
        <w:pStyle w:val="2"/>
        <w:rPr>
          <w:rFonts w:ascii="Times New Roman" w:hAnsi="Times New Roman" w:eastAsia="仿宋_GB2312" w:cs="仿宋_GB2312"/>
          <w:color w:val="000000" w:themeColor="text1"/>
          <w:szCs w:val="32"/>
          <w14:textFill>
            <w14:solidFill>
              <w14:schemeClr w14:val="tx1"/>
            </w14:solidFill>
          </w14:textFill>
        </w:rPr>
      </w:pPr>
      <w:r>
        <w:rPr>
          <w:rFonts w:hint="eastAsia" w:ascii="Times New Roman" w:hAnsi="Times New Roman" w:eastAsia="仿宋_GB2312" w:cs="仿宋_GB2312"/>
          <w:color w:val="000000" w:themeColor="text1"/>
          <w:szCs w:val="32"/>
          <w14:textFill>
            <w14:solidFill>
              <w14:schemeClr w14:val="tx1"/>
            </w14:solidFill>
          </w14:textFill>
        </w:rPr>
        <w:t>（1）当气象部门发布暴雨红色预警时，经会商后决定启动；</w:t>
      </w:r>
    </w:p>
    <w:p>
      <w:pPr>
        <w:pStyle w:val="2"/>
        <w:rPr>
          <w:rFonts w:ascii="Times New Roman" w:hAnsi="Times New Roman" w:eastAsia="仿宋_GB2312" w:cs="仿宋_GB2312"/>
          <w:color w:val="000000" w:themeColor="text1"/>
          <w:szCs w:val="32"/>
          <w14:textFill>
            <w14:solidFill>
              <w14:schemeClr w14:val="tx1"/>
            </w14:solidFill>
          </w14:textFill>
        </w:rPr>
      </w:pPr>
      <w:r>
        <w:rPr>
          <w:rFonts w:hint="eastAsia" w:ascii="Times New Roman" w:hAnsi="Times New Roman" w:eastAsia="仿宋_GB2312" w:cs="仿宋_GB2312"/>
          <w:color w:val="000000" w:themeColor="text1"/>
          <w:szCs w:val="32"/>
          <w14:textFill>
            <w14:solidFill>
              <w14:schemeClr w14:val="tx1"/>
            </w14:solidFill>
          </w14:textFill>
        </w:rPr>
        <w:t>（2）接县防指防汛Ⅰ级预警。</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5.3预警发布与解除</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5.3.1预警启动</w:t>
      </w:r>
    </w:p>
    <w:p>
      <w:pPr>
        <w:pStyle w:val="2"/>
        <w:rPr>
          <w:rFonts w:ascii="Times New Roman" w:hAnsi="Times New Roman" w:eastAsia="仿宋_GB2312" w:cs="仿宋_GB2312"/>
          <w:color w:val="000000" w:themeColor="text1"/>
          <w:szCs w:val="32"/>
          <w14:textFill>
            <w14:solidFill>
              <w14:schemeClr w14:val="tx1"/>
            </w14:solidFill>
          </w14:textFill>
        </w:rPr>
      </w:pPr>
      <w:r>
        <w:rPr>
          <w:rFonts w:hint="eastAsia" w:ascii="Times New Roman" w:hAnsi="Times New Roman" w:eastAsia="仿宋_GB2312" w:cs="仿宋_GB2312"/>
          <w:color w:val="000000" w:themeColor="text1"/>
          <w:szCs w:val="32"/>
          <w14:textFill>
            <w14:solidFill>
              <w14:schemeClr w14:val="tx1"/>
            </w14:solidFill>
          </w14:textFill>
        </w:rPr>
        <w:t>县城区防汛办根据气象、工程等信息资料，或经气象、水利、应急等部门专家会商研究，分析暴雨及汛情演进情况，提出城市防汛预警启动级别、发布、变更和解除的建议报告，经县城区防指会商后，县城区防指按照会商结果决定启动相应级别的响应，同时，按照权限及时发布对应的预警信息。</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Ⅳ、Ⅲ级预警的启动，由县城区防汛办提出启动建议，报县城区防指副指挥长（县城管局主要负责同志）决定，经县城区防指副指挥长签发应急预案启动令后，县城区防指根据批示做出发出对应级别的预警决定，具体发布事宜由县城区防汛办负责。</w:t>
      </w:r>
    </w:p>
    <w:p>
      <w:pPr>
        <w:widowControl/>
        <w:ind w:firstLine="640" w:firstLineChars="200"/>
        <w:jc w:val="left"/>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Ⅱ、</w:t>
      </w:r>
      <w:r>
        <w:rPr>
          <w:rFonts w:hint="eastAsia" w:eastAsia="仿宋_GB2312" w:cs="仿宋_GB2312"/>
          <w:color w:val="000000" w:themeColor="text1"/>
          <w:kern w:val="0"/>
          <w:sz w:val="32"/>
          <w:szCs w:val="32"/>
          <w14:textFill>
            <w14:solidFill>
              <w14:schemeClr w14:val="tx1"/>
            </w14:solidFill>
          </w14:textFill>
        </w:rPr>
        <w:t>Ⅰ</w:t>
      </w:r>
      <w:r>
        <w:rPr>
          <w:rFonts w:hint="eastAsia" w:eastAsia="仿宋_GB2312" w:cs="仿宋_GB2312"/>
          <w:color w:val="000000" w:themeColor="text1"/>
          <w:sz w:val="32"/>
          <w:szCs w:val="32"/>
          <w14:textFill>
            <w14:solidFill>
              <w14:schemeClr w14:val="tx1"/>
            </w14:solidFill>
          </w14:textFill>
        </w:rPr>
        <w:t>级预警的启动，由县城区防汛办提出启动建议，报县城区防指指挥长</w:t>
      </w:r>
      <w:r>
        <w:rPr>
          <w:rFonts w:hint="eastAsia" w:eastAsia="仿宋_GB2312" w:cs="仿宋_GB2312"/>
          <w:color w:val="000000" w:themeColor="text1"/>
          <w:kern w:val="0"/>
          <w:sz w:val="32"/>
          <w:szCs w:val="32"/>
          <w14:textFill>
            <w14:solidFill>
              <w14:schemeClr w14:val="tx1"/>
            </w14:solidFill>
          </w14:textFill>
        </w:rPr>
        <w:t xml:space="preserve">（分管住建副县长）决定， </w:t>
      </w:r>
      <w:r>
        <w:rPr>
          <w:rFonts w:hint="eastAsia" w:eastAsia="仿宋_GB2312" w:cs="仿宋_GB2312"/>
          <w:color w:val="000000" w:themeColor="text1"/>
          <w:sz w:val="32"/>
          <w:szCs w:val="32"/>
          <w14:textFill>
            <w14:solidFill>
              <w14:schemeClr w14:val="tx1"/>
            </w14:solidFill>
          </w14:textFill>
        </w:rPr>
        <w:t>经县城区防指指挥长签发启动令后，县城区防指根据批示做出发出对应级别的预警决定，具体发布事宜由县城区防汛办负责。</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5.3.2预警发布</w:t>
      </w:r>
    </w:p>
    <w:p>
      <w:pPr>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预警信息的发布、调整和解除渠道具有多元化和针对性。要利用广播、电视、手机短信、固定电话语音报警、信息网络、电子显示屏、报刊、警报器、宣传车或组织人员逐户通知等方式，向广大市民发布通告。</w:t>
      </w:r>
    </w:p>
    <w:p>
      <w:pPr>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 xml:space="preserve">（1）对老、弱、病、残、孕以及学校、大型人群聚集场所等特殊场所和警报盲区将采取有针对性的公告方式，如喇叭、锣鼓等。   </w:t>
      </w:r>
    </w:p>
    <w:p>
      <w:pPr>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（2）车站、公交车、重要路口、高速公路、旅游景点等人口密集公共场所的管理单位将设置并利用电子显示装置及其他设施播报预警信号。</w:t>
      </w:r>
    </w:p>
    <w:p>
      <w:pPr>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（3）广播电视台等媒体机构按照县城区防办安排的预警信息内容及时对外发布。</w:t>
      </w:r>
    </w:p>
    <w:p>
      <w:pPr>
        <w:ind w:firstLine="640" w:firstLineChars="200"/>
        <w:rPr>
          <w:rFonts w:cs="宋体"/>
          <w:b/>
          <w:bCs/>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（4）县气象局负责暴雨、台风预警发布，县水利局负责水情预警发布。</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5.3.3预警解除</w:t>
      </w:r>
    </w:p>
    <w:p>
      <w:pPr>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预警信息发布单位密切关注汛情进展情况，并依据汛情变化情况，适时调整预警级别，并将调整结果及时通报各相关部门。当汛情低于最低预警级别时，预警发布单位应根据相关程序降低或者解除已发布的预警信息，并及时向社会公布。</w:t>
      </w:r>
    </w:p>
    <w:bookmarkEnd w:id="38"/>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39" w:name="_Toc13528"/>
      <w:r>
        <w:rPr>
          <w:rFonts w:hint="eastAsia" w:ascii="楷体_GB2312" w:hAnsi="楷体_GB2312" w:eastAsia="楷体_GB2312" w:cs="楷体_GB2312"/>
          <w:b/>
          <w:bCs/>
          <w:color w:val="000000" w:themeColor="text1"/>
          <w:sz w:val="32"/>
          <w:szCs w:val="32"/>
          <w14:textFill>
            <w14:solidFill>
              <w14:schemeClr w14:val="tx1"/>
            </w14:solidFill>
          </w14:textFill>
        </w:rPr>
        <w:t>5.4预警响应</w:t>
      </w:r>
      <w:bookmarkEnd w:id="39"/>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5.4.1发布暴雨预警</w:t>
      </w:r>
    </w:p>
    <w:p>
      <w:pPr>
        <w:spacing w:line="560" w:lineRule="exact"/>
        <w:ind w:firstLine="640" w:firstLineChars="200"/>
        <w:outlineLvl w:val="2"/>
        <w:rPr>
          <w:rFonts w:eastAsia="仿宋_GB2312" w:cs="仿宋_GB2312"/>
          <w:color w:val="000000" w:themeColor="text1"/>
          <w:sz w:val="32"/>
          <w:szCs w:val="32"/>
          <w14:textFill>
            <w14:solidFill>
              <w14:schemeClr w14:val="tx1"/>
            </w14:solidFill>
          </w14:textFill>
        </w:rPr>
      </w:pPr>
      <w:bookmarkStart w:id="40" w:name="_Toc25860"/>
      <w:r>
        <w:rPr>
          <w:rFonts w:hint="eastAsia" w:eastAsia="仿宋_GB2312" w:cs="仿宋_GB2312"/>
          <w:color w:val="000000" w:themeColor="text1"/>
          <w:sz w:val="32"/>
          <w:szCs w:val="32"/>
          <w14:textFill>
            <w14:solidFill>
              <w14:schemeClr w14:val="tx1"/>
            </w14:solidFill>
          </w14:textFill>
        </w:rPr>
        <w:t>当发布暴雨预警时，各有关部门采取以下措施：</w:t>
      </w:r>
      <w:bookmarkEnd w:id="40"/>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（1）县城区防汛办视情组织多部门会商研判，明确重点影响区域和防范应对工作重点，加强对各地暴雨防范应对工作的指导督促。</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（2）县气象局密切监视天气变化，加密天气预报。</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（3）县水利局密切监视水情变化，做好重要城区河流湖泊水情预报，按权限视情调度重要河流湖泊预泄；指导督促水工程管理单位按照工程控制运用办法等规定进行调度运用，加强水工程维护、巡查。</w:t>
      </w:r>
    </w:p>
    <w:p>
      <w:pPr>
        <w:spacing w:line="560" w:lineRule="exact"/>
        <w:ind w:firstLine="640" w:firstLineChars="200"/>
        <w:rPr>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4）县城管局组织指导城区内涝预警发布，组织指导督促城区各社区、各单位做好城市地下空间、下穿式立交桥、建筑施工场所等隐患排查整治，城区重点易涝部位应急排涝准备等，地下空间人防工程由县人防办重点管理。</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（5）县文旅体局组织指导城区</w:t>
      </w:r>
      <w:r>
        <w:rPr>
          <w:rFonts w:hint="eastAsia" w:eastAsia="仿宋_GB2312"/>
          <w:color w:val="000000" w:themeColor="text1"/>
          <w:sz w:val="32"/>
          <w:szCs w:val="32"/>
          <w14:textFill>
            <w14:solidFill>
              <w14:schemeClr w14:val="tx1"/>
            </w14:solidFill>
          </w14:textFill>
        </w:rPr>
        <w:t>景区及文化体育场所</w:t>
      </w:r>
      <w:r>
        <w:rPr>
          <w:rFonts w:hint="eastAsia" w:eastAsia="仿宋_GB2312" w:cs="仿宋_GB2312"/>
          <w:color w:val="000000" w:themeColor="text1"/>
          <w:sz w:val="32"/>
          <w:szCs w:val="32"/>
          <w14:textFill>
            <w14:solidFill>
              <w14:schemeClr w14:val="tx1"/>
            </w14:solidFill>
          </w14:textFill>
        </w:rPr>
        <w:t>发布旅游安全提示信息，必要时</w:t>
      </w:r>
      <w:r>
        <w:rPr>
          <w:rFonts w:hint="eastAsia" w:eastAsia="仿宋_GB2312"/>
          <w:color w:val="000000" w:themeColor="text1"/>
          <w:sz w:val="32"/>
          <w:szCs w:val="32"/>
          <w14:textFill>
            <w14:solidFill>
              <w14:schemeClr w14:val="tx1"/>
            </w14:solidFill>
          </w14:textFill>
        </w:rPr>
        <w:t>做好安全防护警示，</w:t>
      </w:r>
      <w:r>
        <w:rPr>
          <w:rFonts w:hint="eastAsia" w:eastAsia="仿宋_GB2312" w:cs="仿宋_GB2312"/>
          <w:color w:val="000000" w:themeColor="text1"/>
          <w:sz w:val="32"/>
          <w:szCs w:val="32"/>
          <w14:textFill>
            <w14:solidFill>
              <w14:schemeClr w14:val="tx1"/>
            </w14:solidFill>
          </w14:textFill>
        </w:rPr>
        <w:t>督促城区</w:t>
      </w:r>
      <w:r>
        <w:rPr>
          <w:rFonts w:hint="eastAsia" w:eastAsia="仿宋_GB2312"/>
          <w:color w:val="000000" w:themeColor="text1"/>
          <w:sz w:val="32"/>
          <w:szCs w:val="32"/>
          <w14:textFill>
            <w14:solidFill>
              <w14:schemeClr w14:val="tx1"/>
            </w14:solidFill>
          </w14:textFill>
        </w:rPr>
        <w:t>景区及文化体育场暂时关闭，</w:t>
      </w:r>
      <w:r>
        <w:rPr>
          <w:rFonts w:hint="eastAsia" w:eastAsia="仿宋_GB2312" w:cs="仿宋_GB2312"/>
          <w:color w:val="000000" w:themeColor="text1"/>
          <w:sz w:val="32"/>
          <w:szCs w:val="32"/>
          <w14:textFill>
            <w14:solidFill>
              <w14:schemeClr w14:val="tx1"/>
            </w14:solidFill>
          </w14:textFill>
        </w:rPr>
        <w:t>疏散游客。</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（6）县委宣传部协调指导主流媒体广泛发布预警和安全提示信息。各通信运营企业按照县城区防指成员的职责发布预警和安全提示信息。</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（7）县城区防汛办及时安排部署，提前转移危险区域人员，做好暴雨防范和应对工作。</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5.4.2 发布江河洪水预警</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当发布江河洪水预警时，各有关部门采取以下措施：</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（1）县城区防汛办组织多部门会商研判，提出防御措施和启动应急预案建议，加强对城区洪水应对工作的指导督促。</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2）县水利局密切监视水情变化，及时预报重要江河湖库洪水；按权限实施重要水工程调度，适时提出防御洪水调度建议；指导督促水工程管理单位按照工程控制运用办法等规定进行调度运用，做好水工程巡查、险情抢护。</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（3）县应急局指导协助各地做好应急抢险救援力量、物资准备，视情提前预置防洪重点部位抢险救援力量和物资。</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（4）县交通局指导督促各地各有关单位做好行洪河道内桥梁、受洪水威胁重要交通道路的巡查、监视，及时发布道路通行、航道通航预警信息，加强道路管护和通航安全管理，做好水毁道路抢修准备。</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（5）县城区防汛办立即动员部署，提前安排可能超警戒水位运行江河堤防、超汛限水位运行水库的巡查防守，提前转移洪涝危险区域人员，及时开机排涝。</w:t>
      </w:r>
    </w:p>
    <w:p>
      <w:pPr>
        <w:spacing w:line="560" w:lineRule="exact"/>
        <w:ind w:firstLine="640" w:firstLineChars="200"/>
        <w:jc w:val="left"/>
        <w:outlineLvl w:val="0"/>
        <w:rPr>
          <w:rFonts w:ascii="黑体" w:hAnsi="黑体" w:eastAsia="黑体" w:cs="黑体"/>
          <w:color w:val="000000" w:themeColor="text1"/>
          <w:sz w:val="32"/>
          <w:szCs w:val="32"/>
          <w14:textFill>
            <w14:solidFill>
              <w14:schemeClr w14:val="tx1"/>
            </w14:solidFill>
          </w14:textFill>
        </w:rPr>
      </w:pPr>
      <w:bookmarkStart w:id="41" w:name="_Toc4168"/>
      <w:r>
        <w:rPr>
          <w:rFonts w:hint="eastAsia" w:ascii="黑体" w:hAnsi="黑体" w:eastAsia="黑体" w:cs="黑体"/>
          <w:color w:val="000000" w:themeColor="text1"/>
          <w:sz w:val="32"/>
          <w:szCs w:val="32"/>
          <w14:textFill>
            <w14:solidFill>
              <w14:schemeClr w14:val="tx1"/>
            </w14:solidFill>
          </w14:textFill>
        </w:rPr>
        <w:t>6信息报告及发布</w:t>
      </w:r>
      <w:bookmarkEnd w:id="41"/>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42" w:name="_Toc7304"/>
      <w:r>
        <w:rPr>
          <w:rFonts w:hint="eastAsia" w:ascii="楷体_GB2312" w:hAnsi="楷体_GB2312" w:eastAsia="楷体_GB2312" w:cs="楷体_GB2312"/>
          <w:b/>
          <w:bCs/>
          <w:color w:val="000000" w:themeColor="text1"/>
          <w:sz w:val="32"/>
          <w:szCs w:val="32"/>
          <w14:textFill>
            <w14:solidFill>
              <w14:schemeClr w14:val="tx1"/>
            </w14:solidFill>
          </w14:textFill>
        </w:rPr>
        <w:t>6.1信息报告内容</w:t>
      </w:r>
      <w:bookmarkEnd w:id="42"/>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防汛排涝信息主要包括：雨水情、汛情、工情、险情、灾情、</w:t>
      </w:r>
      <w:r>
        <w:rPr>
          <w:rFonts w:eastAsia="仿宋_GB2312" w:cs="仿宋_GB2312"/>
          <w:color w:val="000000" w:themeColor="text1"/>
          <w:kern w:val="0"/>
          <w:sz w:val="32"/>
          <w:szCs w:val="32"/>
          <w14:textFill>
            <w14:solidFill>
              <w14:schemeClr w14:val="tx1"/>
            </w14:solidFill>
          </w14:textFill>
        </w:rPr>
        <w:t>工程调度运用情况</w:t>
      </w:r>
      <w:r>
        <w:rPr>
          <w:rFonts w:hint="eastAsia" w:eastAsia="仿宋_GB2312" w:cs="仿宋_GB2312"/>
          <w:color w:val="000000" w:themeColor="text1"/>
          <w:sz w:val="32"/>
          <w:szCs w:val="32"/>
          <w14:textFill>
            <w14:solidFill>
              <w14:schemeClr w14:val="tx1"/>
            </w14:solidFill>
          </w14:textFill>
        </w:rPr>
        <w:t xml:space="preserve">，抢险救灾进展情况，防汛排涝人力调集、物资及资金投入情况，因水灾转移人口及安置等情况。 </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43" w:name="_Toc18811"/>
      <w:r>
        <w:rPr>
          <w:rFonts w:hint="eastAsia" w:ascii="楷体_GB2312" w:hAnsi="楷体_GB2312" w:eastAsia="楷体_GB2312" w:cs="楷体_GB2312"/>
          <w:b/>
          <w:bCs/>
          <w:color w:val="000000" w:themeColor="text1"/>
          <w:sz w:val="32"/>
          <w:szCs w:val="32"/>
          <w14:textFill>
            <w14:solidFill>
              <w14:schemeClr w14:val="tx1"/>
            </w14:solidFill>
          </w14:textFill>
        </w:rPr>
        <w:t>6.2信息报送</w:t>
      </w:r>
      <w:bookmarkEnd w:id="43"/>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防汛排涝信息实行归口管理，逐级上报。防汛排涝信息的报送和处理应快速、准确、详实，重要信息实行一事一报，因客观原因一时难以准确掌握的信息，应及时报告基本情况，同时抓紧了解情况，随后补报详情。重大险情、溃堤破圩、人员伤亡等必须第一时间上报。水工程调度运用信息应按照有关规定及时通报下游和受影响地区。</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44" w:name="_Toc22264"/>
      <w:r>
        <w:rPr>
          <w:rFonts w:hint="eastAsia" w:ascii="楷体_GB2312" w:hAnsi="楷体_GB2312" w:eastAsia="楷体_GB2312" w:cs="楷体_GB2312"/>
          <w:b/>
          <w:bCs/>
          <w:color w:val="000000" w:themeColor="text1"/>
          <w:sz w:val="32"/>
          <w:szCs w:val="32"/>
          <w14:textFill>
            <w14:solidFill>
              <w14:schemeClr w14:val="tx1"/>
            </w14:solidFill>
          </w14:textFill>
        </w:rPr>
        <w:t>6.3信息发布</w:t>
      </w:r>
      <w:bookmarkEnd w:id="44"/>
    </w:p>
    <w:p>
      <w:pPr>
        <w:widowControl/>
        <w:ind w:firstLine="640" w:firstLineChars="200"/>
        <w:jc w:val="left"/>
        <w:rPr>
          <w:rFonts w:eastAsia="仿宋_GB2312" w:cs="仿宋_GB2312"/>
          <w:color w:val="000000" w:themeColor="text1"/>
          <w:kern w:val="0"/>
          <w:sz w:val="32"/>
          <w:szCs w:val="32"/>
          <w14:textFill>
            <w14:solidFill>
              <w14:schemeClr w14:val="tx1"/>
            </w14:solidFill>
          </w14:textFill>
        </w:rPr>
      </w:pPr>
      <w:r>
        <w:rPr>
          <w:rFonts w:eastAsia="仿宋_GB2312" w:cs="仿宋_GB2312"/>
          <w:color w:val="000000" w:themeColor="text1"/>
          <w:kern w:val="0"/>
          <w:sz w:val="32"/>
          <w:szCs w:val="32"/>
          <w14:textFill>
            <w14:solidFill>
              <w14:schemeClr w14:val="tx1"/>
            </w14:solidFill>
          </w14:textFill>
        </w:rPr>
        <w:t>汛情、灾情和重大决策部署、抗洪抢险</w:t>
      </w:r>
      <w:r>
        <w:rPr>
          <w:rFonts w:hint="eastAsia" w:eastAsia="仿宋_GB2312" w:cs="仿宋_GB2312"/>
          <w:color w:val="000000" w:themeColor="text1"/>
          <w:kern w:val="0"/>
          <w:sz w:val="32"/>
          <w:szCs w:val="32"/>
          <w14:textFill>
            <w14:solidFill>
              <w14:schemeClr w14:val="tx1"/>
            </w14:solidFill>
          </w14:textFill>
        </w:rPr>
        <w:t>行动等防汛排涝信息由县城区防指通过媒体对外统一发布，其中一般防汛排涝信息由县城区防指负责同志审签，重要防汛排涝信息由县防指负责同志审签。</w:t>
      </w:r>
    </w:p>
    <w:p>
      <w:pPr>
        <w:widowControl/>
        <w:ind w:firstLine="640" w:firstLineChars="200"/>
        <w:jc w:val="left"/>
        <w:rPr>
          <w:rFonts w:eastAsia="黑体" w:cs="黑体"/>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县城区防指建立新闻发言人制度，防汛排涝重要信息经县城区防指核查确定后按程序上报县防指和县政府同意后，由县城区防指指定的发言人通过本地新闻媒体统一向社会发布。</w:t>
      </w:r>
    </w:p>
    <w:p>
      <w:pPr>
        <w:spacing w:line="560" w:lineRule="exact"/>
        <w:ind w:firstLine="640" w:firstLineChars="200"/>
        <w:jc w:val="left"/>
        <w:outlineLvl w:val="0"/>
        <w:rPr>
          <w:rFonts w:ascii="黑体" w:hAnsi="黑体" w:eastAsia="黑体" w:cs="黑体"/>
          <w:color w:val="000000" w:themeColor="text1"/>
          <w:sz w:val="32"/>
          <w:szCs w:val="32"/>
          <w14:textFill>
            <w14:solidFill>
              <w14:schemeClr w14:val="tx1"/>
            </w14:solidFill>
          </w14:textFill>
        </w:rPr>
      </w:pPr>
      <w:bookmarkStart w:id="45" w:name="_Toc5427"/>
      <w:r>
        <w:rPr>
          <w:rFonts w:hint="eastAsia" w:ascii="黑体" w:hAnsi="黑体" w:eastAsia="黑体" w:cs="黑体"/>
          <w:color w:val="000000" w:themeColor="text1"/>
          <w:sz w:val="32"/>
          <w:szCs w:val="32"/>
          <w14:textFill>
            <w14:solidFill>
              <w14:schemeClr w14:val="tx1"/>
            </w14:solidFill>
          </w14:textFill>
        </w:rPr>
        <w:t>7应急响应</w:t>
      </w:r>
      <w:bookmarkEnd w:id="45"/>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46" w:name="_Toc31585"/>
      <w:r>
        <w:rPr>
          <w:rFonts w:hint="eastAsia" w:ascii="楷体_GB2312" w:hAnsi="楷体_GB2312" w:eastAsia="楷体_GB2312" w:cs="楷体_GB2312"/>
          <w:b/>
          <w:bCs/>
          <w:color w:val="000000" w:themeColor="text1"/>
          <w:sz w:val="32"/>
          <w:szCs w:val="32"/>
          <w14:textFill>
            <w14:solidFill>
              <w14:schemeClr w14:val="tx1"/>
            </w14:solidFill>
          </w14:textFill>
        </w:rPr>
        <w:t>7.1总体要求</w:t>
      </w:r>
      <w:bookmarkEnd w:id="46"/>
    </w:p>
    <w:p>
      <w:pPr>
        <w:spacing w:line="560" w:lineRule="exact"/>
        <w:ind w:firstLine="643"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b/>
          <w:bCs/>
          <w:color w:val="000000" w:themeColor="text1"/>
          <w:sz w:val="32"/>
          <w:szCs w:val="32"/>
          <w14:textFill>
            <w14:solidFill>
              <w14:schemeClr w14:val="tx1"/>
            </w14:solidFill>
          </w14:textFill>
        </w:rPr>
        <w:t>7.1.1</w:t>
      </w:r>
      <w:r>
        <w:rPr>
          <w:rFonts w:hint="eastAsia" w:eastAsia="仿宋_GB2312" w:cs="仿宋_GB2312"/>
          <w:color w:val="000000" w:themeColor="text1"/>
          <w:sz w:val="32"/>
          <w:szCs w:val="32"/>
          <w14:textFill>
            <w14:solidFill>
              <w14:schemeClr w14:val="tx1"/>
            </w14:solidFill>
          </w14:textFill>
        </w:rPr>
        <w:t>按洪涝灾害的严重程度和影响范围，与预警级别相对应，应急响应分Ⅳ级、Ⅲ级、Ⅱ级、1级四级。</w:t>
      </w:r>
    </w:p>
    <w:p>
      <w:pPr>
        <w:pStyle w:val="2"/>
        <w:rPr>
          <w:rFonts w:ascii="Times New Roman" w:hAnsi="Times New Roman" w:eastAsia="仿宋_GB2312"/>
          <w:color w:val="000000" w:themeColor="text1"/>
          <w14:textFill>
            <w14:solidFill>
              <w14:schemeClr w14:val="tx1"/>
            </w14:solidFill>
          </w14:textFill>
        </w:rPr>
      </w:pPr>
      <w:r>
        <w:rPr>
          <w:rFonts w:hint="eastAsia" w:ascii="Times New Roman" w:hAnsi="Times New Roman" w:eastAsia="仿宋_GB2312" w:cs="仿宋_GB2312"/>
          <w:color w:val="000000" w:themeColor="text1"/>
          <w:szCs w:val="32"/>
          <w14:textFill>
            <w14:solidFill>
              <w14:schemeClr w14:val="tx1"/>
            </w14:solidFill>
          </w14:textFill>
        </w:rPr>
        <w:t>应急响应的启动，根据会商分析的结果，由县城区防指决定，县城区防汛办负责发布。</w:t>
      </w:r>
    </w:p>
    <w:p>
      <w:pPr>
        <w:spacing w:line="560" w:lineRule="exact"/>
        <w:ind w:firstLine="643"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b/>
          <w:bCs/>
          <w:color w:val="000000" w:themeColor="text1"/>
          <w:sz w:val="32"/>
          <w:szCs w:val="32"/>
          <w14:textFill>
            <w14:solidFill>
              <w14:schemeClr w14:val="tx1"/>
            </w14:solidFill>
          </w14:textFill>
        </w:rPr>
        <w:t>7.1.2</w:t>
      </w:r>
      <w:r>
        <w:rPr>
          <w:rFonts w:hint="eastAsia" w:eastAsia="仿宋_GB2312" w:cs="仿宋_GB2312"/>
          <w:color w:val="000000" w:themeColor="text1"/>
          <w:sz w:val="32"/>
          <w:szCs w:val="32"/>
          <w14:textFill>
            <w14:solidFill>
              <w14:schemeClr w14:val="tx1"/>
            </w14:solidFill>
          </w14:textFill>
        </w:rPr>
        <w:t>进入汛期，县城区防指应实行24小时值班制度，跟踪掌握水情、工情、灾情，并根据不同情况启动相关预案。水工程管理单位应配合当地防指加强巡查，发现险情立即向县城区防指和主管部门报告，同时采取措施，努力控制险情。县城区防指各成员单位应按照防汛排涝指挥机构的统一部署和职责分工开展工作并及时报告有关工作情况。</w:t>
      </w:r>
    </w:p>
    <w:p>
      <w:pPr>
        <w:spacing w:line="560" w:lineRule="exact"/>
        <w:ind w:firstLine="643"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b/>
          <w:bCs/>
          <w:color w:val="000000" w:themeColor="text1"/>
          <w:sz w:val="32"/>
          <w:szCs w:val="32"/>
          <w14:textFill>
            <w14:solidFill>
              <w14:schemeClr w14:val="tx1"/>
            </w14:solidFill>
          </w14:textFill>
        </w:rPr>
        <w:t>7.1.3</w:t>
      </w:r>
      <w:r>
        <w:rPr>
          <w:rFonts w:hint="eastAsia" w:eastAsia="仿宋_GB2312" w:cs="仿宋_GB2312"/>
          <w:color w:val="000000" w:themeColor="text1"/>
          <w:sz w:val="32"/>
          <w:szCs w:val="32"/>
          <w14:textFill>
            <w14:solidFill>
              <w14:schemeClr w14:val="tx1"/>
            </w14:solidFill>
          </w14:textFill>
        </w:rPr>
        <w:t>洪涝灾害发生后，按照属地管理原则，由当地政府和防汛抗旱指挥机构负责组织实施抗洪抢险、排涝等方面工作。按照权限和职责负责所辖水工程的调度，并向本级政府和县城区防指及时报告情况，重大突发事件可直接向县防指报告。</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47" w:name="_Toc10090"/>
      <w:r>
        <w:rPr>
          <w:rFonts w:hint="eastAsia" w:ascii="楷体_GB2312" w:hAnsi="楷体_GB2312" w:eastAsia="楷体_GB2312" w:cs="楷体_GB2312"/>
          <w:b/>
          <w:bCs/>
          <w:color w:val="000000" w:themeColor="text1"/>
          <w:sz w:val="32"/>
          <w:szCs w:val="32"/>
          <w14:textFill>
            <w14:solidFill>
              <w14:schemeClr w14:val="tx1"/>
            </w14:solidFill>
          </w14:textFill>
        </w:rPr>
        <w:t xml:space="preserve">7.2 </w:t>
      </w:r>
      <w:bookmarkEnd w:id="47"/>
      <w:r>
        <w:rPr>
          <w:rFonts w:hint="eastAsia" w:ascii="楷体_GB2312" w:hAnsi="楷体_GB2312" w:eastAsia="楷体_GB2312" w:cs="楷体_GB2312"/>
          <w:b/>
          <w:bCs/>
          <w:color w:val="000000" w:themeColor="text1"/>
          <w:sz w:val="32"/>
          <w:szCs w:val="32"/>
          <w14:textFill>
            <w14:solidFill>
              <w14:schemeClr w14:val="tx1"/>
            </w14:solidFill>
          </w14:textFill>
        </w:rPr>
        <w:t>应急响应启动与解除</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7</w:t>
      </w:r>
      <w:r>
        <w:rPr>
          <w:rFonts w:ascii="仿宋_GB2312" w:hAnsi="仿宋_GB2312" w:eastAsia="仿宋_GB2312" w:cs="仿宋_GB2312"/>
          <w:b/>
          <w:bCs/>
          <w:color w:val="000000" w:themeColor="text1"/>
          <w:kern w:val="0"/>
          <w:sz w:val="32"/>
          <w:szCs w:val="32"/>
          <w14:textFill>
            <w14:solidFill>
              <w14:schemeClr w14:val="tx1"/>
            </w14:solidFill>
          </w14:textFill>
        </w:rPr>
        <w:t xml:space="preserve">.2.1 </w:t>
      </w:r>
      <w:r>
        <w:rPr>
          <w:rFonts w:hint="eastAsia" w:ascii="仿宋_GB2312" w:hAnsi="仿宋_GB2312" w:eastAsia="仿宋_GB2312" w:cs="仿宋_GB2312"/>
          <w:b/>
          <w:bCs/>
          <w:color w:val="000000" w:themeColor="text1"/>
          <w:kern w:val="0"/>
          <w:sz w:val="32"/>
          <w:szCs w:val="32"/>
          <w14:textFill>
            <w14:solidFill>
              <w14:schemeClr w14:val="tx1"/>
            </w14:solidFill>
          </w14:textFill>
        </w:rPr>
        <w:t>应急响应启动条件</w:t>
      </w:r>
    </w:p>
    <w:p>
      <w:pPr>
        <w:spacing w:line="560" w:lineRule="exact"/>
        <w:ind w:firstLine="643" w:firstLineChars="200"/>
        <w:outlineLvl w:val="2"/>
        <w:rPr>
          <w:rFonts w:eastAsia="仿宋_GB2312" w:cs="仿宋_GB2312"/>
          <w:b/>
          <w:bCs/>
          <w:color w:val="000000" w:themeColor="text1"/>
          <w:sz w:val="32"/>
          <w:szCs w:val="32"/>
          <w14:textFill>
            <w14:solidFill>
              <w14:schemeClr w14:val="tx1"/>
            </w14:solidFill>
          </w14:textFill>
        </w:rPr>
      </w:pPr>
      <w:r>
        <w:rPr>
          <w:rFonts w:hint="eastAsia" w:eastAsia="仿宋_GB2312" w:cs="仿宋_GB2312"/>
          <w:b/>
          <w:bCs/>
          <w:color w:val="000000" w:themeColor="text1"/>
          <w:sz w:val="32"/>
          <w:szCs w:val="32"/>
          <w14:textFill>
            <w14:solidFill>
              <w14:schemeClr w14:val="tx1"/>
            </w14:solidFill>
          </w14:textFill>
        </w:rPr>
        <w:t xml:space="preserve">1.出现下列情况之一者，为Ⅳ级响应条件 </w:t>
      </w:r>
    </w:p>
    <w:p>
      <w:pPr>
        <w:ind w:firstLine="640" w:firstLineChars="200"/>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（1）接到县防指防汛应急Ⅳ级响应；</w:t>
      </w:r>
    </w:p>
    <w:p>
      <w:pPr>
        <w:ind w:firstLine="640" w:firstLineChars="200"/>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（2）县城区道路或低洼区域出现多处积水，影响车辆和人员通行；</w:t>
      </w:r>
    </w:p>
    <w:p>
      <w:pPr>
        <w:widowControl/>
        <w:ind w:firstLine="640" w:firstLineChars="200"/>
        <w:jc w:val="left"/>
        <w:rPr>
          <w:color w:val="000000" w:themeColor="text1"/>
          <w14:textFill>
            <w14:solidFill>
              <w14:schemeClr w14:val="tx1"/>
            </w14:solidFill>
          </w14:textFill>
        </w:rPr>
      </w:pPr>
      <w:r>
        <w:rPr>
          <w:rFonts w:hint="eastAsia"/>
          <w:color w:val="000000" w:themeColor="text1"/>
          <w:kern w:val="0"/>
          <w:sz w:val="32"/>
          <w:szCs w:val="32"/>
          <w14:textFill>
            <w14:solidFill>
              <w14:schemeClr w14:val="tx1"/>
            </w14:solidFill>
          </w14:textFill>
        </w:rPr>
        <w:t>（3</w:t>
      </w:r>
      <w:r>
        <w:rPr>
          <w:rFonts w:hint="eastAsia" w:eastAsia="仿宋_GB2312" w:cs="仿宋_GB2312"/>
          <w:color w:val="000000" w:themeColor="text1"/>
          <w:kern w:val="0"/>
          <w:sz w:val="32"/>
          <w:szCs w:val="32"/>
          <w14:textFill>
            <w14:solidFill>
              <w14:schemeClr w14:val="tx1"/>
            </w14:solidFill>
          </w14:textFill>
        </w:rPr>
        <w:t xml:space="preserve">）其他需要启动Ⅳ级响应的情况。 </w:t>
      </w:r>
    </w:p>
    <w:p>
      <w:pPr>
        <w:spacing w:line="560" w:lineRule="exact"/>
        <w:ind w:firstLine="643" w:firstLineChars="200"/>
        <w:outlineLvl w:val="2"/>
        <w:rPr>
          <w:rFonts w:eastAsia="仿宋_GB2312" w:cs="仿宋_GB2312"/>
          <w:b/>
          <w:bCs/>
          <w:color w:val="000000" w:themeColor="text1"/>
          <w:sz w:val="32"/>
          <w:szCs w:val="32"/>
          <w14:textFill>
            <w14:solidFill>
              <w14:schemeClr w14:val="tx1"/>
            </w14:solidFill>
          </w14:textFill>
        </w:rPr>
      </w:pPr>
      <w:r>
        <w:rPr>
          <w:rFonts w:hint="eastAsia" w:eastAsia="仿宋_GB2312" w:cs="仿宋_GB2312"/>
          <w:b/>
          <w:bCs/>
          <w:color w:val="000000" w:themeColor="text1"/>
          <w:sz w:val="32"/>
          <w:szCs w:val="32"/>
          <w14:textFill>
            <w14:solidFill>
              <w14:schemeClr w14:val="tx1"/>
            </w14:solidFill>
          </w14:textFill>
        </w:rPr>
        <w:t>2.出现下列情况之一者，为Ⅲ级响应条件</w:t>
      </w:r>
    </w:p>
    <w:p>
      <w:pPr>
        <w:widowControl/>
        <w:ind w:firstLine="640" w:firstLineChars="200"/>
        <w:jc w:val="left"/>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（1）接到县防指防汛应急Ⅲ级响应；</w:t>
      </w:r>
    </w:p>
    <w:p>
      <w:pPr>
        <w:widowControl/>
        <w:ind w:firstLine="640" w:firstLineChars="200"/>
        <w:jc w:val="left"/>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（2）县城区道路或低洼区域出现多处大面积积水，严重影响交通，有多处房屋进水；</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（3）其他需要启动Ⅲ级响应的情况。 </w:t>
      </w:r>
    </w:p>
    <w:p>
      <w:pPr>
        <w:spacing w:line="560" w:lineRule="exact"/>
        <w:ind w:firstLine="643" w:firstLineChars="200"/>
        <w:outlineLvl w:val="2"/>
        <w:rPr>
          <w:rFonts w:eastAsia="仿宋_GB2312" w:cs="仿宋_GB2312"/>
          <w:b/>
          <w:bCs/>
          <w:color w:val="000000" w:themeColor="text1"/>
          <w:sz w:val="32"/>
          <w:szCs w:val="32"/>
          <w14:textFill>
            <w14:solidFill>
              <w14:schemeClr w14:val="tx1"/>
            </w14:solidFill>
          </w14:textFill>
        </w:rPr>
      </w:pPr>
      <w:r>
        <w:rPr>
          <w:rFonts w:hint="eastAsia" w:eastAsia="仿宋_GB2312" w:cs="仿宋_GB2312"/>
          <w:b/>
          <w:bCs/>
          <w:color w:val="000000" w:themeColor="text1"/>
          <w:sz w:val="32"/>
          <w:szCs w:val="32"/>
          <w14:textFill>
            <w14:solidFill>
              <w14:schemeClr w14:val="tx1"/>
            </w14:solidFill>
          </w14:textFill>
        </w:rPr>
        <w:t xml:space="preserve">3.出现下列情况之一者，为Ⅱ级响应条件 </w:t>
      </w:r>
    </w:p>
    <w:p>
      <w:pPr>
        <w:spacing w:line="560" w:lineRule="exact"/>
        <w:ind w:firstLine="640" w:firstLineChars="200"/>
        <w:outlineLvl w:val="2"/>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（1）接到县防指防汛应急Ⅱ级响应；</w:t>
      </w:r>
    </w:p>
    <w:p>
      <w:pPr>
        <w:spacing w:line="560" w:lineRule="exact"/>
        <w:ind w:firstLine="640" w:firstLineChars="200"/>
        <w:outlineLvl w:val="2"/>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（2）县城区道路或低洼区域出现多处严重积水，部分主要道路交通瘫痪，多处房屋进水；</w:t>
      </w:r>
    </w:p>
    <w:p>
      <w:pPr>
        <w:spacing w:line="560" w:lineRule="exact"/>
        <w:ind w:firstLine="640" w:firstLineChars="200"/>
        <w:outlineLvl w:val="2"/>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（3）县城区主要行泄河道出现多处倒灌或满溢；</w:t>
      </w:r>
    </w:p>
    <w:p>
      <w:pPr>
        <w:spacing w:line="560" w:lineRule="exact"/>
        <w:ind w:firstLine="640" w:firstLineChars="200"/>
        <w:outlineLvl w:val="2"/>
        <w:rPr>
          <w:rFonts w:eastAsia="仿宋_GB2312" w:cs="仿宋_GB2312"/>
          <w:b/>
          <w:bCs/>
          <w:color w:val="000000" w:themeColor="text1"/>
          <w:sz w:val="32"/>
          <w:szCs w:val="32"/>
          <w14:textFill>
            <w14:solidFill>
              <w14:schemeClr w14:val="tx1"/>
            </w14:solidFill>
          </w14:textFill>
        </w:rPr>
      </w:pPr>
      <w:r>
        <w:rPr>
          <w:rFonts w:hint="eastAsia"/>
          <w:color w:val="000000" w:themeColor="text1"/>
          <w:kern w:val="0"/>
          <w:sz w:val="32"/>
          <w:szCs w:val="32"/>
          <w14:textFill>
            <w14:solidFill>
              <w14:schemeClr w14:val="tx1"/>
            </w14:solidFill>
          </w14:textFill>
        </w:rPr>
        <w:t>（4</w:t>
      </w:r>
      <w:r>
        <w:rPr>
          <w:rFonts w:hint="eastAsia" w:eastAsia="仿宋_GB2312" w:cs="仿宋_GB2312"/>
          <w:color w:val="000000" w:themeColor="text1"/>
          <w:kern w:val="0"/>
          <w:sz w:val="32"/>
          <w:szCs w:val="32"/>
          <w14:textFill>
            <w14:solidFill>
              <w14:schemeClr w14:val="tx1"/>
            </w14:solidFill>
          </w14:textFill>
        </w:rPr>
        <w:t>）其他需要启动</w:t>
      </w:r>
      <w:r>
        <w:rPr>
          <w:rFonts w:hint="eastAsia" w:eastAsia="仿宋_GB2312" w:cs="仿宋_GB2312"/>
          <w:color w:val="000000" w:themeColor="text1"/>
          <w:sz w:val="32"/>
          <w:szCs w:val="32"/>
          <w14:textFill>
            <w14:solidFill>
              <w14:schemeClr w14:val="tx1"/>
            </w14:solidFill>
          </w14:textFill>
        </w:rPr>
        <w:t>Ⅱ</w:t>
      </w:r>
      <w:r>
        <w:rPr>
          <w:rFonts w:hint="eastAsia" w:eastAsia="仿宋_GB2312" w:cs="仿宋_GB2312"/>
          <w:color w:val="000000" w:themeColor="text1"/>
          <w:kern w:val="0"/>
          <w:sz w:val="32"/>
          <w:szCs w:val="32"/>
          <w14:textFill>
            <w14:solidFill>
              <w14:schemeClr w14:val="tx1"/>
            </w14:solidFill>
          </w14:textFill>
        </w:rPr>
        <w:t>级响应的情况。</w:t>
      </w:r>
    </w:p>
    <w:p>
      <w:pPr>
        <w:spacing w:line="560" w:lineRule="exact"/>
        <w:ind w:firstLine="643" w:firstLineChars="200"/>
        <w:outlineLvl w:val="2"/>
        <w:rPr>
          <w:rFonts w:eastAsia="仿宋_GB2312" w:cs="仿宋_GB2312"/>
          <w:b/>
          <w:bCs/>
          <w:color w:val="000000" w:themeColor="text1"/>
          <w:sz w:val="32"/>
          <w:szCs w:val="32"/>
          <w14:textFill>
            <w14:solidFill>
              <w14:schemeClr w14:val="tx1"/>
            </w14:solidFill>
          </w14:textFill>
        </w:rPr>
      </w:pPr>
      <w:r>
        <w:rPr>
          <w:rFonts w:hint="eastAsia" w:eastAsia="仿宋_GB2312" w:cs="仿宋_GB2312"/>
          <w:b/>
          <w:bCs/>
          <w:color w:val="000000" w:themeColor="text1"/>
          <w:sz w:val="32"/>
          <w:szCs w:val="32"/>
          <w14:textFill>
            <w14:solidFill>
              <w14:schemeClr w14:val="tx1"/>
            </w14:solidFill>
          </w14:textFill>
        </w:rPr>
        <w:t xml:space="preserve">4.出现下列情况之一者，为Ⅰ级响应条件 </w:t>
      </w:r>
    </w:p>
    <w:p>
      <w:pPr>
        <w:widowControl/>
        <w:ind w:firstLine="640" w:firstLineChars="200"/>
        <w:jc w:val="left"/>
        <w:outlineLvl w:val="1"/>
        <w:rPr>
          <w:rFonts w:eastAsia="仿宋_GB2312" w:cs="仿宋_GB2312"/>
          <w:color w:val="000000" w:themeColor="text1"/>
          <w:kern w:val="0"/>
          <w:sz w:val="32"/>
          <w:szCs w:val="32"/>
          <w14:textFill>
            <w14:solidFill>
              <w14:schemeClr w14:val="tx1"/>
            </w14:solidFill>
          </w14:textFill>
        </w:rPr>
      </w:pPr>
      <w:bookmarkStart w:id="48" w:name="_Toc1026"/>
      <w:r>
        <w:rPr>
          <w:rFonts w:hint="eastAsia" w:eastAsia="仿宋_GB2312" w:cs="仿宋_GB2312"/>
          <w:color w:val="000000" w:themeColor="text1"/>
          <w:kern w:val="0"/>
          <w:sz w:val="32"/>
          <w:szCs w:val="32"/>
          <w14:textFill>
            <w14:solidFill>
              <w14:schemeClr w14:val="tx1"/>
            </w14:solidFill>
          </w14:textFill>
        </w:rPr>
        <w:t>（1）接到县防指防汛应急I级响应；</w:t>
      </w:r>
    </w:p>
    <w:p>
      <w:pPr>
        <w:widowControl/>
        <w:ind w:firstLine="640" w:firstLineChars="200"/>
        <w:jc w:val="left"/>
        <w:outlineLvl w:val="1"/>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（2）县城区出现严重内涝，主要道路交通大面积瘫痪；</w:t>
      </w:r>
    </w:p>
    <w:p>
      <w:pPr>
        <w:pStyle w:val="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kern w:val="0"/>
          <w:szCs w:val="32"/>
          <w14:textFill>
            <w14:solidFill>
              <w14:schemeClr w14:val="tx1"/>
            </w14:solidFill>
          </w14:textFill>
        </w:rPr>
        <w:t>（3</w:t>
      </w:r>
      <w:r>
        <w:rPr>
          <w:rFonts w:hint="eastAsia" w:ascii="Times New Roman" w:hAnsi="Times New Roman" w:eastAsia="仿宋_GB2312" w:cs="仿宋_GB2312"/>
          <w:color w:val="000000" w:themeColor="text1"/>
          <w:kern w:val="0"/>
          <w:szCs w:val="32"/>
          <w14:textFill>
            <w14:solidFill>
              <w14:schemeClr w14:val="tx1"/>
            </w14:solidFill>
          </w14:textFill>
        </w:rPr>
        <w:t>）其他需要启动</w:t>
      </w:r>
      <w:r>
        <w:rPr>
          <w:rFonts w:hint="eastAsia" w:ascii="Times New Roman" w:hAnsi="Times New Roman" w:eastAsia="仿宋_GB2312" w:cs="仿宋_GB2312"/>
          <w:b/>
          <w:bCs/>
          <w:color w:val="000000" w:themeColor="text1"/>
          <w:szCs w:val="32"/>
          <w14:textFill>
            <w14:solidFill>
              <w14:schemeClr w14:val="tx1"/>
            </w14:solidFill>
          </w14:textFill>
        </w:rPr>
        <w:t>Ⅰ</w:t>
      </w:r>
      <w:r>
        <w:rPr>
          <w:rFonts w:hint="eastAsia" w:ascii="Times New Roman" w:hAnsi="Times New Roman" w:eastAsia="仿宋_GB2312" w:cs="仿宋_GB2312"/>
          <w:color w:val="000000" w:themeColor="text1"/>
          <w:kern w:val="0"/>
          <w:szCs w:val="32"/>
          <w14:textFill>
            <w14:solidFill>
              <w14:schemeClr w14:val="tx1"/>
            </w14:solidFill>
          </w14:textFill>
        </w:rPr>
        <w:t>级响应的情况。</w:t>
      </w:r>
    </w:p>
    <w:bookmarkEnd w:id="48"/>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bookmarkStart w:id="49" w:name="_Toc5840"/>
      <w:r>
        <w:rPr>
          <w:rFonts w:hint="eastAsia" w:ascii="仿宋_GB2312" w:hAnsi="仿宋_GB2312" w:eastAsia="仿宋_GB2312" w:cs="仿宋_GB2312"/>
          <w:b/>
          <w:bCs/>
          <w:color w:val="000000" w:themeColor="text1"/>
          <w:kern w:val="0"/>
          <w:sz w:val="32"/>
          <w:szCs w:val="32"/>
          <w14:textFill>
            <w14:solidFill>
              <w14:schemeClr w14:val="tx1"/>
            </w14:solidFill>
          </w14:textFill>
        </w:rPr>
        <w:t>7.2.2 应急响应解除条件</w:t>
      </w:r>
    </w:p>
    <w:p>
      <w:pPr>
        <w:widowControl/>
        <w:ind w:firstLine="640" w:firstLineChars="200"/>
        <w:jc w:val="left"/>
        <w:outlineLvl w:val="1"/>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当城区主要河流险情得到有效控制，并预报无较大汛情时，县城区防指按规定的权限宣布解除对应的响应。</w:t>
      </w:r>
    </w:p>
    <w:p>
      <w:pPr>
        <w:widowControl/>
        <w:ind w:firstLine="643" w:firstLineChars="200"/>
        <w:jc w:val="left"/>
        <w:rPr>
          <w:rFonts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7</w:t>
      </w:r>
      <w:r>
        <w:rPr>
          <w:rFonts w:ascii="楷体_GB2312" w:hAnsi="楷体_GB2312" w:eastAsia="楷体_GB2312" w:cs="楷体_GB2312"/>
          <w:b/>
          <w:bCs/>
          <w:color w:val="000000" w:themeColor="text1"/>
          <w:sz w:val="32"/>
          <w:szCs w:val="32"/>
          <w14:textFill>
            <w14:solidFill>
              <w14:schemeClr w14:val="tx1"/>
            </w14:solidFill>
          </w14:textFill>
        </w:rPr>
        <w:t>.</w:t>
      </w:r>
      <w:r>
        <w:rPr>
          <w:rFonts w:hint="eastAsia" w:ascii="楷体_GB2312" w:hAnsi="楷体_GB2312" w:eastAsia="楷体_GB2312" w:cs="楷体_GB2312"/>
          <w:b/>
          <w:bCs/>
          <w:color w:val="000000" w:themeColor="text1"/>
          <w:sz w:val="32"/>
          <w:szCs w:val="32"/>
          <w14:textFill>
            <w14:solidFill>
              <w14:schemeClr w14:val="tx1"/>
            </w14:solidFill>
          </w14:textFill>
        </w:rPr>
        <w:t>3应急响应行动</w:t>
      </w:r>
      <w:bookmarkEnd w:id="49"/>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7</w:t>
      </w:r>
      <w:r>
        <w:rPr>
          <w:rFonts w:ascii="仿宋_GB2312" w:hAnsi="仿宋_GB2312" w:eastAsia="仿宋_GB2312" w:cs="仿宋_GB2312"/>
          <w:b/>
          <w:bCs/>
          <w:color w:val="000000" w:themeColor="text1"/>
          <w:kern w:val="0"/>
          <w:sz w:val="32"/>
          <w:szCs w:val="32"/>
          <w14:textFill>
            <w14:solidFill>
              <w14:schemeClr w14:val="tx1"/>
            </w14:solidFill>
          </w14:textFill>
        </w:rPr>
        <w:t>.</w:t>
      </w:r>
      <w:r>
        <w:rPr>
          <w:rFonts w:hint="eastAsia" w:ascii="仿宋_GB2312" w:hAnsi="仿宋_GB2312" w:eastAsia="仿宋_GB2312" w:cs="仿宋_GB2312"/>
          <w:b/>
          <w:bCs/>
          <w:color w:val="000000" w:themeColor="text1"/>
          <w:kern w:val="0"/>
          <w:sz w:val="32"/>
          <w:szCs w:val="32"/>
          <w14:textFill>
            <w14:solidFill>
              <w14:schemeClr w14:val="tx1"/>
            </w14:solidFill>
          </w14:textFill>
        </w:rPr>
        <w:t>3</w:t>
      </w:r>
      <w:r>
        <w:rPr>
          <w:rFonts w:ascii="仿宋_GB2312" w:hAnsi="仿宋_GB2312" w:eastAsia="仿宋_GB2312" w:cs="仿宋_GB2312"/>
          <w:b/>
          <w:bCs/>
          <w:color w:val="000000" w:themeColor="text1"/>
          <w:kern w:val="0"/>
          <w:sz w:val="32"/>
          <w:szCs w:val="32"/>
          <w14:textFill>
            <w14:solidFill>
              <w14:schemeClr w14:val="tx1"/>
            </w14:solidFill>
          </w14:textFill>
        </w:rPr>
        <w:t>.1</w:t>
      </w:r>
      <w:r>
        <w:rPr>
          <w:rFonts w:hint="eastAsia" w:ascii="仿宋_GB2312" w:hAnsi="仿宋_GB2312" w:eastAsia="仿宋_GB2312" w:cs="仿宋_GB2312"/>
          <w:b/>
          <w:bCs/>
          <w:color w:val="000000" w:themeColor="text1"/>
          <w:kern w:val="0"/>
          <w:sz w:val="32"/>
          <w:szCs w:val="32"/>
          <w14:textFill>
            <w14:solidFill>
              <w14:schemeClr w14:val="tx1"/>
            </w14:solidFill>
          </w14:textFill>
        </w:rPr>
        <w:t>Ⅳ</w:t>
      </w:r>
      <w:r>
        <w:rPr>
          <w:rFonts w:ascii="仿宋_GB2312" w:hAnsi="仿宋_GB2312" w:eastAsia="仿宋_GB2312" w:cs="仿宋_GB2312"/>
          <w:b/>
          <w:bCs/>
          <w:color w:val="000000" w:themeColor="text1"/>
          <w:kern w:val="0"/>
          <w:sz w:val="32"/>
          <w:szCs w:val="32"/>
          <w14:textFill>
            <w14:solidFill>
              <w14:schemeClr w14:val="tx1"/>
            </w14:solidFill>
          </w14:textFill>
        </w:rPr>
        <w:t xml:space="preserve">级响应行动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1</w:t>
      </w:r>
      <w:r>
        <w:rPr>
          <w:rFonts w:hint="eastAsia" w:eastAsia="仿宋_GB2312" w:cs="仿宋_GB2312"/>
          <w:color w:val="000000" w:themeColor="text1"/>
          <w:kern w:val="0"/>
          <w:sz w:val="32"/>
          <w:szCs w:val="32"/>
          <w14:textFill>
            <w14:solidFill>
              <w14:schemeClr w14:val="tx1"/>
            </w14:solidFill>
          </w14:textFill>
        </w:rPr>
        <w:t xml:space="preserve">）县城区防汛办负责人主持会商，作出相应工作安排，加强汛情的监视和防汛排涝工作的指导，并将情况上报县城区防指领导和县防指。县城区防汛办视情派出工作组赴一线指导防汛排涝工作。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（2）水利部门和有关水工程管理单位应密切监视城区汛情， 按职责加强对各类水工程巡逻查险，并将巡查情况上报县城区防指和上级主管部门。气象部门加强天气形势 和雨情预报分析。住建、城管部门开展建筑工地、易涝点安 全排查，做好供水、供气应急抢修准备。县城区防指其他成员单位 根据本单位职责与应急预案落实相关工作措施。 </w:t>
      </w:r>
    </w:p>
    <w:p>
      <w:pPr>
        <w:widowControl/>
        <w:ind w:firstLine="640" w:firstLineChars="200"/>
        <w:jc w:val="left"/>
        <w:rPr>
          <w:rFonts w:eastAsia="仿宋_GB2312" w:cs="仿宋_GB2312"/>
          <w:color w:val="000000" w:themeColor="text1"/>
          <w:kern w:val="0"/>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w:t>
      </w:r>
      <w:r>
        <w:rPr>
          <w:rFonts w:eastAsia="仿宋_GB2312" w:cs="仿宋_GB2312"/>
          <w:color w:val="000000" w:themeColor="text1"/>
          <w:kern w:val="0"/>
          <w:sz w:val="32"/>
          <w:szCs w:val="32"/>
          <w14:textFill>
            <w14:solidFill>
              <w14:schemeClr w14:val="tx1"/>
            </w14:solidFill>
          </w14:textFill>
        </w:rPr>
        <w:t>3</w:t>
      </w:r>
      <w:r>
        <w:rPr>
          <w:rFonts w:hint="eastAsia" w:eastAsia="仿宋_GB2312" w:cs="仿宋_GB2312"/>
          <w:color w:val="000000" w:themeColor="text1"/>
          <w:kern w:val="0"/>
          <w:sz w:val="32"/>
          <w:szCs w:val="32"/>
          <w14:textFill>
            <w14:solidFill>
              <w14:schemeClr w14:val="tx1"/>
            </w14:solidFill>
          </w14:textFill>
        </w:rPr>
        <w:t xml:space="preserve">）县城区防指按职责承担本区域的防汛排涝工作，按规定全力做好转移危险区群众、组织巡查防守、开机排涝等工作，并将工作情况报县政府和县防指。当防洪工程、设施出现险情时，县城区防指或属地政府应立即组织抢险。 </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7</w:t>
      </w:r>
      <w:r>
        <w:rPr>
          <w:rFonts w:ascii="仿宋_GB2312" w:hAnsi="仿宋_GB2312" w:eastAsia="仿宋_GB2312" w:cs="仿宋_GB2312"/>
          <w:b/>
          <w:bCs/>
          <w:color w:val="000000" w:themeColor="text1"/>
          <w:kern w:val="0"/>
          <w:sz w:val="32"/>
          <w:szCs w:val="32"/>
          <w14:textFill>
            <w14:solidFill>
              <w14:schemeClr w14:val="tx1"/>
            </w14:solidFill>
          </w14:textFill>
        </w:rPr>
        <w:t>.</w:t>
      </w:r>
      <w:r>
        <w:rPr>
          <w:rFonts w:hint="eastAsia" w:ascii="仿宋_GB2312" w:hAnsi="仿宋_GB2312" w:eastAsia="仿宋_GB2312" w:cs="仿宋_GB2312"/>
          <w:b/>
          <w:bCs/>
          <w:color w:val="000000" w:themeColor="text1"/>
          <w:kern w:val="0"/>
          <w:sz w:val="32"/>
          <w:szCs w:val="32"/>
          <w14:textFill>
            <w14:solidFill>
              <w14:schemeClr w14:val="tx1"/>
            </w14:solidFill>
          </w14:textFill>
        </w:rPr>
        <w:t>3</w:t>
      </w:r>
      <w:r>
        <w:rPr>
          <w:rFonts w:ascii="仿宋_GB2312" w:hAnsi="仿宋_GB2312" w:eastAsia="仿宋_GB2312" w:cs="仿宋_GB2312"/>
          <w:b/>
          <w:bCs/>
          <w:color w:val="000000" w:themeColor="text1"/>
          <w:kern w:val="0"/>
          <w:sz w:val="32"/>
          <w:szCs w:val="32"/>
          <w14:textFill>
            <w14:solidFill>
              <w14:schemeClr w14:val="tx1"/>
            </w14:solidFill>
          </w14:textFill>
        </w:rPr>
        <w:t>.2</w:t>
      </w:r>
      <w:r>
        <w:rPr>
          <w:rFonts w:hint="eastAsia" w:ascii="仿宋_GB2312" w:hAnsi="仿宋_GB2312" w:eastAsia="仿宋_GB2312" w:cs="仿宋_GB2312"/>
          <w:b/>
          <w:bCs/>
          <w:color w:val="000000" w:themeColor="text1"/>
          <w:kern w:val="0"/>
          <w:sz w:val="32"/>
          <w:szCs w:val="32"/>
          <w14:textFill>
            <w14:solidFill>
              <w14:schemeClr w14:val="tx1"/>
            </w14:solidFill>
          </w14:textFill>
        </w:rPr>
        <w:t xml:space="preserve">Ⅲ级响应行动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1</w:t>
      </w:r>
      <w:r>
        <w:rPr>
          <w:rFonts w:hint="eastAsia" w:eastAsia="仿宋_GB2312" w:cs="仿宋_GB2312"/>
          <w:color w:val="000000" w:themeColor="text1"/>
          <w:kern w:val="0"/>
          <w:sz w:val="32"/>
          <w:szCs w:val="32"/>
          <w14:textFill>
            <w14:solidFill>
              <w14:schemeClr w14:val="tx1"/>
            </w14:solidFill>
          </w14:textFill>
        </w:rPr>
        <w:t xml:space="preserve">）县城区防汛办负责人主持会商，作出相应工作安排，密切监视汛情发展趋势，加强对防汛排涝工作的指导，尽快将情况上报县政府和县防指，并通报县城区防指成员单位。参加人员包括应急、水利、气象等与防汛排涝工作关系密切的单位负责人。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2）水利部门和有关水工程管理单位按照权限进行调度，将城区洪涝灾害可能明显影响地区的河流水位降到规定水位以下。气象部门加强水情、雨情和天气形势等监测预报分析，并根据情况安排技术骨干到防办联合值守。自然资源部门协助地方做好受地质灾害威胁人员转移准备工作。住建、城管部门开展建筑工地、易涝点安全排查，做好适时停工和撤离人员准备，做好供水、供气应急抢修准备。应急部门做好抢险救灾准备工作。县城区防指其他成员单位根据本单位职责与应急预案落实相关工作措施。</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3</w:t>
      </w:r>
      <w:r>
        <w:rPr>
          <w:rFonts w:hint="eastAsia" w:eastAsia="仿宋_GB2312" w:cs="仿宋_GB2312"/>
          <w:color w:val="000000" w:themeColor="text1"/>
          <w:kern w:val="0"/>
          <w:sz w:val="32"/>
          <w:szCs w:val="32"/>
          <w14:textFill>
            <w14:solidFill>
              <w14:schemeClr w14:val="tx1"/>
            </w14:solidFill>
          </w14:textFill>
        </w:rPr>
        <w:t xml:space="preserve">）可在县政府网站或县广播电视台等媒体发布《汛情通告》，县城区防指视情派出工作组赴一线指导防汛排涝工作。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4）县城区防指可视情依法宣布本地区进入紧急防汛期。县城区防指应按职责承担本区域的防汛排涝工作，按规定全力做好转移城区危险区群众、组织巡查防守、开机排涝等工作，并将工作情况报县政府和县防指。</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5</w:t>
      </w:r>
      <w:r>
        <w:rPr>
          <w:rFonts w:hint="eastAsia" w:eastAsia="仿宋_GB2312" w:cs="仿宋_GB2312"/>
          <w:color w:val="000000" w:themeColor="text1"/>
          <w:kern w:val="0"/>
          <w:sz w:val="32"/>
          <w:szCs w:val="32"/>
          <w14:textFill>
            <w14:solidFill>
              <w14:schemeClr w14:val="tx1"/>
            </w14:solidFill>
          </w14:textFill>
        </w:rPr>
        <w:t xml:space="preserve">）当防洪工程、设施出现险情时，属地政府应立即成立现场抢险指挥机构组织抢险，并提前安全转移可能受洪水威胁的群众；必要时，按照规定申请组织解放军、武警部队、综合性消防救援队伍参加抗洪抢险和人员转移，上一级防指派出专家组赴现场指导抢险工作。 </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7</w:t>
      </w:r>
      <w:r>
        <w:rPr>
          <w:rFonts w:ascii="仿宋_GB2312" w:hAnsi="仿宋_GB2312" w:eastAsia="仿宋_GB2312" w:cs="仿宋_GB2312"/>
          <w:b/>
          <w:bCs/>
          <w:color w:val="000000" w:themeColor="text1"/>
          <w:kern w:val="0"/>
          <w:sz w:val="32"/>
          <w:szCs w:val="32"/>
          <w14:textFill>
            <w14:solidFill>
              <w14:schemeClr w14:val="tx1"/>
            </w14:solidFill>
          </w14:textFill>
        </w:rPr>
        <w:t>.</w:t>
      </w:r>
      <w:r>
        <w:rPr>
          <w:rFonts w:hint="eastAsia" w:ascii="仿宋_GB2312" w:hAnsi="仿宋_GB2312" w:eastAsia="仿宋_GB2312" w:cs="仿宋_GB2312"/>
          <w:b/>
          <w:bCs/>
          <w:color w:val="000000" w:themeColor="text1"/>
          <w:kern w:val="0"/>
          <w:sz w:val="32"/>
          <w:szCs w:val="32"/>
          <w14:textFill>
            <w14:solidFill>
              <w14:schemeClr w14:val="tx1"/>
            </w14:solidFill>
          </w14:textFill>
        </w:rPr>
        <w:t>3</w:t>
      </w:r>
      <w:r>
        <w:rPr>
          <w:rFonts w:ascii="仿宋_GB2312" w:hAnsi="仿宋_GB2312" w:eastAsia="仿宋_GB2312" w:cs="仿宋_GB2312"/>
          <w:b/>
          <w:bCs/>
          <w:color w:val="000000" w:themeColor="text1"/>
          <w:kern w:val="0"/>
          <w:sz w:val="32"/>
          <w:szCs w:val="32"/>
          <w14:textFill>
            <w14:solidFill>
              <w14:schemeClr w14:val="tx1"/>
            </w14:solidFill>
          </w14:textFill>
        </w:rPr>
        <w:t>.3</w:t>
      </w:r>
      <w:r>
        <w:rPr>
          <w:rFonts w:hint="eastAsia" w:ascii="仿宋_GB2312" w:hAnsi="仿宋_GB2312" w:eastAsia="仿宋_GB2312" w:cs="仿宋_GB2312"/>
          <w:b/>
          <w:bCs/>
          <w:color w:val="000000" w:themeColor="text1"/>
          <w:kern w:val="0"/>
          <w:sz w:val="32"/>
          <w:szCs w:val="32"/>
          <w14:textFill>
            <w14:solidFill>
              <w14:schemeClr w14:val="tx1"/>
            </w14:solidFill>
          </w14:textFill>
        </w:rPr>
        <w:t xml:space="preserve">Ⅱ级响应行动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1</w:t>
      </w:r>
      <w:r>
        <w:rPr>
          <w:rFonts w:hint="eastAsia" w:eastAsia="仿宋_GB2312" w:cs="仿宋_GB2312"/>
          <w:color w:val="000000" w:themeColor="text1"/>
          <w:kern w:val="0"/>
          <w:sz w:val="32"/>
          <w:szCs w:val="32"/>
          <w14:textFill>
            <w14:solidFill>
              <w14:schemeClr w14:val="tx1"/>
            </w14:solidFill>
          </w14:textFill>
        </w:rPr>
        <w:t xml:space="preserve">）县城区防指指挥长主持会商，防指全体成员参加，作出相应工作部署，加强防汛排涝工作的指导。按权限调度防洪工程；根据预案转移危险地区群众，组织强化巡堤查险和堤防防守，及时控制险情。尽快将情况上报县政府和县防指，通报县城区防指成员单位，必要时由县政府召开专题会议听取汇报并作出工作部署。县城区防汛办负责同志带班，实行 </w:t>
      </w:r>
      <w:r>
        <w:rPr>
          <w:color w:val="000000" w:themeColor="text1"/>
          <w:kern w:val="0"/>
          <w:sz w:val="32"/>
          <w:szCs w:val="32"/>
          <w14:textFill>
            <w14:solidFill>
              <w14:schemeClr w14:val="tx1"/>
            </w14:solidFill>
          </w14:textFill>
        </w:rPr>
        <w:t xml:space="preserve">24 </w:t>
      </w:r>
      <w:r>
        <w:rPr>
          <w:rFonts w:hint="eastAsia" w:eastAsia="仿宋_GB2312" w:cs="仿宋_GB2312"/>
          <w:color w:val="000000" w:themeColor="text1"/>
          <w:kern w:val="0"/>
          <w:sz w:val="32"/>
          <w:szCs w:val="32"/>
          <w14:textFill>
            <w14:solidFill>
              <w14:schemeClr w14:val="tx1"/>
            </w14:solidFill>
          </w14:textFill>
        </w:rPr>
        <w:t xml:space="preserve">小时应急值守，跟踪掌握雨水情、汛情、工情、险情和灾情，及时做好信息汇总报告、后勤保障等工作。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2）水利部门和有关水工程管理单位严密监视各类水工程运行，发现问题及时派出工作组处理；派出技术指导小组协助地方应急抢险。气象部门实时分析预报水情、雨情、和天气形势等，安排技术骨干到防办联合值守。自然资源部门协助城区做好受地质灾害威胁人员转移。住建、城管 部门开展建筑工地、易涝点安全排查，适时停工和撤离人员，做好供水、供气应急抢修准备。交通部门适时进行交通管制，配合做好抢险车辆快速通行。应急部门组织力量适时抢险救灾。防指其他成员单位根据本单位职责与应急预案落实相关工作措施。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3</w:t>
      </w:r>
      <w:r>
        <w:rPr>
          <w:rFonts w:hint="eastAsia" w:eastAsia="仿宋_GB2312" w:cs="仿宋_GB2312"/>
          <w:color w:val="000000" w:themeColor="text1"/>
          <w:kern w:val="0"/>
          <w:sz w:val="32"/>
          <w:szCs w:val="32"/>
          <w14:textFill>
            <w14:solidFill>
              <w14:schemeClr w14:val="tx1"/>
            </w14:solidFill>
          </w14:textFill>
        </w:rPr>
        <w:t xml:space="preserve">）可定期在县政府网站或县广播电视台等媒体发布《汛情通告》。按照《防洪法》等规定，可视情宣布县城区进入紧急防汛期，县城区防指派出工作组、专家组赴一线指导防汛排涝工作。县城区防指成员单位按照职责分工做 好相关工作。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（4）县城区防指启动防洪应急预案，视情依法宣布县城区进入紧急防汛期，全面承担本区域的防汛排涝工作，并将工作情况报县政府和县防指，属地政府应做好防汛排涝和抗灾救灾工作。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5</w:t>
      </w:r>
      <w:r>
        <w:rPr>
          <w:rFonts w:hint="eastAsia" w:eastAsia="仿宋_GB2312" w:cs="仿宋_GB2312"/>
          <w:color w:val="000000" w:themeColor="text1"/>
          <w:kern w:val="0"/>
          <w:sz w:val="32"/>
          <w:szCs w:val="32"/>
          <w14:textFill>
            <w14:solidFill>
              <w14:schemeClr w14:val="tx1"/>
            </w14:solidFill>
          </w14:textFill>
        </w:rPr>
        <w:t>）当防洪工程、设施出现险情时，属地政府应立即成立现场抢险指挥机构组织抢险，并提前安全转移可能受洪水威胁的群众；必要时，按照规定申请组织解放军、武警部队、综合性消防救援队伍参加抗洪抢险和人员转移，上一级防指派出专家组赴现场指导抢险工作。</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7</w:t>
      </w:r>
      <w:r>
        <w:rPr>
          <w:rFonts w:ascii="仿宋_GB2312" w:hAnsi="仿宋_GB2312" w:eastAsia="仿宋_GB2312" w:cs="仿宋_GB2312"/>
          <w:b/>
          <w:bCs/>
          <w:color w:val="000000" w:themeColor="text1"/>
          <w:kern w:val="0"/>
          <w:sz w:val="32"/>
          <w:szCs w:val="32"/>
          <w14:textFill>
            <w14:solidFill>
              <w14:schemeClr w14:val="tx1"/>
            </w14:solidFill>
          </w14:textFill>
        </w:rPr>
        <w:t>.</w:t>
      </w:r>
      <w:r>
        <w:rPr>
          <w:rFonts w:hint="eastAsia" w:ascii="仿宋_GB2312" w:hAnsi="仿宋_GB2312" w:eastAsia="仿宋_GB2312" w:cs="仿宋_GB2312"/>
          <w:b/>
          <w:bCs/>
          <w:color w:val="000000" w:themeColor="text1"/>
          <w:kern w:val="0"/>
          <w:sz w:val="32"/>
          <w:szCs w:val="32"/>
          <w14:textFill>
            <w14:solidFill>
              <w14:schemeClr w14:val="tx1"/>
            </w14:solidFill>
          </w14:textFill>
        </w:rPr>
        <w:t>3</w:t>
      </w:r>
      <w:r>
        <w:rPr>
          <w:rFonts w:ascii="仿宋_GB2312" w:hAnsi="仿宋_GB2312" w:eastAsia="仿宋_GB2312" w:cs="仿宋_GB2312"/>
          <w:b/>
          <w:bCs/>
          <w:color w:val="000000" w:themeColor="text1"/>
          <w:kern w:val="0"/>
          <w:sz w:val="32"/>
          <w:szCs w:val="32"/>
          <w14:textFill>
            <w14:solidFill>
              <w14:schemeClr w14:val="tx1"/>
            </w14:solidFill>
          </w14:textFill>
        </w:rPr>
        <w:t xml:space="preserve">.4 I </w:t>
      </w:r>
      <w:r>
        <w:rPr>
          <w:rFonts w:hint="eastAsia" w:ascii="仿宋_GB2312" w:hAnsi="仿宋_GB2312" w:eastAsia="仿宋_GB2312" w:cs="仿宋_GB2312"/>
          <w:b/>
          <w:bCs/>
          <w:color w:val="000000" w:themeColor="text1"/>
          <w:kern w:val="0"/>
          <w:sz w:val="32"/>
          <w:szCs w:val="32"/>
          <w14:textFill>
            <w14:solidFill>
              <w14:schemeClr w14:val="tx1"/>
            </w14:solidFill>
          </w14:textFill>
        </w:rPr>
        <w:t xml:space="preserve">级响应行动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1</w:t>
      </w:r>
      <w:r>
        <w:rPr>
          <w:rFonts w:hint="eastAsia" w:eastAsia="仿宋_GB2312" w:cs="仿宋_GB2312"/>
          <w:color w:val="000000" w:themeColor="text1"/>
          <w:kern w:val="0"/>
          <w:sz w:val="32"/>
          <w:szCs w:val="32"/>
          <w14:textFill>
            <w14:solidFill>
              <w14:schemeClr w14:val="tx1"/>
            </w14:solidFill>
          </w14:textFill>
        </w:rPr>
        <w:t xml:space="preserve">）县城区防指指挥长组织会商，防指全体成员参加，作出工作部署，工作情况及时上报县委、县政府和县防指；必要时，提请县委、县政府作出工作部署；依法宣布进入紧急防汛期。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2</w:t>
      </w:r>
      <w:r>
        <w:rPr>
          <w:rFonts w:hint="eastAsia" w:eastAsia="仿宋_GB2312" w:cs="仿宋_GB2312"/>
          <w:color w:val="000000" w:themeColor="text1"/>
          <w:kern w:val="0"/>
          <w:sz w:val="32"/>
          <w:szCs w:val="32"/>
          <w14:textFill>
            <w14:solidFill>
              <w14:schemeClr w14:val="tx1"/>
            </w14:solidFill>
          </w14:textFill>
        </w:rPr>
        <w:t xml:space="preserve">）可每天在县政府网站或县广播电视台等媒体发布《汛情通告》，宣传报道汛情及抗洪抢险行动情况；县城区防指适时组织召开新闻发布会。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3</w:t>
      </w:r>
      <w:r>
        <w:rPr>
          <w:rFonts w:hint="eastAsia" w:eastAsia="仿宋_GB2312" w:cs="仿宋_GB2312"/>
          <w:color w:val="000000" w:themeColor="text1"/>
          <w:kern w:val="0"/>
          <w:sz w:val="32"/>
          <w:szCs w:val="32"/>
          <w14:textFill>
            <w14:solidFill>
              <w14:schemeClr w14:val="tx1"/>
            </w14:solidFill>
          </w14:textFill>
        </w:rPr>
        <w:t xml:space="preserve">）县城区防指视情提请县委、县政府派出督查组赴县城区重灾区督导防洪救灾工作，县城区防指派出工作组、专家组赴一线指导防汛排涝工作；协调解放军、武警部队、综合性消防救援队伍参加抗洪抢险；按权限调度防洪工程；督促地方政府根据预案转移危险地区群众，组织强化巡查防守、抗洪抢险；县城区防指相关成员单位应积极做好应急物资、应急资金、用电指标、交通运输、受灾救助、疾病防控、环境监控等保障工作。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4</w:t>
      </w:r>
      <w:r>
        <w:rPr>
          <w:rFonts w:hint="eastAsia" w:eastAsia="仿宋_GB2312" w:cs="仿宋_GB2312"/>
          <w:color w:val="000000" w:themeColor="text1"/>
          <w:kern w:val="0"/>
          <w:sz w:val="32"/>
          <w:szCs w:val="32"/>
          <w14:textFill>
            <w14:solidFill>
              <w14:schemeClr w14:val="tx1"/>
            </w14:solidFill>
          </w14:textFill>
        </w:rPr>
        <w:t xml:space="preserve">）县城区防指全面启动防洪应急预案，依法宣布进入紧急防汛期，工作情况及时报县防指；受灾的属地政府党政主要负责同志应赴一线指挥，县城区防指负责同志、成员单位负责同志，应按照职责组织指挥城区防汛排涝工作。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5</w:t>
      </w:r>
      <w:r>
        <w:rPr>
          <w:rFonts w:hint="eastAsia" w:eastAsia="仿宋_GB2312" w:cs="仿宋_GB2312"/>
          <w:color w:val="000000" w:themeColor="text1"/>
          <w:kern w:val="0"/>
          <w:sz w:val="32"/>
          <w:szCs w:val="32"/>
          <w14:textFill>
            <w14:solidFill>
              <w14:schemeClr w14:val="tx1"/>
            </w14:solidFill>
          </w14:textFill>
        </w:rPr>
        <w:t>）当防洪工程、设施出现险情时，属地地政府应立即成立现场抢险指挥机构，全力组织抢险，并提前安全转移 可能受洪水威胁的群众；必要时，按照规定申请组织解放军、武警部队、综合性消防救援队伍参加抗洪抢险和人员转移；省防指领导到现场督查指导抢险工作，并派出专家组进行技术指导。</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50" w:name="_Toc17552"/>
      <w:r>
        <w:rPr>
          <w:rFonts w:hint="eastAsia" w:ascii="楷体_GB2312" w:hAnsi="楷体_GB2312" w:eastAsia="楷体_GB2312" w:cs="楷体_GB2312"/>
          <w:b/>
          <w:bCs/>
          <w:color w:val="000000" w:themeColor="text1"/>
          <w:sz w:val="32"/>
          <w:szCs w:val="32"/>
          <w14:textFill>
            <w14:solidFill>
              <w14:schemeClr w14:val="tx1"/>
            </w14:solidFill>
          </w14:textFill>
        </w:rPr>
        <w:t>7.4响应措施</w:t>
      </w:r>
      <w:bookmarkEnd w:id="50"/>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7.4.1 河道洪水</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w:t>
      </w:r>
      <w:r>
        <w:rPr>
          <w:rFonts w:hint="eastAsia" w:eastAsia="仿宋_GB2312" w:cs="仿宋_GB2312"/>
          <w:color w:val="000000" w:themeColor="text1"/>
          <w:kern w:val="0"/>
          <w:sz w:val="32"/>
          <w:szCs w:val="32"/>
          <w14:textFill>
            <w14:solidFill>
              <w14:schemeClr w14:val="tx1"/>
            </w14:solidFill>
          </w14:textFill>
        </w:rPr>
        <w:t>杭北干渠、南溪河、三里河、护城河、玉带河</w:t>
      </w:r>
      <w:r>
        <w:rPr>
          <w:rFonts w:hint="eastAsia" w:eastAsia="仿宋_GB2312" w:cs="仿宋_GB2312"/>
          <w:color w:val="000000" w:themeColor="text1"/>
          <w:sz w:val="32"/>
          <w:szCs w:val="32"/>
          <w14:textFill>
            <w14:solidFill>
              <w14:schemeClr w14:val="tx1"/>
            </w14:solidFill>
          </w14:textFill>
        </w:rPr>
        <w:t>等城区内河水位迅速上涨时，县城区防指成员单位负责人要开展督查防汛工作，县城区防指成员和技术人员要按照分工要求，到岗到位，开展工作。按安徽省长江、河干支流主要堤防巡逻抢险规定》上足防汛民工，巡堤查险和防守。河流水位继续上涨，危及重点保护对象时，县城区防指按上级指示或调度权限及防御洪水方案，适时调度防洪工程，确保防洪安全。</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（2）</w:t>
      </w:r>
      <w:r>
        <w:rPr>
          <w:rFonts w:hint="eastAsia" w:eastAsia="仿宋_GB2312" w:cs="仿宋_GB2312"/>
          <w:color w:val="000000" w:themeColor="text1"/>
          <w:kern w:val="0"/>
          <w:sz w:val="32"/>
          <w:szCs w:val="32"/>
          <w14:textFill>
            <w14:solidFill>
              <w14:schemeClr w14:val="tx1"/>
            </w14:solidFill>
          </w14:textFill>
        </w:rPr>
        <w:t>杭北干渠、南溪河、三里河、护城河、玉带河</w:t>
      </w:r>
      <w:r>
        <w:rPr>
          <w:rFonts w:hint="eastAsia" w:eastAsia="仿宋_GB2312" w:cs="仿宋_GB2312"/>
          <w:color w:val="000000" w:themeColor="text1"/>
          <w:sz w:val="32"/>
          <w:szCs w:val="32"/>
          <w14:textFill>
            <w14:solidFill>
              <w14:schemeClr w14:val="tx1"/>
            </w14:solidFill>
          </w14:textFill>
        </w:rPr>
        <w:t>等城区内河遇到重大险情时，县城区防指成员单位负责人要开展督查防汛工作，靠前指挥，现场防汛指挥部负责人应根据需要增调防汛抢险民工，重要险工险段应确定专人防守抢险技术难度较大时，县城区防指可申请市级防汛机动抢险队支援抢险必要时，可按程序请求动用解放军、武警部队参加突击抢险。</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（3）当遇特大洪水时，按照上级防指指示做好各项防汛工作。</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 xml:space="preserve">（4）发生洪涝灾害时，县城区要按先自排后机排的原则开展排涝。当地政府须组织劳力，拆除堵坝，保持沟渠畅通；全力开启固定泵站，调集并架设临时排水机械，抢排涝水。按照分级负责的原则积极筹措排涝经费，供电部门要优先保证排涝用电。 </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（5）在汛期，当堤防、闸坝等防洪工程的水位达到设防水位时，由其水管单位负责日夜巡逻；当水位达到警戒水位时，由属地政府组织人员日夜巡逻，及时发现、报告、处理险情。</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7</w:t>
      </w:r>
      <w:r>
        <w:rPr>
          <w:rFonts w:ascii="仿宋_GB2312" w:hAnsi="仿宋_GB2312" w:eastAsia="仿宋_GB2312" w:cs="仿宋_GB2312"/>
          <w:b/>
          <w:bCs/>
          <w:color w:val="000000" w:themeColor="text1"/>
          <w:kern w:val="0"/>
          <w:sz w:val="32"/>
          <w:szCs w:val="32"/>
          <w14:textFill>
            <w14:solidFill>
              <w14:schemeClr w14:val="tx1"/>
            </w14:solidFill>
          </w14:textFill>
        </w:rPr>
        <w:t>.</w:t>
      </w:r>
      <w:r>
        <w:rPr>
          <w:rFonts w:hint="eastAsia" w:ascii="仿宋_GB2312" w:hAnsi="仿宋_GB2312" w:eastAsia="仿宋_GB2312" w:cs="仿宋_GB2312"/>
          <w:b/>
          <w:bCs/>
          <w:color w:val="000000" w:themeColor="text1"/>
          <w:kern w:val="0"/>
          <w:sz w:val="32"/>
          <w:szCs w:val="32"/>
          <w14:textFill>
            <w14:solidFill>
              <w14:schemeClr w14:val="tx1"/>
            </w14:solidFill>
          </w14:textFill>
        </w:rPr>
        <w:t>4</w:t>
      </w:r>
      <w:r>
        <w:rPr>
          <w:rFonts w:ascii="仿宋_GB2312" w:hAnsi="仿宋_GB2312" w:eastAsia="仿宋_GB2312" w:cs="仿宋_GB2312"/>
          <w:b/>
          <w:bCs/>
          <w:color w:val="000000" w:themeColor="text1"/>
          <w:kern w:val="0"/>
          <w:sz w:val="32"/>
          <w:szCs w:val="32"/>
          <w14:textFill>
            <w14:solidFill>
              <w14:schemeClr w14:val="tx1"/>
            </w14:solidFill>
          </w14:textFill>
        </w:rPr>
        <w:t>.</w:t>
      </w:r>
      <w:r>
        <w:rPr>
          <w:rFonts w:hint="eastAsia" w:ascii="仿宋_GB2312" w:hAnsi="仿宋_GB2312" w:eastAsia="仿宋_GB2312" w:cs="仿宋_GB2312"/>
          <w:b/>
          <w:bCs/>
          <w:color w:val="000000" w:themeColor="text1"/>
          <w:kern w:val="0"/>
          <w:sz w:val="32"/>
          <w:szCs w:val="32"/>
          <w14:textFill>
            <w14:solidFill>
              <w14:schemeClr w14:val="tx1"/>
            </w14:solidFill>
          </w14:textFill>
        </w:rPr>
        <w:t xml:space="preserve">2台风暴雨灾害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1</w:t>
      </w:r>
      <w:r>
        <w:rPr>
          <w:rFonts w:hint="eastAsia" w:eastAsia="仿宋_GB2312" w:cs="仿宋_GB2312"/>
          <w:color w:val="000000" w:themeColor="text1"/>
          <w:kern w:val="0"/>
          <w:sz w:val="32"/>
          <w:szCs w:val="32"/>
          <w14:textFill>
            <w14:solidFill>
              <w14:schemeClr w14:val="tx1"/>
            </w14:solidFill>
          </w14:textFill>
        </w:rPr>
        <w:t xml:space="preserve">）县城区可能受台风影响时，属地政府及有关部门防汛负责人应立即到岗到位，根据县城区防御台风暴雨方案进一步检查各项防御措施落实情况。当县城区受台风暴雨影响严重时，县政府发布防台风暴雨动员令，组织防台风暴雨工作， 派出工作组深入第一线，做好宣传和组织发动工作，落实防台风暴雨措施和群众安全转移措施，指挥防台风暴雨和抢险工作。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2）防汛指挥机构督促属地政府组织力量加强巡查，督促对涵闸等进行抢护或采取必要的紧急处措施。根据降雨量、洪水预测，水利部门及有关水工程管理单位应按权限控制运用水闸及河道洪水调度运行；湖泊水位高的应适当预排。 </w:t>
      </w:r>
    </w:p>
    <w:p>
      <w:pPr>
        <w:widowControl/>
        <w:ind w:firstLine="640" w:firstLineChars="200"/>
        <w:jc w:val="left"/>
        <w:rPr>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3</w:t>
      </w:r>
      <w:r>
        <w:rPr>
          <w:rFonts w:hint="eastAsia" w:eastAsia="仿宋_GB2312" w:cs="仿宋_GB2312"/>
          <w:color w:val="000000" w:themeColor="text1"/>
          <w:kern w:val="0"/>
          <w:sz w:val="32"/>
          <w:szCs w:val="32"/>
          <w14:textFill>
            <w14:solidFill>
              <w14:schemeClr w14:val="tx1"/>
            </w14:solidFill>
          </w14:textFill>
        </w:rPr>
        <w:t xml:space="preserve">）台风中心可能经过或严重影响县城区时，属地政府应动员和组织居住在低洼地、危险区、危旧房、地下人防、下穿隧道、地下库房等，特别是人员集中的学校、医院等人员的及时转移，高空作业人员停止作业。电力、通信部门落实抢修人员，一旦损坏，迅速组织抢修，保证供电和通信畅通。城管部门做好县城区广告宣传标牌固定、树木的保护工作。卫健部门做好抢救伤员的应急处置方案。 </w:t>
      </w:r>
    </w:p>
    <w:p>
      <w:pPr>
        <w:widowControl/>
        <w:ind w:firstLine="640" w:firstLineChars="200"/>
        <w:jc w:val="left"/>
        <w:rPr>
          <w:rFonts w:eastAsia="黑体" w:cs="黑体"/>
          <w:color w:val="000000" w:themeColor="text1"/>
          <w:sz w:val="32"/>
          <w:szCs w:val="32"/>
          <w14:textFill>
            <w14:solidFill>
              <w14:schemeClr w14:val="tx1"/>
            </w14:solidFill>
          </w14:textFill>
        </w:rPr>
      </w:pPr>
      <w:r>
        <w:rPr>
          <w:rFonts w:hint="eastAsia" w:eastAsia="仿宋_GB2312" w:cs="仿宋_GB2312"/>
          <w:color w:val="000000" w:themeColor="text1"/>
          <w:kern w:val="0"/>
          <w:sz w:val="32"/>
          <w:szCs w:val="32"/>
          <w14:textFill>
            <w14:solidFill>
              <w14:schemeClr w14:val="tx1"/>
            </w14:solidFill>
          </w14:textFill>
        </w:rPr>
        <w:t xml:space="preserve">（4）电视、广播、网站等新闻媒体及时播发台风预报警报、防台风暴雨措施以及县城区防指的防御部署，微信、微博等新媒体应及时推送相关信息。 </w:t>
      </w:r>
    </w:p>
    <w:p>
      <w:pPr>
        <w:spacing w:line="560" w:lineRule="exact"/>
        <w:ind w:firstLine="640" w:firstLineChars="200"/>
        <w:jc w:val="left"/>
        <w:outlineLvl w:val="0"/>
        <w:rPr>
          <w:rFonts w:ascii="黑体" w:hAnsi="黑体" w:eastAsia="黑体" w:cs="黑体"/>
          <w:color w:val="000000" w:themeColor="text1"/>
          <w:sz w:val="32"/>
          <w:szCs w:val="32"/>
          <w14:textFill>
            <w14:solidFill>
              <w14:schemeClr w14:val="tx1"/>
            </w14:solidFill>
          </w14:textFill>
        </w:rPr>
      </w:pPr>
      <w:bookmarkStart w:id="51" w:name="_Toc10497"/>
      <w:r>
        <w:rPr>
          <w:rFonts w:hint="eastAsia" w:ascii="黑体" w:hAnsi="黑体" w:eastAsia="黑体" w:cs="黑体"/>
          <w:color w:val="000000" w:themeColor="text1"/>
          <w:sz w:val="32"/>
          <w:szCs w:val="32"/>
          <w14:textFill>
            <w14:solidFill>
              <w14:schemeClr w14:val="tx1"/>
            </w14:solidFill>
          </w14:textFill>
        </w:rPr>
        <w:t>8应急保障</w:t>
      </w:r>
      <w:bookmarkEnd w:id="51"/>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52" w:name="_Toc4620"/>
      <w:r>
        <w:rPr>
          <w:rFonts w:hint="eastAsia" w:ascii="楷体_GB2312" w:hAnsi="楷体_GB2312" w:eastAsia="楷体_GB2312" w:cs="楷体_GB2312"/>
          <w:b/>
          <w:bCs/>
          <w:color w:val="000000" w:themeColor="text1"/>
          <w:sz w:val="32"/>
          <w:szCs w:val="32"/>
          <w14:textFill>
            <w14:solidFill>
              <w14:schemeClr w14:val="tx1"/>
            </w14:solidFill>
          </w14:textFill>
        </w:rPr>
        <w:t>8.1组织保障</w:t>
      </w:r>
      <w:bookmarkEnd w:id="52"/>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达到Ⅲ级以上响应条件时，县城区防指成员单位要抽调精干人员，充实、加强县城区防指工作力量，在县城区防指的统一指挥下，按照职责分工，负责处理防指紧急事务和政府交办的各项工作，保证防汛抗洪工作高效运转。</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53" w:name="_Toc13702"/>
      <w:r>
        <w:rPr>
          <w:rFonts w:hint="eastAsia" w:ascii="楷体_GB2312" w:hAnsi="楷体_GB2312" w:eastAsia="楷体_GB2312" w:cs="楷体_GB2312"/>
          <w:b/>
          <w:bCs/>
          <w:color w:val="000000" w:themeColor="text1"/>
          <w:sz w:val="32"/>
          <w:szCs w:val="32"/>
          <w14:textFill>
            <w14:solidFill>
              <w14:schemeClr w14:val="tx1"/>
            </w14:solidFill>
          </w14:textFill>
        </w:rPr>
        <w:t>8.2队伍保障</w:t>
      </w:r>
      <w:bookmarkEnd w:id="53"/>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属地政府应切实加强消防救援队、专业防汛抢险队、综合性消防救援队伍和群众性队伍建设，不断提升与解放军和武警部队的协同处置能力，必要时广泛调动社会力量参与抗洪抢险。</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县城区防指负责统筹防指成员单位及社会化应急抢险物资和队伍，组织防汛民工登记造册，对接部队抗洪抢险用兵；县水利局负责本系统水利工程防汛物资和队伍管理。</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8.2.1群众防汛抢险队伍</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群众防汛抢险队伍是防汛抗洪的基本力量，承担巡堤、查险、排险任务。按照《安徽省长江、淮河干支流主要堤防巡逻抢险规定》，一线民工每公里 10-20 人，二线民工每公里20-30 人，三线民工每公里 30-50 人，以行政区划统一编队，明确负责人，由县城区防指调度。</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8.2.2部队抢险队伍</w:t>
      </w:r>
    </w:p>
    <w:p>
      <w:pPr>
        <w:spacing w:line="560" w:lineRule="exact"/>
        <w:ind w:firstLine="640" w:firstLineChars="200"/>
        <w:rPr>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 xml:space="preserve">解放军和武警部队是抗洪抢险的骨干力量。当发生重大险情需要进行抢护、发生严重灾情需要转移被困群众时，县城区防指可以向县防指申请部队支援。申请部队抗洪抢险时，应注明险情、灾情种类、发生时间、地点、范围、程度以及需要使用的兵力、装备、部队集结地点、联络人、联络方式等，并按程序申请批准。 </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8.2.3防汛机动抢险队</w:t>
      </w:r>
    </w:p>
    <w:p>
      <w:pPr>
        <w:spacing w:line="560" w:lineRule="exact"/>
        <w:ind w:firstLine="640" w:firstLineChars="200"/>
        <w:rPr>
          <w:rFonts w:eastAsia="仿宋_GB2312"/>
          <w:b/>
          <w:bCs/>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防汛机动抢险队主要承担对抢险设备要求较高、专业性较强的防汛抢险任务，由县城区防指成员单位抽调人员组成。县城区防汛机动抢险队由县城区防汛办调遣，必要时听从县城区防指调遣，雨天巡查城区低洼处及易淹易涝路段，对积水严重区段临时封闭禁行，动用排涝设备快速抽排，保障城区积水部位尽快疏浚。</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8.2.4社会抢险力量</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在必要情势下，属地政府根据本地实际情况，积极向社会发出信息指引和工作倡议，动员引导社会力量有序参与抗洪抢险。</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54" w:name="_Toc2617"/>
      <w:r>
        <w:rPr>
          <w:rFonts w:hint="eastAsia" w:ascii="楷体_GB2312" w:hAnsi="楷体_GB2312" w:eastAsia="楷体_GB2312" w:cs="楷体_GB2312"/>
          <w:b/>
          <w:bCs/>
          <w:color w:val="000000" w:themeColor="text1"/>
          <w:sz w:val="32"/>
          <w:szCs w:val="32"/>
          <w14:textFill>
            <w14:solidFill>
              <w14:schemeClr w14:val="tx1"/>
            </w14:solidFill>
          </w14:textFill>
        </w:rPr>
        <w:t>8.3物资保障</w:t>
      </w:r>
      <w:bookmarkEnd w:id="54"/>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8.3.1物资储备</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（1）按照“分级负担、分级管理”的原则，县城区防汛办、重点防洪工程管理单位以及受洪水威胁的其他单位应按规定储备防汛抢险救灾物资。</w:t>
      </w:r>
    </w:p>
    <w:p>
      <w:pPr>
        <w:spacing w:line="560" w:lineRule="exact"/>
        <w:ind w:firstLine="640" w:firstLineChars="200"/>
        <w:rPr>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（2）县城区储备的防汛物资品种及数量，根据城区抗洪抢险救灾的需要和具体情况，由县城区防指与有关部门会商确定</w:t>
      </w:r>
      <w:r>
        <w:rPr>
          <w:rFonts w:hint="eastAsia"/>
          <w:color w:val="000000" w:themeColor="text1"/>
          <w:sz w:val="32"/>
          <w:szCs w:val="32"/>
          <w14:textFill>
            <w14:solidFill>
              <w14:schemeClr w14:val="tx1"/>
            </w14:solidFill>
          </w14:textFill>
        </w:rPr>
        <w:t xml:space="preserve">。  </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8.3.2物资调拨</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（1）防洪物资的调用，应本着“先近后远，先主后次，满足急需，及时高效”的原则，优先保证重点地区的防汛抢险物资急需。</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（2）上级储备的防汛物资调拨须逐级申请。紧急抢险情况下,可用电话或明传电报等方式申请批准调动，用后补办手续。申请内容包括用途和需用物资的品种、数量、运往地点、时间等。</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（3）各储备单位、仓库接到调拨令后，必须立即组织发货，申请单位负责组织运输，并及时反馈调拨情况。</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（4）进入紧急防汛期，县城区防指根据防汛抗洪的需要，可在其管辖范围内调用物资、设备、交通运输工具等。</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55" w:name="_Toc32234"/>
      <w:r>
        <w:rPr>
          <w:rFonts w:hint="eastAsia" w:ascii="楷体_GB2312" w:hAnsi="楷体_GB2312" w:eastAsia="楷体_GB2312" w:cs="楷体_GB2312"/>
          <w:b/>
          <w:bCs/>
          <w:color w:val="000000" w:themeColor="text1"/>
          <w:sz w:val="32"/>
          <w:szCs w:val="32"/>
          <w14:textFill>
            <w14:solidFill>
              <w14:schemeClr w14:val="tx1"/>
            </w14:solidFill>
          </w14:textFill>
        </w:rPr>
        <w:t>8.4资金保障</w:t>
      </w:r>
      <w:bookmarkEnd w:id="55"/>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 xml:space="preserve">财政部门要将防洪经费纳入财政预算，确保防汛抢险救灾应急所需。因汛情需要，必要时可动用预备费和其他资金。中央财政下拨的特大防洪补助费，应及时安排，专款专用。  </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56" w:name="_Toc32745"/>
      <w:r>
        <w:rPr>
          <w:rFonts w:hint="eastAsia" w:ascii="楷体_GB2312" w:hAnsi="楷体_GB2312" w:eastAsia="楷体_GB2312" w:cs="楷体_GB2312"/>
          <w:b/>
          <w:bCs/>
          <w:color w:val="000000" w:themeColor="text1"/>
          <w:sz w:val="32"/>
          <w:szCs w:val="32"/>
          <w14:textFill>
            <w14:solidFill>
              <w14:schemeClr w14:val="tx1"/>
            </w14:solidFill>
          </w14:textFill>
        </w:rPr>
        <w:t>8.5技术保障</w:t>
      </w:r>
      <w:bookmarkEnd w:id="56"/>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建立完善的信息传输网络。县城区防指和水利部门应分别建立专家库，当发生洪涝灾害时，由县城区防指统一调度，派专家组，指导防汛排涝工作。</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57" w:name="_Toc2919"/>
      <w:r>
        <w:rPr>
          <w:rFonts w:hint="eastAsia" w:ascii="楷体_GB2312" w:hAnsi="楷体_GB2312" w:eastAsia="楷体_GB2312" w:cs="楷体_GB2312"/>
          <w:b/>
          <w:bCs/>
          <w:color w:val="000000" w:themeColor="text1"/>
          <w:sz w:val="32"/>
          <w:szCs w:val="32"/>
          <w14:textFill>
            <w14:solidFill>
              <w14:schemeClr w14:val="tx1"/>
            </w14:solidFill>
          </w14:textFill>
        </w:rPr>
        <w:t>8.6通信保障</w:t>
      </w:r>
      <w:bookmarkEnd w:id="57"/>
    </w:p>
    <w:p>
      <w:pPr>
        <w:spacing w:line="560" w:lineRule="exact"/>
        <w:ind w:firstLine="640" w:firstLineChars="200"/>
        <w:rPr>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 xml:space="preserve">属地政府应建立健全防汛排涝应急通信保障体系，配备与之相适应的设施设备。相关通信部门应保障防汛排涝指挥调度的通信畅通，利用现代通信手段，做好紧急状态下防汛通信保障工作。  </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58" w:name="_Toc31346"/>
      <w:r>
        <w:rPr>
          <w:rFonts w:hint="eastAsia" w:ascii="楷体_GB2312" w:hAnsi="楷体_GB2312" w:eastAsia="楷体_GB2312" w:cs="楷体_GB2312"/>
          <w:b/>
          <w:bCs/>
          <w:color w:val="000000" w:themeColor="text1"/>
          <w:sz w:val="32"/>
          <w:szCs w:val="32"/>
          <w14:textFill>
            <w14:solidFill>
              <w14:schemeClr w14:val="tx1"/>
            </w14:solidFill>
          </w14:textFill>
        </w:rPr>
        <w:t>8.7交通保障</w:t>
      </w:r>
      <w:bookmarkEnd w:id="58"/>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交通运输部门优先保证防汛车辆、船舶的通行，保障抗洪抢险人员、群众安全转移、防汛救灾物</w:t>
      </w:r>
      <w:r>
        <w:rPr>
          <w:rFonts w:hint="eastAsia" w:eastAsia="仿宋_GB2312" w:cs="仿宋_GB2312"/>
          <w:color w:val="000000" w:themeColor="text1"/>
          <w:sz w:val="32"/>
          <w:szCs w:val="32"/>
          <w:lang w:eastAsia="zh-CN"/>
          <w14:textFill>
            <w14:solidFill>
              <w14:schemeClr w14:val="tx1"/>
            </w14:solidFill>
          </w14:textFill>
        </w:rPr>
        <w:t>资</w:t>
      </w:r>
      <w:r>
        <w:rPr>
          <w:rFonts w:hint="eastAsia" w:eastAsia="仿宋_GB2312" w:cs="仿宋_GB2312"/>
          <w:color w:val="000000" w:themeColor="text1"/>
          <w:sz w:val="32"/>
          <w:szCs w:val="32"/>
          <w14:textFill>
            <w14:solidFill>
              <w14:schemeClr w14:val="tx1"/>
            </w14:solidFill>
          </w14:textFill>
        </w:rPr>
        <w:t>的运输；做好抢险救灾所需车辆、船舶的调配。</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59" w:name="_Toc26351"/>
      <w:r>
        <w:rPr>
          <w:rFonts w:hint="eastAsia" w:ascii="楷体_GB2312" w:hAnsi="楷体_GB2312" w:eastAsia="楷体_GB2312" w:cs="楷体_GB2312"/>
          <w:b/>
          <w:bCs/>
          <w:color w:val="000000" w:themeColor="text1"/>
          <w:sz w:val="32"/>
          <w:szCs w:val="32"/>
          <w14:textFill>
            <w14:solidFill>
              <w14:schemeClr w14:val="tx1"/>
            </w14:solidFill>
          </w14:textFill>
        </w:rPr>
        <w:t>8.8电力保障</w:t>
      </w:r>
      <w:bookmarkEnd w:id="59"/>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发改、电力部门协调做好抗洪抢险、抢排渍涝等方面的电力供应和应急救援现场的临时供电等工作。</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60" w:name="_Toc27148"/>
      <w:r>
        <w:rPr>
          <w:rFonts w:hint="eastAsia" w:ascii="楷体_GB2312" w:hAnsi="楷体_GB2312" w:eastAsia="楷体_GB2312" w:cs="楷体_GB2312"/>
          <w:b/>
          <w:bCs/>
          <w:color w:val="000000" w:themeColor="text1"/>
          <w:sz w:val="32"/>
          <w:szCs w:val="32"/>
          <w14:textFill>
            <w14:solidFill>
              <w14:schemeClr w14:val="tx1"/>
            </w14:solidFill>
          </w14:textFill>
        </w:rPr>
        <w:t>8.9灾民安置和医疗保障</w:t>
      </w:r>
      <w:bookmarkEnd w:id="60"/>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县级政府负责组织转移低洼地群众，当地政府及应急部门负责为临时转移出来的群众提供临时安置场所，妥善安置灾民生活。卫健部门负责保障灾民基本医疗条件。</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卫健、农业等部门负责灾区卫生防疫和医疗救护，预防疾病流行，做好人畜疾病的免疫和公共场所消毒工作。</w:t>
      </w:r>
    </w:p>
    <w:p>
      <w:pPr>
        <w:spacing w:line="560" w:lineRule="exact"/>
        <w:ind w:firstLine="640" w:firstLineChars="200"/>
        <w:jc w:val="left"/>
        <w:outlineLvl w:val="0"/>
        <w:rPr>
          <w:rFonts w:ascii="黑体" w:hAnsi="黑体" w:eastAsia="黑体" w:cs="黑体"/>
          <w:color w:val="000000" w:themeColor="text1"/>
          <w:sz w:val="32"/>
          <w:szCs w:val="32"/>
          <w14:textFill>
            <w14:solidFill>
              <w14:schemeClr w14:val="tx1"/>
            </w14:solidFill>
          </w14:textFill>
        </w:rPr>
      </w:pPr>
      <w:bookmarkStart w:id="61" w:name="_Toc26279"/>
      <w:r>
        <w:rPr>
          <w:rFonts w:hint="eastAsia" w:ascii="黑体" w:hAnsi="黑体" w:eastAsia="黑体" w:cs="黑体"/>
          <w:color w:val="000000" w:themeColor="text1"/>
          <w:sz w:val="32"/>
          <w:szCs w:val="32"/>
          <w14:textFill>
            <w14:solidFill>
              <w14:schemeClr w14:val="tx1"/>
            </w14:solidFill>
          </w14:textFill>
        </w:rPr>
        <w:t>9后期处置</w:t>
      </w:r>
      <w:bookmarkEnd w:id="61"/>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62" w:name="_Toc32748"/>
      <w:r>
        <w:rPr>
          <w:rFonts w:hint="eastAsia" w:ascii="楷体_GB2312" w:hAnsi="楷体_GB2312" w:eastAsia="楷体_GB2312" w:cs="楷体_GB2312"/>
          <w:b/>
          <w:bCs/>
          <w:color w:val="000000" w:themeColor="text1"/>
          <w:sz w:val="32"/>
          <w:szCs w:val="32"/>
          <w14:textFill>
            <w14:solidFill>
              <w14:schemeClr w14:val="tx1"/>
            </w14:solidFill>
          </w14:textFill>
        </w:rPr>
        <w:t>9.1善后工作</w:t>
      </w:r>
      <w:bookmarkEnd w:id="62"/>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发生水灾的属地政府，应组织有关部门做好灾区生活供给、卫生防疫、</w:t>
      </w:r>
      <w:bookmarkStart w:id="76" w:name="_GoBack"/>
      <w:bookmarkEnd w:id="76"/>
      <w:r>
        <w:rPr>
          <w:rFonts w:hint="eastAsia" w:eastAsia="仿宋_GB2312" w:cs="仿宋_GB2312"/>
          <w:color w:val="000000" w:themeColor="text1"/>
          <w:sz w:val="32"/>
          <w:szCs w:val="32"/>
          <w14:textFill>
            <w14:solidFill>
              <w14:schemeClr w14:val="tx1"/>
            </w14:solidFill>
          </w14:textFill>
        </w:rPr>
        <w:t>救灾物资供应、治安管理、学校复课、水毁修复、恢复生产和重建家园等善后工作。</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9.1.1防汛征用补偿</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县城区防指在紧急防汛期间征用、调用的物资、设备、交通运输工具等，汛期结束后应及时归还或按有关规定给予补偿。调用专业防汛抢险队，由申请调用的单位给予适当补助。</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9.1.2救灾工作</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灾区政府成立救灾指挥部，负责灾害救助的组织、协调和指挥工作。根据救灾工作实际需要，有关部门和单位派联络员参加防指日常工作。</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应急部门负责受灾群众生活救助，承担调配、监督使用救灾款物，组织安置受灾群众，会同有关方面做好受灾群众临时生活安排、毁损房屋的恢复重建补助等，切实解决受灾群众基本生活问题。卫健部门负责调配医疗防疫技术力量，抢救因灾伤病人员，对疫区进行消毒处理，对灾区重大疫情、病情实施紧急处理，防止疫病传播、蔓延。生态环境部门负责指导、监督污染物的收集、清理与处理等。农业部门保障畜牧业疾病的免疫和消毒工作。</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9.1.3水毁工程修复</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汛期结束或洪水退去后，县政府要组织有关部门或工程管理单位做好水毁修复前期工作，提出水毁修复计划，抓紧组织实施，力争在下一次洪水到来之前恢复主体功能。涉及跨行政区域的交通、电力、通信、水利等重要设施的水毁修复工作，由上一级主管部门负责协调.</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9.1.4防汛物资补充</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针对当年防汛物资消耗情况，按照分级筹集的原则，财政部门应安排专项资金，及时补充到位，所需物料数量和品种按防汛物资储备定额确定。</w:t>
      </w:r>
    </w:p>
    <w:p>
      <w:pPr>
        <w:widowControl/>
        <w:ind w:firstLine="643" w:firstLineChars="200"/>
        <w:jc w:val="left"/>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9.1.5灾后重建</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各相关部门应根据汛期受损情况，尽快组织灾后重建。原则上按原标准恢复，但经上级批准同意的重要工程，可提高标准重建。灾情解除后，对经批准的临时截水工程和设施须尽快拆除，恢复河库沟渠及其堤防原貌。</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63" w:name="_Toc25612"/>
      <w:r>
        <w:rPr>
          <w:rFonts w:hint="eastAsia" w:ascii="楷体_GB2312" w:hAnsi="楷体_GB2312" w:eastAsia="楷体_GB2312" w:cs="楷体_GB2312"/>
          <w:b/>
          <w:bCs/>
          <w:color w:val="000000" w:themeColor="text1"/>
          <w:sz w:val="32"/>
          <w:szCs w:val="32"/>
          <w14:textFill>
            <w14:solidFill>
              <w14:schemeClr w14:val="tx1"/>
            </w14:solidFill>
          </w14:textFill>
        </w:rPr>
        <w:t>9.2总结评估</w:t>
      </w:r>
      <w:bookmarkEnd w:id="63"/>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 xml:space="preserve">县城区防指各成员单位应针对当年防汛排涝工作的各个方面和环节进行总结、分析和评估，提出改进意见，必要时引进外部评价机制，征求意见和建议，以利提高防汛排涝工作的水平。   </w:t>
      </w:r>
    </w:p>
    <w:p>
      <w:pPr>
        <w:spacing w:line="560" w:lineRule="exact"/>
        <w:ind w:firstLine="640" w:firstLineChars="200"/>
        <w:jc w:val="left"/>
        <w:outlineLvl w:val="0"/>
        <w:rPr>
          <w:rFonts w:ascii="黑体" w:hAnsi="黑体" w:eastAsia="黑体" w:cs="黑体"/>
          <w:color w:val="000000" w:themeColor="text1"/>
          <w:sz w:val="32"/>
          <w:szCs w:val="32"/>
          <w14:textFill>
            <w14:solidFill>
              <w14:schemeClr w14:val="tx1"/>
            </w14:solidFill>
          </w14:textFill>
        </w:rPr>
      </w:pPr>
      <w:bookmarkStart w:id="64" w:name="_Toc20558"/>
      <w:r>
        <w:rPr>
          <w:rFonts w:hint="eastAsia" w:ascii="黑体" w:hAnsi="黑体" w:eastAsia="黑体" w:cs="黑体"/>
          <w:color w:val="000000" w:themeColor="text1"/>
          <w:sz w:val="32"/>
          <w:szCs w:val="32"/>
          <w14:textFill>
            <w14:solidFill>
              <w14:schemeClr w14:val="tx1"/>
            </w14:solidFill>
          </w14:textFill>
        </w:rPr>
        <w:t>10附则</w:t>
      </w:r>
      <w:bookmarkEnd w:id="64"/>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65" w:name="_Toc2131"/>
      <w:r>
        <w:rPr>
          <w:rFonts w:hint="eastAsia" w:ascii="楷体_GB2312" w:hAnsi="楷体_GB2312" w:eastAsia="楷体_GB2312" w:cs="楷体_GB2312"/>
          <w:b/>
          <w:bCs/>
          <w:color w:val="000000" w:themeColor="text1"/>
          <w:sz w:val="32"/>
          <w:szCs w:val="32"/>
          <w14:textFill>
            <w14:solidFill>
              <w14:schemeClr w14:val="tx1"/>
            </w14:solidFill>
          </w14:textFill>
        </w:rPr>
        <w:t>10.1名词术语解释</w:t>
      </w:r>
      <w:bookmarkEnd w:id="65"/>
    </w:p>
    <w:p>
      <w:pPr>
        <w:spacing w:line="560" w:lineRule="exact"/>
        <w:ind w:firstLine="640" w:firstLineChars="200"/>
        <w:rPr>
          <w:color w:val="000000" w:themeColor="text1"/>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1.“两个坚持、三个转变”防灾减灾救灾新理念：“两个坚持”是指坚持以防为主、防抗救相结合，坚持常态减灾和非常态救灾相统一；“三个转变”是指从注重灾后救助向注重灾前预防转变，从应对单一灾种向综合减灾转变，从减少灾害损失向减轻灾害风险转变。</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2.紧急防汛期：根据《中华人民共和国防洪法》规定，当江河湖泊的水情接近保证水位或者安全流量，水库水位接近设计洪水位，或者防洪工程设施发生重大险情时，有关县级以上人民政府防汛指挥机构可以宣布进入紧急防汛期。在紧急防汛期，各级防指根据防汛抗洪需要，可依法采取紧急处置措施。当汛情趋缓时，有关防汛抗旱指挥机构应适时依法宣布结束紧急防汛期。</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3.防御洪水方案：凡有防汛抗洪任务的县级以上人民政府根据流域综合规划、防洪工程实际状况和国家规定的防洪标准制定的防御江河洪水、山洪灾害等方案的统称。防御洪水方案经批准后，有关地方人民政府必须执行。</w:t>
      </w:r>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4.一般洪水：洪峰流量或洪量的重现期5～10年一遇的洪水;较大洪水：洪峰流量或洪量的重现期10～20年一遇的洪水；大洪水：洪峰流量或洪量的重现期20～50年一遇的洪水；特大洪水：洪峰流量或洪量的重现期大于50年一遇的洪水。</w:t>
      </w:r>
    </w:p>
    <w:p>
      <w:pPr>
        <w:spacing w:line="560" w:lineRule="exact"/>
        <w:ind w:firstLine="640"/>
        <w:outlineLvl w:val="1"/>
        <w:rPr>
          <w:rFonts w:eastAsia="仿宋_GB2312" w:cs="仿宋_GB2312"/>
          <w:color w:val="000000" w:themeColor="text1"/>
          <w:sz w:val="32"/>
          <w:szCs w:val="32"/>
          <w14:textFill>
            <w14:solidFill>
              <w14:schemeClr w14:val="tx1"/>
            </w14:solidFill>
          </w14:textFill>
        </w:rPr>
      </w:pPr>
      <w:bookmarkStart w:id="66" w:name="_Toc21974"/>
      <w:r>
        <w:rPr>
          <w:rFonts w:hint="eastAsia" w:eastAsia="仿宋_GB2312" w:cs="仿宋_GB2312"/>
          <w:color w:val="000000" w:themeColor="text1"/>
          <w:sz w:val="32"/>
          <w:szCs w:val="32"/>
          <w14:textFill>
            <w14:solidFill>
              <w14:schemeClr w14:val="tx1"/>
            </w14:solidFill>
          </w14:textFill>
        </w:rPr>
        <w:t>5.根据《舒城县气象灾害应急预案》，暴雨预警信号分四级，分别以蓝色、黄色、橙色、红色表示。</w:t>
      </w:r>
    </w:p>
    <w:p>
      <w:pPr>
        <w:spacing w:line="560" w:lineRule="exact"/>
        <w:ind w:firstLine="640"/>
        <w:outlineLvl w:val="1"/>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Ⅳ级蓝色预警：6小时内降雨量将达50毫米以上，或者过去24小时降雨量已达100毫米以上且降雨可能持续。</w:t>
      </w:r>
    </w:p>
    <w:p>
      <w:pPr>
        <w:spacing w:line="560" w:lineRule="exact"/>
        <w:ind w:firstLine="640"/>
        <w:outlineLvl w:val="1"/>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Ⅲ级黄色预警：6小时内降雨量将达100毫米以上，或者过去12小时降雨量己达100毫米以上且降雨可能持续。</w:t>
      </w:r>
    </w:p>
    <w:p>
      <w:pPr>
        <w:spacing w:line="560" w:lineRule="exact"/>
        <w:ind w:firstLine="640" w:firstLineChars="200"/>
        <w:outlineLvl w:val="1"/>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Ⅱ级橙色预警：3小时内降雨量将达100毫米以上，或者过去6小时内降雨量己达100毫米以上且降雨可能持续。</w:t>
      </w:r>
    </w:p>
    <w:p>
      <w:pPr>
        <w:spacing w:line="560" w:lineRule="exact"/>
        <w:ind w:firstLine="640" w:firstLineChars="200"/>
        <w:outlineLvl w:val="1"/>
        <w:rPr>
          <w:b/>
          <w:bCs/>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I级红色预警：3小时内降雨量将达200毫米以上，或者过去6小时内降雨量己达200毫米以上且降雨可能持续。</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10.2预案管理与更新</w:t>
      </w:r>
      <w:bookmarkEnd w:id="66"/>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本预案由县城区防汛办负责管理。根据县城区防指要求，针对《舒城县城区防洪应急预案》，适时组织有关部门、专家对预案进行评估，并视情况需要及时修订。</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67" w:name="_Toc2249"/>
      <w:r>
        <w:rPr>
          <w:rFonts w:hint="eastAsia" w:ascii="楷体_GB2312" w:hAnsi="楷体_GB2312" w:eastAsia="楷体_GB2312" w:cs="楷体_GB2312"/>
          <w:b/>
          <w:bCs/>
          <w:color w:val="000000" w:themeColor="text1"/>
          <w:sz w:val="32"/>
          <w:szCs w:val="32"/>
          <w14:textFill>
            <w14:solidFill>
              <w14:schemeClr w14:val="tx1"/>
            </w14:solidFill>
          </w14:textFill>
        </w:rPr>
        <w:t>10.3奖励与责任</w:t>
      </w:r>
      <w:bookmarkEnd w:id="67"/>
    </w:p>
    <w:p>
      <w:pPr>
        <w:spacing w:line="56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对防汛抢险工作做出突出贡献的先进集体和个人，按有关规定进行表彰和奖励。对防汛工作中因玩忽职守造成损失的，依据有关法律法规，追究当事人的责任，并予以处罚；构成犯罪的，依法追究其刑事责任。</w:t>
      </w:r>
    </w:p>
    <w:p>
      <w:pPr>
        <w:spacing w:line="56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68" w:name="_Toc26860"/>
      <w:r>
        <w:rPr>
          <w:rFonts w:hint="eastAsia" w:ascii="楷体_GB2312" w:hAnsi="楷体_GB2312" w:eastAsia="楷体_GB2312" w:cs="楷体_GB2312"/>
          <w:b/>
          <w:bCs/>
          <w:color w:val="000000" w:themeColor="text1"/>
          <w:sz w:val="32"/>
          <w:szCs w:val="32"/>
          <w14:textFill>
            <w14:solidFill>
              <w14:schemeClr w14:val="tx1"/>
            </w14:solidFill>
          </w14:textFill>
        </w:rPr>
        <w:t>10.4防汛值班电话</w:t>
      </w:r>
      <w:bookmarkEnd w:id="68"/>
    </w:p>
    <w:p>
      <w:pPr>
        <w:spacing w:line="54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每年汛前，县城区防指成员单位应在相关媒体公开值班电话。</w:t>
      </w:r>
    </w:p>
    <w:p>
      <w:pPr>
        <w:spacing w:line="54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69" w:name="_Toc15167"/>
      <w:r>
        <w:rPr>
          <w:rFonts w:hint="eastAsia" w:ascii="楷体_GB2312" w:hAnsi="楷体_GB2312" w:eastAsia="楷体_GB2312" w:cs="楷体_GB2312"/>
          <w:b/>
          <w:bCs/>
          <w:color w:val="000000" w:themeColor="text1"/>
          <w:sz w:val="32"/>
          <w:szCs w:val="32"/>
          <w14:textFill>
            <w14:solidFill>
              <w14:schemeClr w14:val="tx1"/>
            </w14:solidFill>
          </w14:textFill>
        </w:rPr>
        <w:t>10.5有关格式化文本</w:t>
      </w:r>
      <w:bookmarkEnd w:id="69"/>
    </w:p>
    <w:p>
      <w:pPr>
        <w:spacing w:line="54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10.5.1预案启动格式框架</w:t>
      </w:r>
    </w:p>
    <w:p>
      <w:pPr>
        <w:spacing w:line="54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突发公共事件的信息来源；突发公共事件的现状；宣布启动相应的应急预案等级；发布单位或发布人及发布时间。</w:t>
      </w:r>
    </w:p>
    <w:p>
      <w:pPr>
        <w:spacing w:line="540" w:lineRule="exact"/>
        <w:ind w:firstLine="643" w:firstLineChars="200"/>
        <w:jc w:val="left"/>
        <w:outlineLvl w:val="1"/>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10.5.2新闻发布内容框架</w:t>
      </w:r>
    </w:p>
    <w:p>
      <w:pPr>
        <w:spacing w:line="540" w:lineRule="exact"/>
        <w:ind w:firstLine="640" w:firstLineChars="200"/>
        <w:rPr>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 xml:space="preserve">突发公共事件的基本情况；国家及省市县领导同志的指示；应急处置工作情况；下一步工作计划；需要说明的其他有关问题。 </w:t>
      </w:r>
    </w:p>
    <w:p>
      <w:pPr>
        <w:spacing w:line="540" w:lineRule="exact"/>
        <w:ind w:firstLine="643" w:firstLineChars="200"/>
        <w:jc w:val="left"/>
        <w:outlineLvl w:val="1"/>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10.5.3应急结束宣布格式</w:t>
      </w:r>
    </w:p>
    <w:p>
      <w:pPr>
        <w:spacing w:line="54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突发公共事件发生、伤亡和损失情况；应急处置成效及目前状况；宣布结束应急，撤销现场指挥机构；善后处置和恢复工作情况；发布单位或发布人及发布时间。</w:t>
      </w:r>
    </w:p>
    <w:p>
      <w:pPr>
        <w:spacing w:line="54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70" w:name="_Toc4862"/>
      <w:r>
        <w:rPr>
          <w:rFonts w:hint="eastAsia" w:ascii="楷体_GB2312" w:hAnsi="楷体_GB2312" w:eastAsia="楷体_GB2312" w:cs="楷体_GB2312"/>
          <w:b/>
          <w:bCs/>
          <w:color w:val="000000" w:themeColor="text1"/>
          <w:sz w:val="32"/>
          <w:szCs w:val="32"/>
          <w14:textFill>
            <w14:solidFill>
              <w14:schemeClr w14:val="tx1"/>
            </w14:solidFill>
          </w14:textFill>
        </w:rPr>
        <w:t>10.6预案解释部门</w:t>
      </w:r>
      <w:bookmarkEnd w:id="70"/>
    </w:p>
    <w:p>
      <w:pPr>
        <w:spacing w:line="540" w:lineRule="exact"/>
        <w:ind w:firstLine="640"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本预案由</w:t>
      </w:r>
      <w:r>
        <w:rPr>
          <w:rFonts w:hint="eastAsia" w:eastAsia="仿宋_GB2312"/>
          <w:color w:val="000000" w:themeColor="text1"/>
          <w:sz w:val="32"/>
          <w:szCs w:val="32"/>
          <w14:textFill>
            <w14:solidFill>
              <w14:schemeClr w14:val="tx1"/>
            </w14:solidFill>
          </w14:textFill>
        </w:rPr>
        <w:t>县城区防汛办公室</w:t>
      </w:r>
      <w:r>
        <w:rPr>
          <w:rFonts w:hint="eastAsia" w:eastAsia="仿宋_GB2312" w:cs="仿宋_GB2312"/>
          <w:color w:val="000000" w:themeColor="text1"/>
          <w:sz w:val="32"/>
          <w:szCs w:val="32"/>
          <w14:textFill>
            <w14:solidFill>
              <w14:schemeClr w14:val="tx1"/>
            </w14:solidFill>
          </w14:textFill>
        </w:rPr>
        <w:t>负责解释。</w:t>
      </w:r>
    </w:p>
    <w:p>
      <w:pPr>
        <w:spacing w:line="540" w:lineRule="exact"/>
        <w:ind w:firstLine="643" w:firstLineChars="200"/>
        <w:jc w:val="left"/>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71" w:name="_Toc27335"/>
      <w:r>
        <w:rPr>
          <w:rFonts w:hint="eastAsia" w:ascii="楷体_GB2312" w:hAnsi="楷体_GB2312" w:eastAsia="楷体_GB2312" w:cs="楷体_GB2312"/>
          <w:b/>
          <w:bCs/>
          <w:color w:val="000000" w:themeColor="text1"/>
          <w:sz w:val="32"/>
          <w:szCs w:val="32"/>
          <w14:textFill>
            <w14:solidFill>
              <w14:schemeClr w14:val="tx1"/>
            </w14:solidFill>
          </w14:textFill>
        </w:rPr>
        <w:t>10.7预案实施时间</w:t>
      </w:r>
      <w:bookmarkEnd w:id="71"/>
    </w:p>
    <w:p>
      <w:pPr>
        <w:spacing w:line="540" w:lineRule="exact"/>
        <w:ind w:firstLine="640" w:firstLineChars="200"/>
        <w:rPr>
          <w:color w:val="000000" w:themeColor="text1"/>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本预案自印发之日起实施。</w:t>
      </w:r>
    </w:p>
    <w:p>
      <w:pPr>
        <w:spacing w:line="540" w:lineRule="exact"/>
        <w:outlineLvl w:val="0"/>
        <w:rPr>
          <w:rFonts w:eastAsia="仿宋_GB2312" w:cs="仿宋_GB2312"/>
          <w:color w:val="000000" w:themeColor="text1"/>
          <w:sz w:val="32"/>
          <w:szCs w:val="32"/>
          <w14:textFill>
            <w14:solidFill>
              <w14:schemeClr w14:val="tx1"/>
            </w14:solidFill>
          </w14:textFill>
        </w:rPr>
      </w:pPr>
      <w:bookmarkStart w:id="72" w:name="_Toc9423"/>
    </w:p>
    <w:p>
      <w:pPr>
        <w:spacing w:line="540" w:lineRule="exact"/>
        <w:outlineLvl w:val="0"/>
        <w:rPr>
          <w:rFonts w:eastAsia="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附件：1.舒城县建成区水系图</w:t>
      </w:r>
      <w:bookmarkEnd w:id="72"/>
    </w:p>
    <w:p>
      <w:pPr>
        <w:spacing w:line="540" w:lineRule="exact"/>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 xml:space="preserve">      2.舒城县城市排水（雨水）防涝综合规划（2014～2030）</w:t>
      </w:r>
    </w:p>
    <w:p>
      <w:pPr>
        <w:spacing w:line="540" w:lineRule="exact"/>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3.舒城县城市排水（雨水）防涝综合规划修编（2020～2030）</w:t>
      </w:r>
    </w:p>
    <w:p>
      <w:pPr>
        <w:pStyle w:val="2"/>
        <w:spacing w:line="540" w:lineRule="exact"/>
        <w:ind w:firstLine="960" w:firstLineChars="300"/>
        <w:rPr>
          <w:rFonts w:ascii="Times New Roman" w:hAnsi="Times New Roman" w:eastAsia="仿宋_GB2312" w:cs="仿宋_GB2312"/>
          <w:color w:val="000000" w:themeColor="text1"/>
          <w:szCs w:val="32"/>
          <w14:textFill>
            <w14:solidFill>
              <w14:schemeClr w14:val="tx1"/>
            </w14:solidFill>
          </w14:textFill>
        </w:rPr>
      </w:pPr>
      <w:r>
        <w:rPr>
          <w:rFonts w:hint="eastAsia" w:ascii="Times New Roman" w:hAnsi="Times New Roman" w:eastAsia="仿宋_GB2312" w:cs="仿宋_GB2312"/>
          <w:color w:val="000000" w:themeColor="text1"/>
          <w:szCs w:val="32"/>
          <w14:textFill>
            <w14:solidFill>
              <w14:schemeClr w14:val="tx1"/>
            </w14:solidFill>
          </w14:textFill>
        </w:rPr>
        <w:t>4.舒城县规划城区高、低排区划分析图</w:t>
      </w:r>
    </w:p>
    <w:p>
      <w:pPr>
        <w:spacing w:line="540" w:lineRule="exact"/>
        <w:rPr>
          <w:color w:val="000000" w:themeColor="text1"/>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 xml:space="preserve">      5.舒城县城市排水分区规划表</w:t>
      </w:r>
    </w:p>
    <w:p>
      <w:pPr>
        <w:pStyle w:val="2"/>
        <w:spacing w:line="540" w:lineRule="exact"/>
        <w:ind w:firstLine="960" w:firstLineChars="300"/>
        <w:rPr>
          <w:rFonts w:ascii="Times New Roman" w:hAnsi="Times New Roman" w:eastAsia="仿宋_GB2312" w:cs="仿宋_GB2312"/>
          <w:color w:val="000000" w:themeColor="text1"/>
          <w:szCs w:val="32"/>
          <w14:textFill>
            <w14:solidFill>
              <w14:schemeClr w14:val="tx1"/>
            </w14:solidFill>
          </w14:textFill>
        </w:rPr>
      </w:pPr>
      <w:r>
        <w:rPr>
          <w:rFonts w:hint="eastAsia" w:ascii="Times New Roman" w:hAnsi="Times New Roman" w:eastAsia="仿宋_GB2312" w:cs="仿宋_GB2312"/>
          <w:color w:val="000000" w:themeColor="text1"/>
          <w:szCs w:val="32"/>
          <w14:textFill>
            <w14:solidFill>
              <w14:schemeClr w14:val="tx1"/>
            </w14:solidFill>
          </w14:textFill>
        </w:rPr>
        <w:t>6.舒城县城管局城区地下有限空间排查统计台账</w:t>
      </w:r>
    </w:p>
    <w:p>
      <w:pPr>
        <w:spacing w:line="540" w:lineRule="exact"/>
        <w:rPr>
          <w:rFonts w:eastAsia="仿宋_GB2312"/>
          <w:color w:val="000000" w:themeColor="text1"/>
          <w:sz w:val="32"/>
          <w:szCs w:val="32"/>
          <w14:textFill>
            <w14:solidFill>
              <w14:schemeClr w14:val="tx1"/>
            </w14:solidFill>
          </w14:textFill>
        </w:rPr>
        <w:sectPr>
          <w:footerReference r:id="rId9" w:type="default"/>
          <w:pgSz w:w="11906" w:h="16838"/>
          <w:pgMar w:top="2098" w:right="1474" w:bottom="1757" w:left="1587" w:header="851" w:footer="992" w:gutter="0"/>
          <w:pgNumType w:start="1"/>
          <w:cols w:space="425" w:num="1"/>
          <w:docGrid w:type="lines" w:linePitch="312" w:charSpace="0"/>
        </w:sectPr>
      </w:pPr>
      <w:r>
        <w:rPr>
          <w:rFonts w:hint="eastAsia" w:eastAsia="仿宋_GB2312" w:cs="仿宋_GB2312"/>
          <w:color w:val="000000" w:themeColor="text1"/>
          <w:sz w:val="32"/>
          <w:szCs w:val="32"/>
          <w14:textFill>
            <w14:solidFill>
              <w14:schemeClr w14:val="tx1"/>
            </w14:solidFill>
          </w14:textFill>
        </w:rPr>
        <w:t xml:space="preserve">      7.舒城县城区内涝点治理清单（补充版）</w:t>
      </w:r>
    </w:p>
    <w:p>
      <w:pPr>
        <w:pStyle w:val="2"/>
        <w:ind w:firstLine="0" w:firstLineChars="0"/>
        <w:rPr>
          <w:rFonts w:ascii="Times New Roman" w:hAnsi="Times New Roman" w:eastAsia="仿宋_GB2312"/>
          <w:color w:val="000000" w:themeColor="text1"/>
          <w:szCs w:val="32"/>
          <w14:textFill>
            <w14:solidFill>
              <w14:schemeClr w14:val="tx1"/>
            </w14:solidFill>
          </w14:textFill>
        </w:rPr>
      </w:pPr>
      <w:r>
        <w:rPr>
          <w:rFonts w:hint="eastAsia" w:ascii="Times New Roman" w:hAnsi="Times New Roman"/>
          <w:color w:val="000000" w:themeColor="text1"/>
          <w:szCs w:val="32"/>
          <w14:textFill>
            <w14:solidFill>
              <w14:schemeClr w14:val="tx1"/>
            </w14:solidFill>
          </w14:textFill>
        </w:rPr>
        <w:drawing>
          <wp:anchor distT="0" distB="0" distL="114300" distR="114300" simplePos="0" relativeHeight="251660288" behindDoc="0" locked="0" layoutInCell="1" allowOverlap="1">
            <wp:simplePos x="0" y="0"/>
            <wp:positionH relativeFrom="column">
              <wp:posOffset>660400</wp:posOffset>
            </wp:positionH>
            <wp:positionV relativeFrom="paragraph">
              <wp:posOffset>-182880</wp:posOffset>
            </wp:positionV>
            <wp:extent cx="8341995" cy="6195060"/>
            <wp:effectExtent l="0" t="0" r="1905" b="15240"/>
            <wp:wrapNone/>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2"/>
                    <a:stretch>
                      <a:fillRect/>
                    </a:stretch>
                  </pic:blipFill>
                  <pic:spPr>
                    <a:xfrm>
                      <a:off x="0" y="0"/>
                      <a:ext cx="8341995" cy="6195060"/>
                    </a:xfrm>
                    <a:prstGeom prst="rect">
                      <a:avLst/>
                    </a:prstGeom>
                  </pic:spPr>
                </pic:pic>
              </a:graphicData>
            </a:graphic>
          </wp:anchor>
        </w:drawing>
      </w:r>
      <w:r>
        <w:rPr>
          <w:rFonts w:hint="eastAsia" w:ascii="Times New Roman" w:hAnsi="Times New Roman" w:eastAsia="仿宋_GB2312"/>
          <w:color w:val="000000" w:themeColor="text1"/>
          <w:szCs w:val="32"/>
          <w14:textFill>
            <w14:solidFill>
              <w14:schemeClr w14:val="tx1"/>
            </w14:solidFill>
          </w14:textFill>
        </w:rPr>
        <w:t>附件1</w:t>
      </w:r>
    </w:p>
    <w:p>
      <w:pPr>
        <w:rPr>
          <w:rFonts w:eastAsia="仿宋_GB2312"/>
          <w:color w:val="000000" w:themeColor="text1"/>
          <w:sz w:val="32"/>
          <w:szCs w:val="32"/>
          <w14:textFill>
            <w14:solidFill>
              <w14:schemeClr w14:val="tx1"/>
            </w14:solidFill>
          </w14:textFill>
        </w:rPr>
      </w:pPr>
    </w:p>
    <w:p>
      <w:pPr>
        <w:pStyle w:val="2"/>
        <w:rPr>
          <w:rFonts w:ascii="Times New Roman" w:hAnsi="Times New Roman" w:eastAsia="仿宋_GB2312"/>
          <w:color w:val="000000" w:themeColor="text1"/>
          <w:szCs w:val="32"/>
          <w14:textFill>
            <w14:solidFill>
              <w14:schemeClr w14:val="tx1"/>
            </w14:solidFill>
          </w14:textFill>
        </w:rPr>
      </w:pPr>
    </w:p>
    <w:p>
      <w:pPr>
        <w:rPr>
          <w:rFonts w:eastAsia="仿宋_GB2312"/>
          <w:color w:val="000000" w:themeColor="text1"/>
          <w:sz w:val="32"/>
          <w:szCs w:val="32"/>
          <w14:textFill>
            <w14:solidFill>
              <w14:schemeClr w14:val="tx1"/>
            </w14:solidFill>
          </w14:textFill>
        </w:rPr>
      </w:pPr>
    </w:p>
    <w:p>
      <w:pPr>
        <w:pStyle w:val="2"/>
        <w:rPr>
          <w:rFonts w:ascii="Times New Roman" w:hAnsi="Times New Roman" w:eastAsia="仿宋_GB2312"/>
          <w:color w:val="000000" w:themeColor="text1"/>
          <w:szCs w:val="32"/>
          <w14:textFill>
            <w14:solidFill>
              <w14:schemeClr w14:val="tx1"/>
            </w14:solidFill>
          </w14:textFill>
        </w:rPr>
      </w:pPr>
    </w:p>
    <w:p>
      <w:pPr>
        <w:rPr>
          <w:rFonts w:eastAsia="仿宋_GB2312"/>
          <w:color w:val="000000" w:themeColor="text1"/>
          <w:sz w:val="32"/>
          <w:szCs w:val="32"/>
          <w14:textFill>
            <w14:solidFill>
              <w14:schemeClr w14:val="tx1"/>
            </w14:solidFill>
          </w14:textFill>
        </w:rPr>
      </w:pPr>
    </w:p>
    <w:p>
      <w:pPr>
        <w:pStyle w:val="2"/>
        <w:rPr>
          <w:rFonts w:ascii="Times New Roman" w:hAnsi="Times New Roman" w:eastAsia="仿宋_GB2312"/>
          <w:color w:val="000000" w:themeColor="text1"/>
          <w:szCs w:val="32"/>
          <w14:textFill>
            <w14:solidFill>
              <w14:schemeClr w14:val="tx1"/>
            </w14:solidFill>
          </w14:textFill>
        </w:rPr>
      </w:pPr>
    </w:p>
    <w:p>
      <w:pPr>
        <w:rPr>
          <w:rFonts w:eastAsia="仿宋_GB2312"/>
          <w:color w:val="000000" w:themeColor="text1"/>
          <w:sz w:val="32"/>
          <w:szCs w:val="32"/>
          <w14:textFill>
            <w14:solidFill>
              <w14:schemeClr w14:val="tx1"/>
            </w14:solidFill>
          </w14:textFill>
        </w:rPr>
      </w:pPr>
    </w:p>
    <w:p>
      <w:pPr>
        <w:pStyle w:val="2"/>
        <w:rPr>
          <w:rFonts w:ascii="Times New Roman" w:hAnsi="Times New Roman" w:eastAsia="仿宋_GB2312"/>
          <w:color w:val="000000" w:themeColor="text1"/>
          <w:szCs w:val="32"/>
          <w14:textFill>
            <w14:solidFill>
              <w14:schemeClr w14:val="tx1"/>
            </w14:solidFill>
          </w14:textFill>
        </w:rPr>
      </w:pPr>
    </w:p>
    <w:p>
      <w:pPr>
        <w:rPr>
          <w:rFonts w:eastAsia="仿宋_GB2312"/>
          <w:color w:val="000000" w:themeColor="text1"/>
          <w:sz w:val="32"/>
          <w:szCs w:val="32"/>
          <w14:textFill>
            <w14:solidFill>
              <w14:schemeClr w14:val="tx1"/>
            </w14:solidFill>
          </w14:textFill>
        </w:rPr>
      </w:pPr>
    </w:p>
    <w:p>
      <w:pPr>
        <w:pStyle w:val="2"/>
        <w:rPr>
          <w:rFonts w:ascii="Times New Roman" w:hAnsi="Times New Roman" w:eastAsia="仿宋_GB2312"/>
          <w:color w:val="000000" w:themeColor="text1"/>
          <w:szCs w:val="32"/>
          <w14:textFill>
            <w14:solidFill>
              <w14:schemeClr w14:val="tx1"/>
            </w14:solidFill>
          </w14:textFill>
        </w:rPr>
      </w:pPr>
    </w:p>
    <w:p>
      <w:pPr>
        <w:rPr>
          <w:rFonts w:eastAsia="仿宋_GB2312"/>
          <w:color w:val="000000" w:themeColor="text1"/>
          <w:sz w:val="32"/>
          <w:szCs w:val="32"/>
          <w14:textFill>
            <w14:solidFill>
              <w14:schemeClr w14:val="tx1"/>
            </w14:solidFill>
          </w14:textFill>
        </w:rPr>
      </w:pPr>
    </w:p>
    <w:p>
      <w:pPr>
        <w:pStyle w:val="2"/>
        <w:rPr>
          <w:rFonts w:ascii="Times New Roman" w:hAnsi="Times New Roman" w:eastAsia="仿宋_GB2312"/>
          <w:color w:val="000000" w:themeColor="text1"/>
          <w:szCs w:val="32"/>
          <w14:textFill>
            <w14:solidFill>
              <w14:schemeClr w14:val="tx1"/>
            </w14:solidFill>
          </w14:textFill>
        </w:rPr>
      </w:pPr>
    </w:p>
    <w:p>
      <w:pPr>
        <w:pStyle w:val="2"/>
        <w:ind w:firstLine="0" w:firstLineChars="0"/>
        <w:rPr>
          <w:rFonts w:ascii="Times New Roman" w:hAnsi="Times New Roman" w:eastAsia="仿宋_GB2312"/>
          <w:color w:val="000000" w:themeColor="text1"/>
          <w:szCs w:val="32"/>
          <w14:textFill>
            <w14:solidFill>
              <w14:schemeClr w14:val="tx1"/>
            </w14:solidFill>
          </w14:textFill>
        </w:rPr>
      </w:pPr>
    </w:p>
    <w:p>
      <w:pPr>
        <w:pStyle w:val="2"/>
        <w:ind w:firstLine="0" w:firstLineChars="0"/>
        <w:rPr>
          <w:rFonts w:ascii="Times New Roman" w:hAnsi="Times New Roman" w:eastAsia="仿宋_GB2312"/>
          <w:color w:val="000000" w:themeColor="text1"/>
          <w:szCs w:val="32"/>
          <w14:textFill>
            <w14:solidFill>
              <w14:schemeClr w14:val="tx1"/>
            </w14:solidFill>
          </w14:textFill>
        </w:rPr>
      </w:pPr>
    </w:p>
    <w:p>
      <w:pPr>
        <w:pStyle w:val="2"/>
        <w:ind w:firstLine="0" w:firstLineChars="0"/>
        <w:rPr>
          <w:rFonts w:ascii="Times New Roman" w:hAnsi="Times New Roman" w:eastAsia="仿宋_GB2312"/>
          <w:color w:val="000000" w:themeColor="text1"/>
          <w:szCs w:val="32"/>
          <w14:textFill>
            <w14:solidFill>
              <w14:schemeClr w14:val="tx1"/>
            </w14:solidFill>
          </w14:textFill>
        </w:rPr>
      </w:pPr>
      <w:r>
        <w:rPr>
          <w:rFonts w:hint="eastAsia" w:ascii="Times New Roman" w:hAnsi="Times New Roman" w:eastAsia="仿宋_GB2312"/>
          <w:color w:val="000000" w:themeColor="text1"/>
          <w:szCs w:val="32"/>
          <w14:textFill>
            <w14:solidFill>
              <w14:schemeClr w14:val="tx1"/>
            </w14:solidFill>
          </w14:textFill>
        </w:rPr>
        <w:drawing>
          <wp:anchor distT="0" distB="0" distL="114300" distR="114300" simplePos="0" relativeHeight="251661312" behindDoc="0" locked="0" layoutInCell="1" allowOverlap="1">
            <wp:simplePos x="0" y="0"/>
            <wp:positionH relativeFrom="column">
              <wp:posOffset>664845</wp:posOffset>
            </wp:positionH>
            <wp:positionV relativeFrom="paragraph">
              <wp:posOffset>74295</wp:posOffset>
            </wp:positionV>
            <wp:extent cx="8483600" cy="5972810"/>
            <wp:effectExtent l="0" t="0" r="12700" b="8890"/>
            <wp:wrapNone/>
            <wp:docPr id="8" name="图片 8" descr="（A1）城市现状排水系统排水能力评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1）城市现状排水系统排水能力评估图"/>
                    <pic:cNvPicPr>
                      <a:picLocks noChangeAspect="1"/>
                    </pic:cNvPicPr>
                  </pic:nvPicPr>
                  <pic:blipFill>
                    <a:blip r:embed="rId13"/>
                    <a:stretch>
                      <a:fillRect/>
                    </a:stretch>
                  </pic:blipFill>
                  <pic:spPr>
                    <a:xfrm>
                      <a:off x="0" y="0"/>
                      <a:ext cx="8483600" cy="5972810"/>
                    </a:xfrm>
                    <a:prstGeom prst="rect">
                      <a:avLst/>
                    </a:prstGeom>
                  </pic:spPr>
                </pic:pic>
              </a:graphicData>
            </a:graphic>
          </wp:anchor>
        </w:drawing>
      </w:r>
      <w:r>
        <w:rPr>
          <w:rFonts w:hint="eastAsia" w:ascii="Times New Roman" w:hAnsi="Times New Roman" w:eastAsia="仿宋_GB2312"/>
          <w:color w:val="000000" w:themeColor="text1"/>
          <w:szCs w:val="32"/>
          <w14:textFill>
            <w14:solidFill>
              <w14:schemeClr w14:val="tx1"/>
            </w14:solidFill>
          </w14:textFill>
        </w:rPr>
        <w:t>附件2</w:t>
      </w:r>
    </w:p>
    <w:p>
      <w:pPr>
        <w:jc w:val="center"/>
        <w:rPr>
          <w:color w:val="000000" w:themeColor="text1"/>
          <w:sz w:val="32"/>
          <w:szCs w:val="32"/>
          <w14:textFill>
            <w14:solidFill>
              <w14:schemeClr w14:val="tx1"/>
            </w14:solidFill>
          </w14:textFill>
        </w:rPr>
      </w:pPr>
    </w:p>
    <w:p>
      <w:pPr>
        <w:jc w:val="center"/>
        <w:rPr>
          <w:color w:val="000000" w:themeColor="text1"/>
          <w:sz w:val="32"/>
          <w:szCs w:val="32"/>
          <w14:textFill>
            <w14:solidFill>
              <w14:schemeClr w14:val="tx1"/>
            </w14:solidFill>
          </w14:textFill>
        </w:rPr>
      </w:pPr>
    </w:p>
    <w:p>
      <w:pPr>
        <w:jc w:val="center"/>
        <w:rPr>
          <w:color w:val="000000" w:themeColor="text1"/>
          <w:sz w:val="32"/>
          <w:szCs w:val="32"/>
          <w14:textFill>
            <w14:solidFill>
              <w14:schemeClr w14:val="tx1"/>
            </w14:solidFill>
          </w14:textFill>
        </w:rPr>
      </w:pPr>
    </w:p>
    <w:p>
      <w:pPr>
        <w:jc w:val="center"/>
        <w:rPr>
          <w:color w:val="000000" w:themeColor="text1"/>
          <w:sz w:val="32"/>
          <w:szCs w:val="32"/>
          <w14:textFill>
            <w14:solidFill>
              <w14:schemeClr w14:val="tx1"/>
            </w14:solidFill>
          </w14:textFill>
        </w:rPr>
      </w:pPr>
    </w:p>
    <w:p>
      <w:pPr>
        <w:jc w:val="center"/>
        <w:rPr>
          <w:color w:val="000000" w:themeColor="text1"/>
          <w:sz w:val="32"/>
          <w:szCs w:val="32"/>
          <w14:textFill>
            <w14:solidFill>
              <w14:schemeClr w14:val="tx1"/>
            </w14:solidFill>
          </w14:textFill>
        </w:rPr>
      </w:pPr>
    </w:p>
    <w:p>
      <w:pPr>
        <w:jc w:val="center"/>
        <w:rPr>
          <w:color w:val="000000" w:themeColor="text1"/>
          <w:sz w:val="32"/>
          <w:szCs w:val="32"/>
          <w14:textFill>
            <w14:solidFill>
              <w14:schemeClr w14:val="tx1"/>
            </w14:solidFill>
          </w14:textFill>
        </w:rPr>
      </w:pPr>
    </w:p>
    <w:p>
      <w:pPr>
        <w:pStyle w:val="2"/>
        <w:rPr>
          <w:rFonts w:ascii="Times New Roman" w:hAnsi="Times New Roman"/>
          <w:color w:val="000000" w:themeColor="text1"/>
          <w:szCs w:val="32"/>
          <w14:textFill>
            <w14:solidFill>
              <w14:schemeClr w14:val="tx1"/>
            </w14:solidFill>
          </w14:textFill>
        </w:rPr>
      </w:pPr>
    </w:p>
    <w:p>
      <w:pPr>
        <w:rPr>
          <w:color w:val="000000" w:themeColor="text1"/>
          <w:sz w:val="32"/>
          <w:szCs w:val="32"/>
          <w14:textFill>
            <w14:solidFill>
              <w14:schemeClr w14:val="tx1"/>
            </w14:solidFill>
          </w14:textFill>
        </w:rPr>
      </w:pPr>
    </w:p>
    <w:p>
      <w:pPr>
        <w:pStyle w:val="2"/>
        <w:rPr>
          <w:rFonts w:ascii="Times New Roman" w:hAnsi="Times New Roman"/>
          <w:color w:val="000000" w:themeColor="text1"/>
          <w:szCs w:val="32"/>
          <w14:textFill>
            <w14:solidFill>
              <w14:schemeClr w14:val="tx1"/>
            </w14:solidFill>
          </w14:textFill>
        </w:rPr>
      </w:pPr>
    </w:p>
    <w:p>
      <w:pPr>
        <w:rPr>
          <w:color w:val="000000" w:themeColor="text1"/>
          <w:sz w:val="32"/>
          <w:szCs w:val="32"/>
          <w14:textFill>
            <w14:solidFill>
              <w14:schemeClr w14:val="tx1"/>
            </w14:solidFill>
          </w14:textFill>
        </w:rPr>
      </w:pPr>
    </w:p>
    <w:p>
      <w:pPr>
        <w:pStyle w:val="2"/>
        <w:rPr>
          <w:rFonts w:ascii="Times New Roman" w:hAnsi="Times New Roman"/>
          <w:color w:val="000000" w:themeColor="text1"/>
          <w:szCs w:val="32"/>
          <w14:textFill>
            <w14:solidFill>
              <w14:schemeClr w14:val="tx1"/>
            </w14:solidFill>
          </w14:textFill>
        </w:rPr>
      </w:pPr>
    </w:p>
    <w:p>
      <w:pPr>
        <w:rPr>
          <w:color w:val="000000" w:themeColor="text1"/>
          <w:sz w:val="32"/>
          <w:szCs w:val="32"/>
          <w14:textFill>
            <w14:solidFill>
              <w14:schemeClr w14:val="tx1"/>
            </w14:solidFill>
          </w14:textFill>
        </w:rPr>
      </w:pPr>
    </w:p>
    <w:p>
      <w:pPr>
        <w:pStyle w:val="2"/>
        <w:rPr>
          <w:rFonts w:ascii="Times New Roman" w:hAnsi="Times New Roman"/>
          <w:color w:val="000000" w:themeColor="text1"/>
          <w:szCs w:val="32"/>
          <w14:textFill>
            <w14:solidFill>
              <w14:schemeClr w14:val="tx1"/>
            </w14:solidFill>
          </w14:textFill>
        </w:rPr>
      </w:pPr>
    </w:p>
    <w:p>
      <w:pPr>
        <w:rPr>
          <w:color w:val="000000" w:themeColor="text1"/>
          <w:sz w:val="32"/>
          <w:szCs w:val="32"/>
          <w14:textFill>
            <w14:solidFill>
              <w14:schemeClr w14:val="tx1"/>
            </w14:solidFill>
          </w14:textFill>
        </w:rPr>
      </w:pPr>
    </w:p>
    <w:p>
      <w:pPr>
        <w:pStyle w:val="2"/>
        <w:ind w:firstLine="0" w:firstLineChars="0"/>
        <w:outlineLvl w:val="0"/>
        <w:rPr>
          <w:rFonts w:ascii="Times New Roman" w:hAnsi="Times New Roman"/>
          <w:color w:val="000000" w:themeColor="text1"/>
          <w:szCs w:val="32"/>
          <w14:textFill>
            <w14:solidFill>
              <w14:schemeClr w14:val="tx1"/>
            </w14:solidFill>
          </w14:textFill>
        </w:rPr>
      </w:pPr>
      <w:bookmarkStart w:id="73" w:name="_Toc22337"/>
      <w:r>
        <w:rPr>
          <w:rFonts w:hint="eastAsia" w:ascii="Times New Roman" w:hAnsi="Times New Roman" w:eastAsia="仿宋_GB2312"/>
          <w:color w:val="000000" w:themeColor="text1"/>
          <w:szCs w:val="32"/>
          <w14:textFill>
            <w14:solidFill>
              <w14:schemeClr w14:val="tx1"/>
            </w14:solidFill>
          </w14:textFill>
        </w:rPr>
        <w:t>附件3</w:t>
      </w:r>
      <w:bookmarkEnd w:id="73"/>
    </w:p>
    <w:p>
      <w:pPr>
        <w:pStyle w:val="2"/>
        <w:ind w:firstLine="0" w:firstLineChars="0"/>
        <w:rPr>
          <w:rFonts w:ascii="Times New Roman" w:hAnsi="Times New Roman"/>
          <w:color w:val="000000" w:themeColor="text1"/>
          <w:szCs w:val="32"/>
          <w14:textFill>
            <w14:solidFill>
              <w14:schemeClr w14:val="tx1"/>
            </w14:solidFill>
          </w14:textFill>
        </w:rPr>
      </w:pPr>
      <w:r>
        <w:rPr>
          <w:rFonts w:hint="eastAsia" w:ascii="Times New Roman" w:hAnsi="Times New Roman"/>
          <w:color w:val="000000" w:themeColor="text1"/>
          <w:szCs w:val="32"/>
          <w14:textFill>
            <w14:solidFill>
              <w14:schemeClr w14:val="tx1"/>
            </w14:solidFill>
          </w14:textFill>
        </w:rPr>
        <w:drawing>
          <wp:anchor distT="0" distB="0" distL="114300" distR="114300" simplePos="0" relativeHeight="251659264" behindDoc="0" locked="0" layoutInCell="1" allowOverlap="1">
            <wp:simplePos x="0" y="0"/>
            <wp:positionH relativeFrom="column">
              <wp:posOffset>680085</wp:posOffset>
            </wp:positionH>
            <wp:positionV relativeFrom="paragraph">
              <wp:posOffset>3810</wp:posOffset>
            </wp:positionV>
            <wp:extent cx="8438515" cy="5968365"/>
            <wp:effectExtent l="0" t="0" r="635" b="13335"/>
            <wp:wrapNone/>
            <wp:docPr id="5" name="图片 5" descr="附件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3_00"/>
                    <pic:cNvPicPr>
                      <a:picLocks noChangeAspect="1"/>
                    </pic:cNvPicPr>
                  </pic:nvPicPr>
                  <pic:blipFill>
                    <a:blip r:embed="rId14"/>
                    <a:stretch>
                      <a:fillRect/>
                    </a:stretch>
                  </pic:blipFill>
                  <pic:spPr>
                    <a:xfrm>
                      <a:off x="0" y="0"/>
                      <a:ext cx="8438515" cy="5968365"/>
                    </a:xfrm>
                    <a:prstGeom prst="rect">
                      <a:avLst/>
                    </a:prstGeom>
                  </pic:spPr>
                </pic:pic>
              </a:graphicData>
            </a:graphic>
          </wp:anchor>
        </w:drawing>
      </w:r>
    </w:p>
    <w:p>
      <w:pPr>
        <w:rPr>
          <w:color w:val="000000" w:themeColor="text1"/>
          <w:sz w:val="32"/>
          <w:szCs w:val="32"/>
          <w14:textFill>
            <w14:solidFill>
              <w14:schemeClr w14:val="tx1"/>
            </w14:solidFill>
          </w14:textFill>
        </w:rPr>
      </w:pPr>
    </w:p>
    <w:p>
      <w:pPr>
        <w:rPr>
          <w:color w:val="000000" w:themeColor="text1"/>
          <w:sz w:val="32"/>
          <w:szCs w:val="32"/>
          <w14:textFill>
            <w14:solidFill>
              <w14:schemeClr w14:val="tx1"/>
            </w14:solidFill>
          </w14:textFill>
        </w:rPr>
      </w:pPr>
    </w:p>
    <w:p>
      <w:pPr>
        <w:rPr>
          <w:color w:val="000000" w:themeColor="text1"/>
          <w:sz w:val="32"/>
          <w:szCs w:val="32"/>
          <w14:textFill>
            <w14:solidFill>
              <w14:schemeClr w14:val="tx1"/>
            </w14:solidFill>
          </w14:textFill>
        </w:rPr>
      </w:pPr>
    </w:p>
    <w:p>
      <w:pPr>
        <w:rPr>
          <w:color w:val="000000" w:themeColor="text1"/>
          <w:sz w:val="32"/>
          <w:szCs w:val="32"/>
          <w14:textFill>
            <w14:solidFill>
              <w14:schemeClr w14:val="tx1"/>
            </w14:solidFill>
          </w14:textFill>
        </w:rPr>
      </w:pPr>
    </w:p>
    <w:p>
      <w:pPr>
        <w:rPr>
          <w:color w:val="000000" w:themeColor="text1"/>
          <w:sz w:val="32"/>
          <w:szCs w:val="32"/>
          <w14:textFill>
            <w14:solidFill>
              <w14:schemeClr w14:val="tx1"/>
            </w14:solidFill>
          </w14:textFill>
        </w:rPr>
      </w:pPr>
    </w:p>
    <w:p>
      <w:pPr>
        <w:tabs>
          <w:tab w:val="left" w:pos="15046"/>
        </w:tabs>
        <w:jc w:val="left"/>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ab/>
      </w:r>
    </w:p>
    <w:p>
      <w:pPr>
        <w:pStyle w:val="2"/>
        <w:rPr>
          <w:rFonts w:ascii="Times New Roman" w:hAnsi="Times New Roman"/>
          <w:color w:val="000000" w:themeColor="text1"/>
          <w:szCs w:val="32"/>
          <w14:textFill>
            <w14:solidFill>
              <w14:schemeClr w14:val="tx1"/>
            </w14:solidFill>
          </w14:textFill>
        </w:rPr>
      </w:pPr>
    </w:p>
    <w:p>
      <w:pPr>
        <w:rPr>
          <w:color w:val="000000" w:themeColor="text1"/>
          <w:sz w:val="32"/>
          <w:szCs w:val="32"/>
          <w14:textFill>
            <w14:solidFill>
              <w14:schemeClr w14:val="tx1"/>
            </w14:solidFill>
          </w14:textFill>
        </w:rPr>
      </w:pPr>
    </w:p>
    <w:p>
      <w:pPr>
        <w:pStyle w:val="2"/>
        <w:rPr>
          <w:rFonts w:ascii="Times New Roman" w:hAnsi="Times New Roman"/>
          <w:color w:val="000000" w:themeColor="text1"/>
          <w:szCs w:val="32"/>
          <w14:textFill>
            <w14:solidFill>
              <w14:schemeClr w14:val="tx1"/>
            </w14:solidFill>
          </w14:textFill>
        </w:rPr>
      </w:pPr>
    </w:p>
    <w:p>
      <w:pPr>
        <w:rPr>
          <w:color w:val="000000" w:themeColor="text1"/>
          <w:sz w:val="32"/>
          <w:szCs w:val="32"/>
          <w14:textFill>
            <w14:solidFill>
              <w14:schemeClr w14:val="tx1"/>
            </w14:solidFill>
          </w14:textFill>
        </w:rPr>
      </w:pPr>
    </w:p>
    <w:p>
      <w:pPr>
        <w:pStyle w:val="2"/>
        <w:rPr>
          <w:rFonts w:ascii="Times New Roman" w:hAnsi="Times New Roman"/>
          <w:color w:val="000000" w:themeColor="text1"/>
          <w:szCs w:val="32"/>
          <w14:textFill>
            <w14:solidFill>
              <w14:schemeClr w14:val="tx1"/>
            </w14:solidFill>
          </w14:textFill>
        </w:rPr>
      </w:pPr>
    </w:p>
    <w:p>
      <w:pPr>
        <w:rPr>
          <w:color w:val="000000" w:themeColor="text1"/>
          <w14:textFill>
            <w14:solidFill>
              <w14:schemeClr w14:val="tx1"/>
            </w14:solidFill>
          </w14:textFill>
        </w:rPr>
      </w:pPr>
    </w:p>
    <w:p>
      <w:pPr>
        <w:pStyle w:val="2"/>
      </w:pPr>
    </w:p>
    <w:p>
      <w:pPr>
        <w:pStyle w:val="2"/>
        <w:ind w:firstLine="0" w:firstLineChars="0"/>
        <w:outlineLvl w:val="0"/>
        <w:rPr>
          <w:rFonts w:ascii="Times New Roman" w:hAnsi="Times New Roman"/>
          <w:color w:val="000000" w:themeColor="text1"/>
          <w:szCs w:val="32"/>
          <w14:textFill>
            <w14:solidFill>
              <w14:schemeClr w14:val="tx1"/>
            </w14:solidFill>
          </w14:textFill>
        </w:rPr>
      </w:pPr>
      <w:bookmarkStart w:id="74" w:name="_Toc28730"/>
    </w:p>
    <w:p>
      <w:pPr>
        <w:pStyle w:val="2"/>
        <w:ind w:firstLine="0" w:firstLineChars="0"/>
        <w:outlineLvl w:val="0"/>
        <w:rPr>
          <w:rFonts w:ascii="Times New Roman" w:hAnsi="Times New Roman"/>
          <w:color w:val="000000" w:themeColor="text1"/>
          <w:szCs w:val="32"/>
          <w14:textFill>
            <w14:solidFill>
              <w14:schemeClr w14:val="tx1"/>
            </w14:solidFill>
          </w14:textFill>
        </w:rPr>
      </w:pPr>
      <w:r>
        <w:rPr>
          <w:rFonts w:hint="eastAsia" w:ascii="Times New Roman" w:hAnsi="Times New Roman"/>
          <w:color w:val="000000" w:themeColor="text1"/>
          <w:szCs w:val="32"/>
          <w14:textFill>
            <w14:solidFill>
              <w14:schemeClr w14:val="tx1"/>
            </w14:solidFill>
          </w14:textFill>
        </w:rPr>
        <w:t>附件4</w:t>
      </w:r>
    </w:p>
    <w:p>
      <w:pPr>
        <w:pStyle w:val="2"/>
        <w:ind w:firstLine="0" w:firstLineChars="0"/>
        <w:jc w:val="center"/>
        <w:outlineLvl w:val="0"/>
        <w:rPr>
          <w:rFonts w:ascii="Times New Roman" w:hAnsi="Times New Roman" w:eastAsia="方正小标宋简体" w:cs="方正小标宋简体"/>
          <w:color w:val="000000" w:themeColor="text1"/>
          <w:sz w:val="36"/>
          <w:szCs w:val="36"/>
          <w14:textFill>
            <w14:solidFill>
              <w14:schemeClr w14:val="tx1"/>
            </w14:solidFill>
          </w14:textFill>
        </w:rPr>
      </w:pPr>
      <w:r>
        <w:rPr>
          <w:rFonts w:hint="eastAsia" w:ascii="Times New Roman" w:hAnsi="Times New Roman" w:eastAsia="方正小标宋简体" w:cs="方正小标宋简体"/>
          <w:color w:val="000000" w:themeColor="text1"/>
          <w:sz w:val="36"/>
          <w:szCs w:val="36"/>
          <w14:textFill>
            <w14:solidFill>
              <w14:schemeClr w14:val="tx1"/>
            </w14:solidFill>
          </w14:textFill>
        </w:rPr>
        <w:t>舒城县规划城区高、低排区划分析图</w:t>
      </w:r>
    </w:p>
    <w:p>
      <w:pPr>
        <w:pStyle w:val="2"/>
        <w:ind w:firstLine="0" w:firstLineChars="0"/>
        <w:outlineLvl w:val="0"/>
        <w:rPr>
          <w:rFonts w:ascii="Times New Roman" w:hAnsi="Times New Roman"/>
          <w:color w:val="000000" w:themeColor="text1"/>
          <w:szCs w:val="32"/>
          <w14:textFill>
            <w14:solidFill>
              <w14:schemeClr w14:val="tx1"/>
            </w14:solidFill>
          </w14:textFill>
        </w:rPr>
      </w:pPr>
      <w:r>
        <w:rPr>
          <w:rFonts w:hint="eastAsia" w:ascii="Times New Roman" w:hAnsi="Times New Roman"/>
          <w:color w:val="000000" w:themeColor="text1"/>
          <w:szCs w:val="32"/>
          <w14:textFill>
            <w14:solidFill>
              <w14:schemeClr w14:val="tx1"/>
            </w14:solidFill>
          </w14:textFill>
        </w:rPr>
        <w:drawing>
          <wp:anchor distT="0" distB="0" distL="114300" distR="114300" simplePos="0" relativeHeight="251662336" behindDoc="0" locked="0" layoutInCell="1" allowOverlap="1">
            <wp:simplePos x="0" y="0"/>
            <wp:positionH relativeFrom="column">
              <wp:posOffset>968375</wp:posOffset>
            </wp:positionH>
            <wp:positionV relativeFrom="paragraph">
              <wp:posOffset>8890</wp:posOffset>
            </wp:positionV>
            <wp:extent cx="8111490" cy="5252085"/>
            <wp:effectExtent l="0" t="0" r="3810" b="5715"/>
            <wp:wrapNone/>
            <wp:docPr id="10" name="图片 10" descr="1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图片"/>
                    <pic:cNvPicPr>
                      <a:picLocks noChangeAspect="1"/>
                    </pic:cNvPicPr>
                  </pic:nvPicPr>
                  <pic:blipFill>
                    <a:blip r:embed="rId15"/>
                    <a:stretch>
                      <a:fillRect/>
                    </a:stretch>
                  </pic:blipFill>
                  <pic:spPr>
                    <a:xfrm>
                      <a:off x="0" y="0"/>
                      <a:ext cx="8111490" cy="5252085"/>
                    </a:xfrm>
                    <a:prstGeom prst="rect">
                      <a:avLst/>
                    </a:prstGeom>
                  </pic:spPr>
                </pic:pic>
              </a:graphicData>
            </a:graphic>
          </wp:anchor>
        </w:drawing>
      </w:r>
    </w:p>
    <w:p>
      <w:pPr>
        <w:pStyle w:val="2"/>
        <w:ind w:firstLine="0" w:firstLineChars="0"/>
        <w:outlineLvl w:val="0"/>
        <w:rPr>
          <w:rFonts w:ascii="Times New Roman" w:hAnsi="Times New Roman"/>
          <w:color w:val="000000" w:themeColor="text1"/>
          <w:szCs w:val="32"/>
          <w14:textFill>
            <w14:solidFill>
              <w14:schemeClr w14:val="tx1"/>
            </w14:solidFill>
          </w14:textFill>
        </w:rPr>
      </w:pPr>
    </w:p>
    <w:p>
      <w:pPr>
        <w:pStyle w:val="2"/>
        <w:ind w:firstLine="0" w:firstLineChars="0"/>
        <w:outlineLvl w:val="0"/>
        <w:rPr>
          <w:rFonts w:ascii="Times New Roman" w:hAnsi="Times New Roman"/>
          <w:color w:val="000000" w:themeColor="text1"/>
          <w:szCs w:val="32"/>
          <w14:textFill>
            <w14:solidFill>
              <w14:schemeClr w14:val="tx1"/>
            </w14:solidFill>
          </w14:textFill>
        </w:rPr>
      </w:pPr>
    </w:p>
    <w:p>
      <w:pPr>
        <w:pStyle w:val="2"/>
        <w:ind w:firstLine="0" w:firstLineChars="0"/>
        <w:outlineLvl w:val="0"/>
        <w:rPr>
          <w:rFonts w:ascii="Times New Roman" w:hAnsi="Times New Roman"/>
          <w:color w:val="000000" w:themeColor="text1"/>
          <w:szCs w:val="32"/>
          <w14:textFill>
            <w14:solidFill>
              <w14:schemeClr w14:val="tx1"/>
            </w14:solidFill>
          </w14:textFill>
        </w:rPr>
      </w:pPr>
    </w:p>
    <w:p>
      <w:pPr>
        <w:pStyle w:val="2"/>
        <w:ind w:firstLine="0" w:firstLineChars="0"/>
        <w:outlineLvl w:val="0"/>
        <w:rPr>
          <w:rFonts w:ascii="Times New Roman" w:hAnsi="Times New Roman"/>
          <w:color w:val="000000" w:themeColor="text1"/>
          <w:szCs w:val="32"/>
          <w14:textFill>
            <w14:solidFill>
              <w14:schemeClr w14:val="tx1"/>
            </w14:solidFill>
          </w14:textFill>
        </w:rPr>
      </w:pPr>
    </w:p>
    <w:p>
      <w:pPr>
        <w:pStyle w:val="2"/>
        <w:ind w:firstLine="0" w:firstLineChars="0"/>
        <w:outlineLvl w:val="0"/>
        <w:rPr>
          <w:rFonts w:ascii="Times New Roman" w:hAnsi="Times New Roman"/>
          <w:color w:val="000000" w:themeColor="text1"/>
          <w:szCs w:val="32"/>
          <w14:textFill>
            <w14:solidFill>
              <w14:schemeClr w14:val="tx1"/>
            </w14:solidFill>
          </w14:textFill>
        </w:rPr>
      </w:pPr>
    </w:p>
    <w:p>
      <w:pPr>
        <w:pStyle w:val="2"/>
        <w:ind w:firstLine="0" w:firstLineChars="0"/>
        <w:outlineLvl w:val="0"/>
        <w:rPr>
          <w:rFonts w:ascii="Times New Roman" w:hAnsi="Times New Roman"/>
          <w:color w:val="000000" w:themeColor="text1"/>
          <w:szCs w:val="32"/>
          <w14:textFill>
            <w14:solidFill>
              <w14:schemeClr w14:val="tx1"/>
            </w14:solidFill>
          </w14:textFill>
        </w:rPr>
      </w:pPr>
    </w:p>
    <w:p>
      <w:pPr>
        <w:pStyle w:val="2"/>
        <w:ind w:firstLine="0" w:firstLineChars="0"/>
        <w:outlineLvl w:val="0"/>
        <w:rPr>
          <w:rFonts w:ascii="Times New Roman" w:hAnsi="Times New Roman"/>
          <w:color w:val="000000" w:themeColor="text1"/>
          <w:szCs w:val="32"/>
          <w14:textFill>
            <w14:solidFill>
              <w14:schemeClr w14:val="tx1"/>
            </w14:solidFill>
          </w14:textFill>
        </w:rPr>
      </w:pPr>
    </w:p>
    <w:p>
      <w:pPr>
        <w:pStyle w:val="2"/>
        <w:ind w:firstLine="0" w:firstLineChars="0"/>
        <w:outlineLvl w:val="0"/>
        <w:rPr>
          <w:rFonts w:ascii="Times New Roman" w:hAnsi="Times New Roman"/>
          <w:color w:val="000000" w:themeColor="text1"/>
          <w:szCs w:val="32"/>
          <w14:textFill>
            <w14:solidFill>
              <w14:schemeClr w14:val="tx1"/>
            </w14:solidFill>
          </w14:textFill>
        </w:rPr>
      </w:pPr>
    </w:p>
    <w:p>
      <w:pPr>
        <w:pStyle w:val="2"/>
        <w:ind w:firstLine="0" w:firstLineChars="0"/>
        <w:outlineLvl w:val="0"/>
        <w:rPr>
          <w:rFonts w:ascii="Times New Roman" w:hAnsi="Times New Roman"/>
          <w:color w:val="000000" w:themeColor="text1"/>
          <w:szCs w:val="32"/>
          <w14:textFill>
            <w14:solidFill>
              <w14:schemeClr w14:val="tx1"/>
            </w14:solidFill>
          </w14:textFill>
        </w:rPr>
      </w:pPr>
    </w:p>
    <w:p>
      <w:pPr>
        <w:pStyle w:val="2"/>
        <w:ind w:firstLine="0" w:firstLineChars="0"/>
        <w:outlineLvl w:val="0"/>
        <w:rPr>
          <w:rFonts w:ascii="Times New Roman" w:hAnsi="Times New Roman"/>
          <w:color w:val="000000" w:themeColor="text1"/>
          <w:szCs w:val="32"/>
          <w14:textFill>
            <w14:solidFill>
              <w14:schemeClr w14:val="tx1"/>
            </w14:solidFill>
          </w14:textFill>
        </w:rPr>
      </w:pPr>
    </w:p>
    <w:p>
      <w:pPr>
        <w:pStyle w:val="2"/>
        <w:ind w:firstLine="0" w:firstLineChars="0"/>
        <w:outlineLvl w:val="0"/>
        <w:rPr>
          <w:rFonts w:ascii="Times New Roman" w:hAnsi="Times New Roman"/>
          <w:color w:val="000000" w:themeColor="text1"/>
          <w:szCs w:val="32"/>
          <w14:textFill>
            <w14:solidFill>
              <w14:schemeClr w14:val="tx1"/>
            </w14:solidFill>
          </w14:textFill>
        </w:rPr>
      </w:pPr>
    </w:p>
    <w:p>
      <w:pPr>
        <w:pStyle w:val="2"/>
        <w:ind w:firstLine="0" w:firstLineChars="0"/>
        <w:outlineLvl w:val="0"/>
        <w:rPr>
          <w:rFonts w:ascii="Times New Roman" w:hAnsi="Times New Roman"/>
          <w:color w:val="000000" w:themeColor="text1"/>
          <w:szCs w:val="32"/>
          <w14:textFill>
            <w14:solidFill>
              <w14:schemeClr w14:val="tx1"/>
            </w14:solidFill>
          </w14:textFill>
        </w:rPr>
      </w:pPr>
    </w:p>
    <w:p>
      <w:pPr>
        <w:pStyle w:val="2"/>
        <w:ind w:firstLine="0" w:firstLineChars="0"/>
        <w:outlineLvl w:val="0"/>
        <w:rPr>
          <w:rFonts w:ascii="Times New Roman" w:hAnsi="Times New Roman"/>
          <w:color w:val="000000" w:themeColor="text1"/>
          <w:szCs w:val="32"/>
          <w14:textFill>
            <w14:solidFill>
              <w14:schemeClr w14:val="tx1"/>
            </w14:solidFill>
          </w14:textFill>
        </w:rPr>
      </w:pPr>
      <w:r>
        <w:rPr>
          <w:rFonts w:hint="eastAsia" w:ascii="Times New Roman" w:hAnsi="Times New Roman"/>
          <w:color w:val="000000" w:themeColor="text1"/>
          <w:szCs w:val="32"/>
          <w14:textFill>
            <w14:solidFill>
              <w14:schemeClr w14:val="tx1"/>
            </w14:solidFill>
          </w14:textFill>
        </w:rPr>
        <w:t>附件5</w:t>
      </w:r>
    </w:p>
    <w:p>
      <w:pPr>
        <w:pStyle w:val="2"/>
        <w:ind w:firstLine="0" w:firstLineChars="0"/>
        <w:jc w:val="center"/>
        <w:outlineLvl w:val="0"/>
        <w:rPr>
          <w:rFonts w:ascii="Times New Roman" w:hAnsi="Times New Roman"/>
          <w:color w:val="000000" w:themeColor="text1"/>
          <w:sz w:val="36"/>
          <w:szCs w:val="36"/>
          <w14:textFill>
            <w14:solidFill>
              <w14:schemeClr w14:val="tx1"/>
            </w14:solidFill>
          </w14:textFill>
        </w:rPr>
      </w:pPr>
      <w:r>
        <w:rPr>
          <w:rFonts w:hint="eastAsia" w:ascii="Times New Roman" w:hAnsi="Times New Roman" w:eastAsia="方正小标宋简体" w:cs="方正小标宋简体"/>
          <w:color w:val="000000" w:themeColor="text1"/>
          <w:sz w:val="36"/>
          <w:szCs w:val="36"/>
          <w14:textFill>
            <w14:solidFill>
              <w14:schemeClr w14:val="tx1"/>
            </w14:solidFill>
          </w14:textFill>
        </w:rPr>
        <w:t>舒城县城市排水分区规划表</w:t>
      </w:r>
    </w:p>
    <w:tbl>
      <w:tblPr>
        <w:tblStyle w:val="27"/>
        <w:tblW w:w="15458" w:type="dxa"/>
        <w:tblInd w:w="2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1358"/>
        <w:gridCol w:w="1524"/>
        <w:gridCol w:w="2557"/>
        <w:gridCol w:w="1881"/>
        <w:gridCol w:w="2346"/>
        <w:gridCol w:w="2774"/>
        <w:gridCol w:w="21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4" w:hRule="atLeast"/>
        </w:trPr>
        <w:tc>
          <w:tcPr>
            <w:tcW w:w="850" w:type="dxa"/>
            <w:vAlign w:val="center"/>
          </w:tcPr>
          <w:p>
            <w:pPr>
              <w:widowControl/>
              <w:jc w:val="center"/>
              <w:textAlignment w:val="center"/>
              <w:rPr>
                <w:rFonts w:cs="宋体"/>
                <w:b/>
                <w:bCs/>
                <w:color w:val="000000" w:themeColor="text1"/>
                <w:kern w:val="0"/>
                <w:szCs w:val="21"/>
                <w14:textFill>
                  <w14:solidFill>
                    <w14:schemeClr w14:val="tx1"/>
                  </w14:solidFill>
                </w14:textFill>
              </w:rPr>
            </w:pPr>
            <w:r>
              <w:rPr>
                <w:rFonts w:hint="eastAsia" w:cs="宋体"/>
                <w:b/>
                <w:bCs/>
                <w:color w:val="000000" w:themeColor="text1"/>
                <w:kern w:val="0"/>
                <w:szCs w:val="21"/>
                <w14:textFill>
                  <w14:solidFill>
                    <w14:schemeClr w14:val="tx1"/>
                  </w14:solidFill>
                </w14:textFill>
              </w:rPr>
              <w:t>编号</w:t>
            </w:r>
          </w:p>
        </w:tc>
        <w:tc>
          <w:tcPr>
            <w:tcW w:w="1358" w:type="dxa"/>
            <w:vAlign w:val="center"/>
          </w:tcPr>
          <w:p>
            <w:pPr>
              <w:widowControl/>
              <w:jc w:val="center"/>
              <w:textAlignment w:val="center"/>
              <w:rPr>
                <w:rFonts w:cs="宋体"/>
                <w:b/>
                <w:bCs/>
                <w:color w:val="000000" w:themeColor="text1"/>
                <w:kern w:val="0"/>
                <w:szCs w:val="21"/>
                <w14:textFill>
                  <w14:solidFill>
                    <w14:schemeClr w14:val="tx1"/>
                  </w14:solidFill>
                </w14:textFill>
              </w:rPr>
            </w:pPr>
            <w:r>
              <w:rPr>
                <w:rFonts w:hint="eastAsia" w:cs="宋体"/>
                <w:b/>
                <w:bCs/>
                <w:color w:val="000000" w:themeColor="text1"/>
                <w:kern w:val="0"/>
                <w:szCs w:val="21"/>
                <w14:textFill>
                  <w14:solidFill>
                    <w14:schemeClr w14:val="tx1"/>
                  </w14:solidFill>
                </w14:textFill>
              </w:rPr>
              <w:t>分区名称</w:t>
            </w:r>
          </w:p>
        </w:tc>
        <w:tc>
          <w:tcPr>
            <w:tcW w:w="1524" w:type="dxa"/>
            <w:vAlign w:val="center"/>
          </w:tcPr>
          <w:p>
            <w:pPr>
              <w:widowControl/>
              <w:jc w:val="center"/>
              <w:textAlignment w:val="center"/>
              <w:rPr>
                <w:rFonts w:cs="宋体"/>
                <w:b/>
                <w:bCs/>
                <w:color w:val="000000" w:themeColor="text1"/>
                <w:kern w:val="0"/>
                <w:szCs w:val="21"/>
                <w14:textFill>
                  <w14:solidFill>
                    <w14:schemeClr w14:val="tx1"/>
                  </w14:solidFill>
                </w14:textFill>
              </w:rPr>
            </w:pPr>
            <w:r>
              <w:rPr>
                <w:rFonts w:hint="eastAsia" w:cs="宋体"/>
                <w:b/>
                <w:bCs/>
                <w:color w:val="000000" w:themeColor="text1"/>
                <w:kern w:val="0"/>
                <w:szCs w:val="21"/>
                <w14:textFill>
                  <w14:solidFill>
                    <w14:schemeClr w14:val="tx1"/>
                  </w14:solidFill>
                </w14:textFill>
              </w:rPr>
              <w:t>面积（公顷 ）</w:t>
            </w:r>
          </w:p>
        </w:tc>
        <w:tc>
          <w:tcPr>
            <w:tcW w:w="2557" w:type="dxa"/>
            <w:vAlign w:val="center"/>
          </w:tcPr>
          <w:p>
            <w:pPr>
              <w:widowControl/>
              <w:jc w:val="center"/>
              <w:textAlignment w:val="center"/>
              <w:rPr>
                <w:rFonts w:cs="宋体"/>
                <w:b/>
                <w:bCs/>
                <w:color w:val="000000" w:themeColor="text1"/>
                <w:kern w:val="0"/>
                <w:szCs w:val="21"/>
                <w14:textFill>
                  <w14:solidFill>
                    <w14:schemeClr w14:val="tx1"/>
                  </w14:solidFill>
                </w14:textFill>
              </w:rPr>
            </w:pPr>
            <w:r>
              <w:rPr>
                <w:rFonts w:hint="eastAsia" w:cs="宋体"/>
                <w:b/>
                <w:bCs/>
                <w:color w:val="000000" w:themeColor="text1"/>
                <w:kern w:val="0"/>
                <w:szCs w:val="21"/>
                <w14:textFill>
                  <w14:solidFill>
                    <w14:schemeClr w14:val="tx1"/>
                  </w14:solidFill>
                </w14:textFill>
              </w:rPr>
              <w:t>主要雨水受纳水体</w:t>
            </w:r>
          </w:p>
        </w:tc>
        <w:tc>
          <w:tcPr>
            <w:tcW w:w="1881" w:type="dxa"/>
            <w:vAlign w:val="center"/>
          </w:tcPr>
          <w:p>
            <w:pPr>
              <w:widowControl/>
              <w:jc w:val="center"/>
              <w:textAlignment w:val="center"/>
              <w:rPr>
                <w:rFonts w:cs="宋体"/>
                <w:b/>
                <w:bCs/>
                <w:color w:val="000000" w:themeColor="text1"/>
                <w:kern w:val="0"/>
                <w:szCs w:val="21"/>
                <w14:textFill>
                  <w14:solidFill>
                    <w14:schemeClr w14:val="tx1"/>
                  </w14:solidFill>
                </w14:textFill>
              </w:rPr>
            </w:pPr>
            <w:r>
              <w:rPr>
                <w:rFonts w:hint="eastAsia" w:cs="宋体"/>
                <w:b/>
                <w:bCs/>
                <w:color w:val="000000" w:themeColor="text1"/>
                <w:kern w:val="0"/>
                <w:szCs w:val="21"/>
                <w14:textFill>
                  <w14:solidFill>
                    <w14:schemeClr w14:val="tx1"/>
                  </w14:solidFill>
                </w14:textFill>
              </w:rPr>
              <w:t>排水制度</w:t>
            </w:r>
          </w:p>
        </w:tc>
        <w:tc>
          <w:tcPr>
            <w:tcW w:w="2346" w:type="dxa"/>
            <w:vAlign w:val="center"/>
          </w:tcPr>
          <w:p>
            <w:pPr>
              <w:widowControl/>
              <w:jc w:val="center"/>
              <w:textAlignment w:val="center"/>
              <w:rPr>
                <w:rFonts w:cs="宋体"/>
                <w:b/>
                <w:bCs/>
                <w:color w:val="000000" w:themeColor="text1"/>
                <w:kern w:val="0"/>
                <w:szCs w:val="21"/>
                <w14:textFill>
                  <w14:solidFill>
                    <w14:schemeClr w14:val="tx1"/>
                  </w14:solidFill>
                </w14:textFill>
              </w:rPr>
            </w:pPr>
            <w:r>
              <w:rPr>
                <w:rFonts w:hint="eastAsia" w:cs="宋体"/>
                <w:b/>
                <w:bCs/>
                <w:color w:val="000000" w:themeColor="text1"/>
                <w:kern w:val="0"/>
                <w:szCs w:val="21"/>
                <w14:textFill>
                  <w14:solidFill>
                    <w14:schemeClr w14:val="tx1"/>
                  </w14:solidFill>
                </w14:textFill>
              </w:rPr>
              <w:t>现状低排区面积（公顷）</w:t>
            </w:r>
          </w:p>
        </w:tc>
        <w:tc>
          <w:tcPr>
            <w:tcW w:w="2774" w:type="dxa"/>
            <w:vAlign w:val="center"/>
          </w:tcPr>
          <w:p>
            <w:pPr>
              <w:widowControl/>
              <w:jc w:val="center"/>
              <w:textAlignment w:val="center"/>
              <w:rPr>
                <w:rFonts w:cs="宋体"/>
                <w:b/>
                <w:bCs/>
                <w:color w:val="000000" w:themeColor="text1"/>
                <w:kern w:val="0"/>
                <w:szCs w:val="21"/>
                <w14:textFill>
                  <w14:solidFill>
                    <w14:schemeClr w14:val="tx1"/>
                  </w14:solidFill>
                </w14:textFill>
              </w:rPr>
            </w:pPr>
            <w:r>
              <w:rPr>
                <w:rFonts w:hint="eastAsia" w:cs="宋体"/>
                <w:b/>
                <w:bCs/>
                <w:color w:val="000000" w:themeColor="text1"/>
                <w:kern w:val="0"/>
                <w:szCs w:val="21"/>
                <w14:textFill>
                  <w14:solidFill>
                    <w14:schemeClr w14:val="tx1"/>
                  </w14:solidFill>
                </w14:textFill>
              </w:rPr>
              <w:t>内涝防治措施</w:t>
            </w:r>
          </w:p>
        </w:tc>
        <w:tc>
          <w:tcPr>
            <w:tcW w:w="2168" w:type="dxa"/>
            <w:vAlign w:val="center"/>
          </w:tcPr>
          <w:p>
            <w:pPr>
              <w:widowControl/>
              <w:jc w:val="center"/>
              <w:textAlignment w:val="center"/>
              <w:rPr>
                <w:rFonts w:cs="宋体"/>
                <w:b/>
                <w:bCs/>
                <w:color w:val="000000" w:themeColor="text1"/>
                <w:kern w:val="0"/>
                <w:szCs w:val="21"/>
                <w14:textFill>
                  <w14:solidFill>
                    <w14:schemeClr w14:val="tx1"/>
                  </w14:solidFill>
                </w14:textFill>
              </w:rPr>
            </w:pPr>
            <w:r>
              <w:rPr>
                <w:rFonts w:hint="eastAsia" w:cs="宋体"/>
                <w:b/>
                <w:bCs/>
                <w:color w:val="000000" w:themeColor="text1"/>
                <w:kern w:val="0"/>
                <w:szCs w:val="21"/>
                <w14:textFill>
                  <w14:solidFill>
                    <w14:schemeClr w14:val="tx1"/>
                  </w14:solidFill>
                </w14:textFill>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50" w:type="dxa"/>
            <w:vAlign w:val="center"/>
          </w:tcPr>
          <w:p>
            <w:pPr>
              <w:widowControl/>
              <w:jc w:val="center"/>
              <w:textAlignment w:val="center"/>
              <w:rPr>
                <w:rFonts w:cs="宋体"/>
                <w:color w:val="000000" w:themeColor="text1"/>
                <w:kern w:val="0"/>
                <w:szCs w:val="21"/>
                <w14:textFill>
                  <w14:solidFill>
                    <w14:schemeClr w14:val="tx1"/>
                  </w14:solidFill>
                </w14:textFill>
              </w:rPr>
            </w:pPr>
          </w:p>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1</w:t>
            </w:r>
          </w:p>
        </w:tc>
        <w:tc>
          <w:tcPr>
            <w:tcW w:w="1358" w:type="dxa"/>
            <w:vAlign w:val="center"/>
          </w:tcPr>
          <w:p>
            <w:pPr>
              <w:widowControl/>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老城排水一区</w:t>
            </w:r>
          </w:p>
        </w:tc>
        <w:tc>
          <w:tcPr>
            <w:tcW w:w="152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552.7</w:t>
            </w:r>
          </w:p>
        </w:tc>
        <w:tc>
          <w:tcPr>
            <w:tcW w:w="2557"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杭北干渠、三里河、</w:t>
            </w:r>
          </w:p>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经一河</w:t>
            </w:r>
          </w:p>
        </w:tc>
        <w:tc>
          <w:tcPr>
            <w:tcW w:w="1881"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由合流制过渡为完 全分流制</w:t>
            </w:r>
          </w:p>
        </w:tc>
        <w:tc>
          <w:tcPr>
            <w:tcW w:w="2346"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5.0</w:t>
            </w:r>
          </w:p>
        </w:tc>
        <w:tc>
          <w:tcPr>
            <w:tcW w:w="277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竖向控制</w:t>
            </w:r>
          </w:p>
        </w:tc>
        <w:tc>
          <w:tcPr>
            <w:tcW w:w="2168" w:type="dxa"/>
            <w:vAlign w:val="center"/>
          </w:tcPr>
          <w:p>
            <w:pPr>
              <w:widowControl/>
              <w:jc w:val="center"/>
              <w:textAlignment w:val="center"/>
              <w:rPr>
                <w:rFonts w:cs="宋体"/>
                <w:color w:val="000000" w:themeColor="text1"/>
                <w:kern w:val="0"/>
                <w:szCs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50"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2</w:t>
            </w:r>
          </w:p>
        </w:tc>
        <w:tc>
          <w:tcPr>
            <w:tcW w:w="1358"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老城排水二区</w:t>
            </w:r>
          </w:p>
        </w:tc>
        <w:tc>
          <w:tcPr>
            <w:tcW w:w="152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358.7</w:t>
            </w:r>
          </w:p>
        </w:tc>
        <w:tc>
          <w:tcPr>
            <w:tcW w:w="2557"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杭北干渠、南溪河、护城河、玉带河</w:t>
            </w:r>
          </w:p>
        </w:tc>
        <w:tc>
          <w:tcPr>
            <w:tcW w:w="1881"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由合流制过渡为完 全分流制</w:t>
            </w:r>
          </w:p>
        </w:tc>
        <w:tc>
          <w:tcPr>
            <w:tcW w:w="2346"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89.9</w:t>
            </w:r>
          </w:p>
        </w:tc>
        <w:tc>
          <w:tcPr>
            <w:tcW w:w="277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建设泵站、 改变规划 用地性质、 疏浚渠道、 调蓄水体</w:t>
            </w:r>
          </w:p>
        </w:tc>
        <w:tc>
          <w:tcPr>
            <w:tcW w:w="2168" w:type="dxa"/>
            <w:vAlign w:val="center"/>
          </w:tcPr>
          <w:p>
            <w:pPr>
              <w:widowControl/>
              <w:jc w:val="center"/>
              <w:textAlignment w:val="center"/>
              <w:rPr>
                <w:rFonts w:cs="宋体"/>
                <w:color w:val="000000" w:themeColor="text1"/>
                <w:kern w:val="0"/>
                <w:szCs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50"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3</w:t>
            </w:r>
          </w:p>
        </w:tc>
        <w:tc>
          <w:tcPr>
            <w:tcW w:w="1358"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城西排水一区</w:t>
            </w:r>
          </w:p>
        </w:tc>
        <w:tc>
          <w:tcPr>
            <w:tcW w:w="152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247.3</w:t>
            </w:r>
          </w:p>
        </w:tc>
        <w:tc>
          <w:tcPr>
            <w:tcW w:w="2557"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杭北干渠、三里河</w:t>
            </w:r>
          </w:p>
        </w:tc>
        <w:tc>
          <w:tcPr>
            <w:tcW w:w="1881"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分流制</w:t>
            </w:r>
          </w:p>
        </w:tc>
        <w:tc>
          <w:tcPr>
            <w:tcW w:w="2346"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35.5</w:t>
            </w:r>
          </w:p>
        </w:tc>
        <w:tc>
          <w:tcPr>
            <w:tcW w:w="277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竖向控制</w:t>
            </w:r>
          </w:p>
        </w:tc>
        <w:tc>
          <w:tcPr>
            <w:tcW w:w="2168" w:type="dxa"/>
            <w:vAlign w:val="center"/>
          </w:tcPr>
          <w:p>
            <w:pPr>
              <w:widowControl/>
              <w:jc w:val="center"/>
              <w:textAlignment w:val="center"/>
              <w:rPr>
                <w:rFonts w:cs="宋体"/>
                <w:color w:val="000000" w:themeColor="text1"/>
                <w:kern w:val="0"/>
                <w:szCs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50"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4</w:t>
            </w:r>
          </w:p>
        </w:tc>
        <w:tc>
          <w:tcPr>
            <w:tcW w:w="1358"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城西排水二区</w:t>
            </w:r>
          </w:p>
        </w:tc>
        <w:tc>
          <w:tcPr>
            <w:tcW w:w="152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321.8</w:t>
            </w:r>
          </w:p>
        </w:tc>
        <w:tc>
          <w:tcPr>
            <w:tcW w:w="2557"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杭北干渠、飞龙河（湖） 、南溪河</w:t>
            </w:r>
          </w:p>
        </w:tc>
        <w:tc>
          <w:tcPr>
            <w:tcW w:w="1881"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分流制</w:t>
            </w:r>
          </w:p>
        </w:tc>
        <w:tc>
          <w:tcPr>
            <w:tcW w:w="2346"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273.8</w:t>
            </w:r>
          </w:p>
        </w:tc>
        <w:tc>
          <w:tcPr>
            <w:tcW w:w="277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建设泵站、（以飞龙</w:t>
            </w:r>
          </w:p>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湖为调蓄 水体）</w:t>
            </w:r>
          </w:p>
        </w:tc>
        <w:tc>
          <w:tcPr>
            <w:tcW w:w="2168" w:type="dxa"/>
            <w:vAlign w:val="center"/>
          </w:tcPr>
          <w:p>
            <w:pPr>
              <w:widowControl/>
              <w:jc w:val="center"/>
              <w:textAlignment w:val="center"/>
              <w:rPr>
                <w:rFonts w:cs="宋体"/>
                <w:color w:val="000000" w:themeColor="text1"/>
                <w:kern w:val="0"/>
                <w:szCs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50"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5</w:t>
            </w:r>
          </w:p>
        </w:tc>
        <w:tc>
          <w:tcPr>
            <w:tcW w:w="1358"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南溪排水区</w:t>
            </w:r>
          </w:p>
        </w:tc>
        <w:tc>
          <w:tcPr>
            <w:tcW w:w="152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738.6</w:t>
            </w:r>
          </w:p>
        </w:tc>
        <w:tc>
          <w:tcPr>
            <w:tcW w:w="2557"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经三河、南溪河</w:t>
            </w:r>
          </w:p>
        </w:tc>
        <w:tc>
          <w:tcPr>
            <w:tcW w:w="1881"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分流制</w:t>
            </w:r>
          </w:p>
        </w:tc>
        <w:tc>
          <w:tcPr>
            <w:tcW w:w="2346"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738.6</w:t>
            </w:r>
          </w:p>
        </w:tc>
        <w:tc>
          <w:tcPr>
            <w:tcW w:w="277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建设泵站、 调蓄水体</w:t>
            </w:r>
          </w:p>
        </w:tc>
        <w:tc>
          <w:tcPr>
            <w:tcW w:w="2168" w:type="dxa"/>
            <w:vAlign w:val="center"/>
          </w:tcPr>
          <w:p>
            <w:pPr>
              <w:widowControl/>
              <w:jc w:val="center"/>
              <w:textAlignment w:val="center"/>
              <w:rPr>
                <w:rFonts w:cs="宋体"/>
                <w:color w:val="000000" w:themeColor="text1"/>
                <w:kern w:val="0"/>
                <w:szCs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50"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6</w:t>
            </w:r>
          </w:p>
        </w:tc>
        <w:tc>
          <w:tcPr>
            <w:tcW w:w="1358"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城东排水一区</w:t>
            </w:r>
          </w:p>
        </w:tc>
        <w:tc>
          <w:tcPr>
            <w:tcW w:w="152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962.2</w:t>
            </w:r>
          </w:p>
        </w:tc>
        <w:tc>
          <w:tcPr>
            <w:tcW w:w="2557"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三里河、纬二河</w:t>
            </w:r>
          </w:p>
        </w:tc>
        <w:tc>
          <w:tcPr>
            <w:tcW w:w="1881"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分流制</w:t>
            </w:r>
          </w:p>
        </w:tc>
        <w:tc>
          <w:tcPr>
            <w:tcW w:w="2346"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207.9</w:t>
            </w:r>
          </w:p>
        </w:tc>
        <w:tc>
          <w:tcPr>
            <w:tcW w:w="277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新建河道、 调蓄水体</w:t>
            </w:r>
          </w:p>
        </w:tc>
        <w:tc>
          <w:tcPr>
            <w:tcW w:w="2168" w:type="dxa"/>
            <w:vAlign w:val="center"/>
          </w:tcPr>
          <w:p>
            <w:pPr>
              <w:widowControl/>
              <w:jc w:val="center"/>
              <w:textAlignment w:val="center"/>
              <w:rPr>
                <w:rFonts w:cs="宋体"/>
                <w:color w:val="000000" w:themeColor="text1"/>
                <w:kern w:val="0"/>
                <w:szCs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50" w:type="dxa"/>
            <w:vAlign w:val="center"/>
          </w:tcPr>
          <w:p>
            <w:pPr>
              <w:widowControl/>
              <w:jc w:val="center"/>
              <w:textAlignment w:val="center"/>
              <w:rPr>
                <w:rFonts w:cs="宋体"/>
                <w:color w:val="000000" w:themeColor="text1"/>
                <w:kern w:val="0"/>
                <w:szCs w:val="21"/>
                <w14:textFill>
                  <w14:solidFill>
                    <w14:schemeClr w14:val="tx1"/>
                  </w14:solidFill>
                </w14:textFill>
              </w:rPr>
            </w:pPr>
          </w:p>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7</w:t>
            </w:r>
          </w:p>
        </w:tc>
        <w:tc>
          <w:tcPr>
            <w:tcW w:w="1358"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城东排水二区</w:t>
            </w:r>
          </w:p>
        </w:tc>
        <w:tc>
          <w:tcPr>
            <w:tcW w:w="152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169.2</w:t>
            </w:r>
          </w:p>
        </w:tc>
        <w:tc>
          <w:tcPr>
            <w:tcW w:w="2557"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杭北干渠、经一 河、经二河</w:t>
            </w:r>
          </w:p>
        </w:tc>
        <w:tc>
          <w:tcPr>
            <w:tcW w:w="1881"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分流制</w:t>
            </w:r>
          </w:p>
        </w:tc>
        <w:tc>
          <w:tcPr>
            <w:tcW w:w="2346"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103</w:t>
            </w:r>
          </w:p>
        </w:tc>
        <w:tc>
          <w:tcPr>
            <w:tcW w:w="277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建设泵站、 调蓄水体</w:t>
            </w:r>
          </w:p>
        </w:tc>
        <w:tc>
          <w:tcPr>
            <w:tcW w:w="2168" w:type="dxa"/>
            <w:vAlign w:val="center"/>
          </w:tcPr>
          <w:p>
            <w:pPr>
              <w:widowControl/>
              <w:jc w:val="center"/>
              <w:textAlignment w:val="center"/>
              <w:rPr>
                <w:rFonts w:cs="宋体"/>
                <w:color w:val="000000" w:themeColor="text1"/>
                <w:kern w:val="0"/>
                <w:szCs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50"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8</w:t>
            </w:r>
          </w:p>
        </w:tc>
        <w:tc>
          <w:tcPr>
            <w:tcW w:w="1358"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城东排水三区</w:t>
            </w:r>
          </w:p>
        </w:tc>
        <w:tc>
          <w:tcPr>
            <w:tcW w:w="152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206.7</w:t>
            </w:r>
          </w:p>
        </w:tc>
        <w:tc>
          <w:tcPr>
            <w:tcW w:w="2557"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杭北干渠、经二河</w:t>
            </w:r>
          </w:p>
        </w:tc>
        <w:tc>
          <w:tcPr>
            <w:tcW w:w="1881"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分流制</w:t>
            </w:r>
          </w:p>
        </w:tc>
        <w:tc>
          <w:tcPr>
            <w:tcW w:w="2346"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14.0</w:t>
            </w:r>
          </w:p>
        </w:tc>
        <w:tc>
          <w:tcPr>
            <w:tcW w:w="277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竖向控制</w:t>
            </w:r>
          </w:p>
        </w:tc>
        <w:tc>
          <w:tcPr>
            <w:tcW w:w="2168" w:type="dxa"/>
            <w:vAlign w:val="center"/>
          </w:tcPr>
          <w:p>
            <w:pPr>
              <w:widowControl/>
              <w:jc w:val="center"/>
              <w:textAlignment w:val="center"/>
              <w:rPr>
                <w:rFonts w:cs="宋体"/>
                <w:color w:val="000000" w:themeColor="text1"/>
                <w:kern w:val="0"/>
                <w:szCs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50"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9</w:t>
            </w:r>
          </w:p>
        </w:tc>
        <w:tc>
          <w:tcPr>
            <w:tcW w:w="1358"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城东排水四区</w:t>
            </w:r>
          </w:p>
        </w:tc>
        <w:tc>
          <w:tcPr>
            <w:tcW w:w="152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144.8</w:t>
            </w:r>
          </w:p>
        </w:tc>
        <w:tc>
          <w:tcPr>
            <w:tcW w:w="2557"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杭北干渠、经二河</w:t>
            </w:r>
          </w:p>
        </w:tc>
        <w:tc>
          <w:tcPr>
            <w:tcW w:w="1881"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分流制</w:t>
            </w:r>
          </w:p>
        </w:tc>
        <w:tc>
          <w:tcPr>
            <w:tcW w:w="2346"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12.5</w:t>
            </w:r>
          </w:p>
        </w:tc>
        <w:tc>
          <w:tcPr>
            <w:tcW w:w="277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建设泵站、 调蓄水体</w:t>
            </w:r>
          </w:p>
        </w:tc>
        <w:tc>
          <w:tcPr>
            <w:tcW w:w="2168" w:type="dxa"/>
            <w:vAlign w:val="center"/>
          </w:tcPr>
          <w:p>
            <w:pPr>
              <w:widowControl/>
              <w:jc w:val="center"/>
              <w:textAlignment w:val="center"/>
              <w:rPr>
                <w:rFonts w:cs="宋体"/>
                <w:color w:val="000000" w:themeColor="text1"/>
                <w:kern w:val="0"/>
                <w:szCs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50" w:type="dxa"/>
            <w:vAlign w:val="center"/>
          </w:tcPr>
          <w:p>
            <w:pPr>
              <w:widowControl/>
              <w:jc w:val="center"/>
              <w:textAlignment w:val="center"/>
              <w:rPr>
                <w:rFonts w:cs="宋体"/>
                <w:color w:val="000000" w:themeColor="text1"/>
                <w:kern w:val="0"/>
                <w:szCs w:val="21"/>
                <w14:textFill>
                  <w14:solidFill>
                    <w14:schemeClr w14:val="tx1"/>
                  </w14:solidFill>
                </w14:textFill>
              </w:rPr>
            </w:pPr>
          </w:p>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10</w:t>
            </w:r>
          </w:p>
        </w:tc>
        <w:tc>
          <w:tcPr>
            <w:tcW w:w="1358"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城北排水一区</w:t>
            </w:r>
          </w:p>
        </w:tc>
        <w:tc>
          <w:tcPr>
            <w:tcW w:w="152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357.2</w:t>
            </w:r>
          </w:p>
        </w:tc>
        <w:tc>
          <w:tcPr>
            <w:tcW w:w="2557"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纬一河</w:t>
            </w:r>
          </w:p>
        </w:tc>
        <w:tc>
          <w:tcPr>
            <w:tcW w:w="1881"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分流制</w:t>
            </w:r>
          </w:p>
        </w:tc>
        <w:tc>
          <w:tcPr>
            <w:tcW w:w="2346"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w:t>
            </w:r>
          </w:p>
        </w:tc>
        <w:tc>
          <w:tcPr>
            <w:tcW w:w="277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w:t>
            </w:r>
          </w:p>
        </w:tc>
        <w:tc>
          <w:tcPr>
            <w:tcW w:w="2168" w:type="dxa"/>
            <w:vAlign w:val="center"/>
          </w:tcPr>
          <w:p>
            <w:pPr>
              <w:widowControl/>
              <w:jc w:val="center"/>
              <w:textAlignment w:val="center"/>
              <w:rPr>
                <w:rFonts w:cs="宋体"/>
                <w:color w:val="000000" w:themeColor="text1"/>
                <w:kern w:val="0"/>
                <w:szCs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50" w:type="dxa"/>
            <w:vAlign w:val="center"/>
          </w:tcPr>
          <w:p>
            <w:pPr>
              <w:widowControl/>
              <w:jc w:val="center"/>
              <w:textAlignment w:val="center"/>
              <w:rPr>
                <w:rFonts w:cs="宋体"/>
                <w:color w:val="000000" w:themeColor="text1"/>
                <w:kern w:val="0"/>
                <w:szCs w:val="21"/>
                <w14:textFill>
                  <w14:solidFill>
                    <w14:schemeClr w14:val="tx1"/>
                  </w14:solidFill>
                </w14:textFill>
              </w:rPr>
            </w:pPr>
          </w:p>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11</w:t>
            </w:r>
          </w:p>
        </w:tc>
        <w:tc>
          <w:tcPr>
            <w:tcW w:w="1358"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城北排水二区</w:t>
            </w:r>
          </w:p>
        </w:tc>
        <w:tc>
          <w:tcPr>
            <w:tcW w:w="152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827.9</w:t>
            </w:r>
          </w:p>
        </w:tc>
        <w:tc>
          <w:tcPr>
            <w:tcW w:w="2557"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纬一河、三里河</w:t>
            </w:r>
          </w:p>
        </w:tc>
        <w:tc>
          <w:tcPr>
            <w:tcW w:w="1881"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分流制</w:t>
            </w:r>
          </w:p>
        </w:tc>
        <w:tc>
          <w:tcPr>
            <w:tcW w:w="2346"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36. 1</w:t>
            </w:r>
          </w:p>
        </w:tc>
        <w:tc>
          <w:tcPr>
            <w:tcW w:w="277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竖向控制、 调蓄水体</w:t>
            </w:r>
          </w:p>
        </w:tc>
        <w:tc>
          <w:tcPr>
            <w:tcW w:w="2168" w:type="dxa"/>
            <w:vAlign w:val="center"/>
          </w:tcPr>
          <w:p>
            <w:pPr>
              <w:widowControl/>
              <w:jc w:val="center"/>
              <w:textAlignment w:val="center"/>
              <w:rPr>
                <w:rFonts w:cs="宋体"/>
                <w:color w:val="000000" w:themeColor="text1"/>
                <w:kern w:val="0"/>
                <w:szCs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50" w:type="dxa"/>
            <w:vAlign w:val="center"/>
          </w:tcPr>
          <w:p>
            <w:pPr>
              <w:widowControl/>
              <w:jc w:val="center"/>
              <w:textAlignment w:val="center"/>
              <w:rPr>
                <w:rFonts w:cs="宋体"/>
                <w:color w:val="000000" w:themeColor="text1"/>
                <w:kern w:val="0"/>
                <w:szCs w:val="21"/>
                <w14:textFill>
                  <w14:solidFill>
                    <w14:schemeClr w14:val="tx1"/>
                  </w14:solidFill>
                </w14:textFill>
              </w:rPr>
            </w:pPr>
          </w:p>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12</w:t>
            </w:r>
          </w:p>
        </w:tc>
        <w:tc>
          <w:tcPr>
            <w:tcW w:w="1358"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城北排水三区</w:t>
            </w:r>
          </w:p>
        </w:tc>
        <w:tc>
          <w:tcPr>
            <w:tcW w:w="152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273.6</w:t>
            </w:r>
          </w:p>
        </w:tc>
        <w:tc>
          <w:tcPr>
            <w:tcW w:w="2557"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三里河</w:t>
            </w:r>
          </w:p>
        </w:tc>
        <w:tc>
          <w:tcPr>
            <w:tcW w:w="1881"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分流制</w:t>
            </w:r>
          </w:p>
        </w:tc>
        <w:tc>
          <w:tcPr>
            <w:tcW w:w="2346"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5.4</w:t>
            </w:r>
          </w:p>
        </w:tc>
        <w:tc>
          <w:tcPr>
            <w:tcW w:w="2774" w:type="dxa"/>
            <w:vAlign w:val="center"/>
          </w:tcPr>
          <w:p>
            <w:pPr>
              <w:widowControl/>
              <w:jc w:val="center"/>
              <w:textAlignment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竖向控制</w:t>
            </w:r>
          </w:p>
        </w:tc>
        <w:tc>
          <w:tcPr>
            <w:tcW w:w="2168" w:type="dxa"/>
            <w:vAlign w:val="center"/>
          </w:tcPr>
          <w:p>
            <w:pPr>
              <w:widowControl/>
              <w:jc w:val="center"/>
              <w:textAlignment w:val="center"/>
              <w:rPr>
                <w:rFonts w:cs="宋体"/>
                <w:color w:val="000000" w:themeColor="text1"/>
                <w:kern w:val="0"/>
                <w:szCs w:val="21"/>
                <w14:textFill>
                  <w14:solidFill>
                    <w14:schemeClr w14:val="tx1"/>
                  </w14:solidFill>
                </w14:textFill>
              </w:rPr>
            </w:pPr>
          </w:p>
        </w:tc>
      </w:tr>
    </w:tbl>
    <w:p>
      <w:pPr>
        <w:rPr>
          <w:color w:val="000000" w:themeColor="text1"/>
          <w14:textFill>
            <w14:solidFill>
              <w14:schemeClr w14:val="tx1"/>
            </w14:solidFill>
          </w14:textFill>
        </w:rPr>
      </w:pPr>
    </w:p>
    <w:p>
      <w:pPr>
        <w:pStyle w:val="2"/>
        <w:ind w:firstLine="0" w:firstLineChars="0"/>
        <w:outlineLvl w:val="0"/>
        <w:rPr>
          <w:rFonts w:ascii="Times New Roman" w:hAnsi="Times New Roman"/>
          <w:color w:val="000000" w:themeColor="text1"/>
          <w:szCs w:val="32"/>
          <w14:textFill>
            <w14:solidFill>
              <w14:schemeClr w14:val="tx1"/>
            </w14:solidFill>
          </w14:textFill>
        </w:rPr>
      </w:pPr>
      <w:r>
        <w:rPr>
          <w:rFonts w:hint="eastAsia" w:ascii="Times New Roman" w:hAnsi="Times New Roman"/>
          <w:color w:val="000000" w:themeColor="text1"/>
          <w:szCs w:val="32"/>
          <w14:textFill>
            <w14:solidFill>
              <w14:schemeClr w14:val="tx1"/>
            </w14:solidFill>
          </w14:textFill>
        </w:rPr>
        <w:t>附件</w:t>
      </w:r>
      <w:bookmarkEnd w:id="74"/>
      <w:r>
        <w:rPr>
          <w:rFonts w:hint="eastAsia" w:ascii="Times New Roman" w:hAnsi="Times New Roman"/>
          <w:color w:val="000000" w:themeColor="text1"/>
          <w:szCs w:val="32"/>
          <w14:textFill>
            <w14:solidFill>
              <w14:schemeClr w14:val="tx1"/>
            </w14:solidFill>
          </w14:textFill>
        </w:rPr>
        <w:t>6</w:t>
      </w:r>
    </w:p>
    <w:tbl>
      <w:tblPr>
        <w:tblStyle w:val="14"/>
        <w:tblW w:w="5000" w:type="pct"/>
        <w:tblInd w:w="0" w:type="dxa"/>
        <w:tblLayout w:type="fixed"/>
        <w:tblCellMar>
          <w:top w:w="0" w:type="dxa"/>
          <w:left w:w="108" w:type="dxa"/>
          <w:bottom w:w="0" w:type="dxa"/>
          <w:right w:w="108" w:type="dxa"/>
        </w:tblCellMar>
      </w:tblPr>
      <w:tblGrid>
        <w:gridCol w:w="652"/>
        <w:gridCol w:w="1411"/>
        <w:gridCol w:w="1210"/>
        <w:gridCol w:w="1121"/>
        <w:gridCol w:w="1121"/>
        <w:gridCol w:w="1054"/>
        <w:gridCol w:w="1837"/>
        <w:gridCol w:w="1477"/>
        <w:gridCol w:w="1920"/>
        <w:gridCol w:w="1525"/>
        <w:gridCol w:w="1210"/>
        <w:gridCol w:w="1382"/>
      </w:tblGrid>
      <w:tr>
        <w:tblPrEx>
          <w:tblCellMar>
            <w:top w:w="0" w:type="dxa"/>
            <w:left w:w="108" w:type="dxa"/>
            <w:bottom w:w="0" w:type="dxa"/>
            <w:right w:w="108" w:type="dxa"/>
          </w:tblCellMar>
        </w:tblPrEx>
        <w:trPr>
          <w:trHeight w:val="600" w:hRule="atLeast"/>
        </w:trPr>
        <w:tc>
          <w:tcPr>
            <w:tcW w:w="5000" w:type="pct"/>
            <w:gridSpan w:val="12"/>
            <w:tcBorders>
              <w:top w:val="nil"/>
              <w:left w:val="nil"/>
              <w:bottom w:val="nil"/>
              <w:right w:val="nil"/>
            </w:tcBorders>
            <w:shd w:val="clear" w:color="auto" w:fill="auto"/>
            <w:noWrap/>
            <w:vAlign w:val="center"/>
          </w:tcPr>
          <w:p>
            <w:pPr>
              <w:widowControl/>
              <w:jc w:val="center"/>
              <w:textAlignment w:val="center"/>
              <w:rPr>
                <w:rFonts w:eastAsia="方正小标宋简体" w:cs="方正小标宋简体"/>
                <w:color w:val="000000" w:themeColor="text1"/>
                <w:sz w:val="32"/>
                <w:szCs w:val="32"/>
                <w14:textFill>
                  <w14:solidFill>
                    <w14:schemeClr w14:val="tx1"/>
                  </w14:solidFill>
                </w14:textFill>
              </w:rPr>
            </w:pPr>
            <w:r>
              <w:rPr>
                <w:rFonts w:hint="eastAsia" w:eastAsia="方正小标宋简体" w:cs="方正小标宋简体"/>
                <w:color w:val="000000" w:themeColor="text1"/>
                <w:kern w:val="0"/>
                <w:sz w:val="36"/>
                <w:szCs w:val="36"/>
                <w14:textFill>
                  <w14:solidFill>
                    <w14:schemeClr w14:val="tx1"/>
                  </w14:solidFill>
                </w14:textFill>
              </w:rPr>
              <w:t>舒城县城管局城区地下有限空间排查统计台账</w:t>
            </w:r>
          </w:p>
        </w:tc>
      </w:tr>
      <w:tr>
        <w:tblPrEx>
          <w:tblCellMar>
            <w:top w:w="0" w:type="dxa"/>
            <w:left w:w="108" w:type="dxa"/>
            <w:bottom w:w="0" w:type="dxa"/>
            <w:right w:w="108" w:type="dxa"/>
          </w:tblCellMar>
        </w:tblPrEx>
        <w:trPr>
          <w:trHeight w:val="702"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序号</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地点</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地下空间用途</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竣工年限</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属性</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规格</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产权单位</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产权人及联系方式</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管理单位</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联系人及联系方式</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属地单位</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备注</w:t>
            </w:r>
          </w:p>
        </w:tc>
      </w:tr>
      <w:tr>
        <w:trPr>
          <w:trHeight w:val="702"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南溪路南溪公馆东侧</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城西排涝站</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县城管局</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县城管局市政所</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谢劲松18110687263</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城关镇政府</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管理负责人戴忠稳：13865442077</w:t>
            </w:r>
          </w:p>
        </w:tc>
      </w:tr>
      <w:tr>
        <w:tblPrEx>
          <w:tblCellMar>
            <w:top w:w="0" w:type="dxa"/>
            <w:left w:w="108" w:type="dxa"/>
            <w:bottom w:w="0" w:type="dxa"/>
            <w:right w:w="108" w:type="dxa"/>
          </w:tblCellMar>
        </w:tblPrEx>
        <w:trPr>
          <w:trHeight w:val="702"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南溪路与高峰路交口西北角</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大方塘截污泵站</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县城管局</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县城管局市政所</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谢劲松18110687263</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城关镇政府</w:t>
            </w:r>
          </w:p>
        </w:tc>
        <w:tc>
          <w:tcPr>
            <w:tcW w:w="427" w:type="pct"/>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702"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鼓楼北街桥东南角</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鼓楼北街截污泵站</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2020.12</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县城管局</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县城管局市政所</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谢劲松18110687263</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城关镇政府</w:t>
            </w:r>
          </w:p>
        </w:tc>
        <w:tc>
          <w:tcPr>
            <w:tcW w:w="427" w:type="pct"/>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702"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桃溪路垃圾中转站后</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一中截污泵站</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2021.11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县城管局</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县城管局市政所</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谢劲松18110687263</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城关镇政府</w:t>
            </w:r>
          </w:p>
        </w:tc>
        <w:tc>
          <w:tcPr>
            <w:tcW w:w="427" w:type="pct"/>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702"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农场小区内</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雨污水提升泵站</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2021.11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县城管局</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县城管局市政所</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谢劲松18110687263</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城关镇政府</w:t>
            </w:r>
          </w:p>
        </w:tc>
        <w:tc>
          <w:tcPr>
            <w:tcW w:w="427" w:type="pct"/>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702"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6</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商都路花园小区内</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飞霞市场排涝站</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县城管局</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nil"/>
              <w:left w:val="nil"/>
              <w:bottom w:val="nil"/>
              <w:right w:val="nil"/>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飞霞市场管理站</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韦宗平18110687391</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城关镇政府</w:t>
            </w:r>
          </w:p>
        </w:tc>
        <w:tc>
          <w:tcPr>
            <w:tcW w:w="427" w:type="pct"/>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702"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7</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七门堰路与合安路交叉口</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七门堰路截污泵站</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县重点工程管理处</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县重点工程管理处</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城关镇政府</w:t>
            </w:r>
          </w:p>
        </w:tc>
        <w:tc>
          <w:tcPr>
            <w:tcW w:w="427" w:type="pct"/>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702"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8</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鹿起北路与桃溪路交叉口</w:t>
            </w:r>
          </w:p>
        </w:tc>
        <w:tc>
          <w:tcPr>
            <w:tcW w:w="380" w:type="pct"/>
            <w:tcBorders>
              <w:top w:val="nil"/>
              <w:left w:val="nil"/>
              <w:bottom w:val="nil"/>
              <w:right w:val="nil"/>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鹿起北路截污泵站</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县重点工程管理处</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县重点工程管理处</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城关镇政府</w:t>
            </w:r>
          </w:p>
        </w:tc>
        <w:tc>
          <w:tcPr>
            <w:tcW w:w="427" w:type="pct"/>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702"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9</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鼓楼花园</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地下车库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2020.6.5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10509.64</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县重点工程管理处</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0564-8620007</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县人防办</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0564-2782819</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城关镇政府</w:t>
            </w:r>
          </w:p>
        </w:tc>
        <w:tc>
          <w:tcPr>
            <w:tcW w:w="427" w:type="pct"/>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702"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10</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县老年活动中心（老年大学）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地下停车场</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2020.9.9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3995</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县重点工程管理处</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0564-8620007</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县城管大队</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0564—8528570</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城关镇政府</w:t>
            </w:r>
          </w:p>
        </w:tc>
        <w:tc>
          <w:tcPr>
            <w:tcW w:w="427" w:type="pct"/>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11</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时代悦府</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2020.11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18737.75</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温州时代物业管理有限</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公司舒城分公司</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13026063366</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城关中大社区</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2020.11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2129.18</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温州时代物业管理有限</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公司舒城分公司</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13026063366</w:t>
            </w: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人防（平时停车）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2020.11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4844.6</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温州时代物业管理有限</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公司舒城分公司</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13026063366</w:t>
            </w: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12</w:t>
            </w:r>
          </w:p>
        </w:tc>
        <w:tc>
          <w:tcPr>
            <w:tcW w:w="443" w:type="pct"/>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鼓楼阳光城小区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负2层</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40197</w:t>
            </w:r>
            <w:r>
              <w:rPr>
                <w:rStyle w:val="25"/>
                <w:rFonts w:ascii="Times New Roman" w:hAnsi="Times New Roman"/>
                <w:color w:val="000000" w:themeColor="text1"/>
                <w:sz w:val="21"/>
                <w:szCs w:val="21"/>
                <w14:textFill>
                  <w14:solidFill>
                    <w14:schemeClr w14:val="tx1"/>
                  </w14:solidFill>
                </w14:textFill>
              </w:rPr>
              <w:t>㎡</w:t>
            </w:r>
          </w:p>
        </w:tc>
        <w:tc>
          <w:tcPr>
            <w:tcW w:w="577" w:type="pct"/>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安徽强力房地产开发有限公司</w:t>
            </w:r>
          </w:p>
        </w:tc>
        <w:tc>
          <w:tcPr>
            <w:tcW w:w="464" w:type="pct"/>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13956123501</w:t>
            </w:r>
          </w:p>
        </w:tc>
        <w:tc>
          <w:tcPr>
            <w:tcW w:w="603" w:type="pct"/>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蓝都物业</w:t>
            </w:r>
          </w:p>
        </w:tc>
        <w:tc>
          <w:tcPr>
            <w:tcW w:w="479" w:type="pct"/>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13516493158</w:t>
            </w:r>
          </w:p>
        </w:tc>
        <w:tc>
          <w:tcPr>
            <w:tcW w:w="380" w:type="pct"/>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金墩社区</w:t>
            </w:r>
          </w:p>
        </w:tc>
        <w:tc>
          <w:tcPr>
            <w:tcW w:w="427" w:type="pct"/>
            <w:tcBorders>
              <w:top w:val="single" w:color="000000" w:sz="4" w:space="0"/>
              <w:left w:val="single" w:color="000000" w:sz="4" w:space="0"/>
              <w:bottom w:val="nil"/>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nil"/>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2015</w:t>
            </w:r>
          </w:p>
        </w:tc>
        <w:tc>
          <w:tcPr>
            <w:tcW w:w="352"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地库夹层</w:t>
            </w:r>
          </w:p>
        </w:tc>
        <w:tc>
          <w:tcPr>
            <w:tcW w:w="331"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2302㎡</w:t>
            </w:r>
          </w:p>
        </w:tc>
        <w:tc>
          <w:tcPr>
            <w:tcW w:w="577"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nil"/>
              <w:left w:val="single" w:color="000000" w:sz="4" w:space="0"/>
              <w:bottom w:val="nil"/>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舒城紫金府</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2020.12</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负二层</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16008</w:t>
            </w:r>
            <w:r>
              <w:rPr>
                <w:rStyle w:val="25"/>
                <w:rFonts w:ascii="Times New Roman" w:hAnsi="Times New Roman"/>
                <w:color w:val="000000" w:themeColor="text1"/>
                <w:sz w:val="21"/>
                <w:szCs w:val="21"/>
                <w14:textFill>
                  <w14:solidFill>
                    <w14:schemeClr w14:val="tx1"/>
                  </w14:solidFill>
                </w14:textFill>
              </w:rPr>
              <w:t>㎡</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舒城瑞泰置业有限公司</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13905645449</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安徽华地好生活服务集团有限公司舒城分公司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13665642267</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龙翔社区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人防3479m²</w:t>
            </w: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舒城紫金府</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半地下非机动车库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2020.12</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负一层</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1856</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14</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拉菲东区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2017.6.30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22469</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舒城远大鸣华房地产有限公司</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0551-65765159</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安徽万兴物业服务有限公司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18175000929</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东城社区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东区含人防400平米</w:t>
            </w: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2017.6.30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2757</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业主共有</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拉菲西区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2017.6.30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26966</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舒城远大鸣华房地产有限公司</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0551-65765159</w:t>
            </w: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2017.6.30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2265</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业主共有</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15</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佳源.柏林春天小区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 xml:space="preserve">2019.10 </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30169</w:t>
            </w:r>
            <w:r>
              <w:rPr>
                <w:rStyle w:val="25"/>
                <w:rFonts w:ascii="Times New Roman" w:hAnsi="Times New Roman"/>
                <w:color w:val="000000" w:themeColor="text1"/>
                <w:sz w:val="21"/>
                <w:szCs w:val="21"/>
                <w14:textFill>
                  <w14:solidFill>
                    <w14:schemeClr w14:val="tx1"/>
                  </w14:solidFill>
                </w14:textFill>
              </w:rPr>
              <w:t>㎡</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舒城佳源房地产开发</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有限公司</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13505648832</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舒城县家园物业管理服务有限公司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15324589996</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金墩社区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 xml:space="preserve">2019.10 </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2953.46㎡</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16</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远大中央公园</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春溪小区地下车库</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64408㎡</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舒城远大华鸣房地产有限公司</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0564-8568519</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安徽万兴物业服务有限公司</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春溪小区分公司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0564-8666620</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南溪社区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468㎡</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736㎡</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736㎡</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585"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8#地下一层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736㎡</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19#地下一层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492㎡</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21#地下一层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482㎡</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23#地下一层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481㎡</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25#地下一层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482㎡</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26#地下一层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482㎡</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远大中央公园</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滨溪小区地下车库</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6505㎡</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舒城远大华鸣房地产有限公司</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0564-8568519</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安徽万兴物业服务有限公司</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滨溪小区分公司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0564-8666620</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南溪社区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远大中央公园</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滨溪小区地下车库</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人防地下室</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40466㎡</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人防工程指挥部</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31#地下一层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513㎡</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32#地下一层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736㎡</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34#地下一层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513㎡</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35#地下一层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522㎡</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36#地下一层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736㎡</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37#地下一层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481㎡</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41#地下一层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481㎡</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42#地下一层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497㎡</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43#地下一层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724㎡</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46#地下一层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482㎡</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48#地下一层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483㎡</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远大中央公园</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溢香小区地下车库</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2020.6</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34563㎡</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舒城远大华鸣房地产</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有限公司</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0564-8568519</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安徽万兴物业服务有限公司</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溢香小区分公司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0564-8666620</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南溪社区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55#地下一层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2020.6</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711㎡</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57#地下一层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2020.6</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497㎡</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585"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59#地下一层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2020.6</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497㎡</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61#地下一层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2020.6</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468㎡</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63#地下一层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2020.6</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468㎡</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64#地下一层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2020.6</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660㎡</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67#地下一层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2020.6</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497㎡</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585"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68#地下一层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2020.6</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497㎡</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17</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舒城碧桂园</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机动车位</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473㎡</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舒城碧桂园房地产开发</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有限公司</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0564-8158888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碧桂园生活服务集团股份</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有限公司舒城分公司</w:t>
            </w:r>
          </w:p>
        </w:tc>
        <w:tc>
          <w:tcPr>
            <w:tcW w:w="479" w:type="pct"/>
            <w:tcBorders>
              <w:top w:val="nil"/>
              <w:left w:val="nil"/>
              <w:bottom w:val="nil"/>
              <w:right w:val="nil"/>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甘国琴/18755370039</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凤池苑社区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舒州府东区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2021.12</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负一层</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31309</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舒城远大卓越房地产有限公司</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18605657671</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安徽万兴物业服务有限公司舒州府分公司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13865752616</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丰墩社区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2021.12</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半地下</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593</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舒州府西区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2022.4</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负一层</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37148</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舒城远大尚品房地产有限公司</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585" w:hRule="atLeast"/>
        </w:trPr>
        <w:tc>
          <w:tcPr>
            <w:tcW w:w="205" w:type="pct"/>
            <w:tcBorders>
              <w:top w:val="single" w:color="000000" w:sz="4" w:space="0"/>
              <w:left w:val="single" w:color="auto"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19</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东方名城小区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人防和非人防</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2016</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负二层（815个）</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舒怡建设集团置业</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有限公司</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15855205099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安徽凡成物业服务</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有限公司</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18158975706</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孔集社区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创业园小区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公用车库、人防室</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20120</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舒城县住房保障办公室</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0564－8672576</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舒城县御诚物业管理有限公司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余卫东18075099668</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金墩社区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21</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安泰家园小区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7500</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舒城县住房保障办公室</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22</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金仕佳缘小区</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负一层用于业主停放非机动车辆</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1层</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29873.65㎡</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金仕佳缘物业服务中心</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束永海：13321906866</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经济开发区   金墩社区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负二层用于业主停放机动车辆和人防</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1层</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585"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23</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鼓楼时代广场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公用车库、人防室</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2016.12</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21200</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舒城县中小企业创业基地</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投资建设有限公司</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0564－8623666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舒城县鹏基物业管理</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有限公司</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13865727112</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金墩社区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24</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梅河苑小区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污水井</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2012</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￠600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117</w:t>
            </w:r>
            <w:r>
              <w:rPr>
                <w:rStyle w:val="25"/>
                <w:rFonts w:ascii="Times New Roman" w:hAnsi="Times New Roman"/>
                <w:color w:val="000000" w:themeColor="text1"/>
                <w:sz w:val="21"/>
                <w:szCs w:val="21"/>
                <w14:textFill>
                  <w14:solidFill>
                    <w14:schemeClr w14:val="tx1"/>
                  </w14:solidFill>
                </w14:textFill>
              </w:rPr>
              <w:t>㎡</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梅河苑小区业主</w:t>
            </w:r>
          </w:p>
        </w:tc>
        <w:tc>
          <w:tcPr>
            <w:tcW w:w="464" w:type="pct"/>
            <w:vMerge w:val="restart"/>
            <w:tcBorders>
              <w:top w:val="single" w:color="000000" w:sz="4" w:space="0"/>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舒城县鹏基物业管理有限公司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田立华：13470895051</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金虎社区</w:t>
            </w:r>
          </w:p>
        </w:tc>
        <w:tc>
          <w:tcPr>
            <w:tcW w:w="427" w:type="pct"/>
            <w:vMerge w:val="restart"/>
            <w:tcBorders>
              <w:top w:val="single" w:color="000000" w:sz="4" w:space="0"/>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化粪池</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2012</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11号</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化粪池</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9#、12号</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通信井</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45</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地下室排水井</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1000*1000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12</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消防泵房</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133</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585"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消防控制室</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35</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消防水池</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vertAlign w:val="superscript"/>
                <w14:textFill>
                  <w14:solidFill>
                    <w14:schemeClr w14:val="tx1"/>
                  </w14:solidFill>
                </w14:textFill>
              </w:rPr>
            </w:pPr>
            <w:r>
              <w:rPr>
                <w:rFonts w:hint="eastAsia" w:cs="宋体"/>
                <w:color w:val="000000" w:themeColor="text1"/>
                <w:kern w:val="0"/>
                <w:szCs w:val="21"/>
                <w14:textFill>
                  <w14:solidFill>
                    <w14:schemeClr w14:val="tx1"/>
                  </w14:solidFill>
                </w14:textFill>
              </w:rPr>
              <w:t>700m</w:t>
            </w:r>
            <w:r>
              <w:rPr>
                <w:rFonts w:hint="eastAsia" w:cs="宋体"/>
                <w:color w:val="000000" w:themeColor="text1"/>
                <w:kern w:val="0"/>
                <w:szCs w:val="21"/>
                <w:vertAlign w:val="superscript"/>
                <w14:textFill>
                  <w14:solidFill>
                    <w14:schemeClr w14:val="tx1"/>
                  </w14:solidFill>
                </w14:textFill>
              </w:rPr>
              <w:t>3</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25</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南溪公馆地下机动车库</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2018.5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38121</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舒城远大华鸣</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房地产有限公司</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0564-8568519</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安徽万兴物业服务有限公司舒城南溪公馆分公司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18175489007</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金虎社区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南溪公馆一期、二期</w:t>
            </w: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2018.5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528</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业主共有</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南溪公馆一期</w:t>
            </w: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2018.5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509</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业主共有</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南溪公馆一期</w:t>
            </w:r>
          </w:p>
        </w:tc>
      </w:tr>
      <w:tr>
        <w:tblPrEx>
          <w:tblCellMar>
            <w:top w:w="0" w:type="dxa"/>
            <w:left w:w="108" w:type="dxa"/>
            <w:bottom w:w="0" w:type="dxa"/>
            <w:right w:w="108" w:type="dxa"/>
          </w:tblCellMar>
        </w:tblPrEx>
        <w:trPr>
          <w:trHeight w:val="585"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2018.5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509</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业主共有</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南溪公馆一期</w:t>
            </w: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2018.5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387</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业主共有</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南溪公馆二期</w:t>
            </w: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南溪公馆地下机动车库</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人防（平时停车）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2018.5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4000</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人防工程指挥部</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南溪公馆二期人防</w:t>
            </w: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26</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欧洲华城D2#楼</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停放非电动车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2009</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地下车库</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621</w:t>
            </w:r>
            <w:r>
              <w:rPr>
                <w:rStyle w:val="25"/>
                <w:rFonts w:ascii="Times New Roman" w:hAnsi="Times New Roman"/>
                <w:color w:val="000000" w:themeColor="text1"/>
                <w:sz w:val="21"/>
                <w:szCs w:val="21"/>
                <w14:textFill>
                  <w14:solidFill>
                    <w14:schemeClr w14:val="tx1"/>
                  </w14:solidFill>
                </w14:textFill>
              </w:rPr>
              <w:t>㎡</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业委会</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13665549692</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舒城枫丹物业</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18256987363</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开发区三沟社区</w:t>
            </w:r>
          </w:p>
        </w:tc>
        <w:tc>
          <w:tcPr>
            <w:tcW w:w="427" w:type="pct"/>
            <w:vMerge w:val="restart"/>
            <w:tcBorders>
              <w:top w:val="single" w:color="000000" w:sz="4" w:space="0"/>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欧洲华城D5#楼</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停放非电动车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2009</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621.54</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585"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欧洲华城D7#楼</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停放非电动车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2009</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462.44</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欧洲华城E8#楼</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停放非电动车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2010</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153.55</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欧洲华城E16#楼</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停放非电动车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2010</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346.28</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欧洲华城F3#楼</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停放非电动车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2012</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200.65</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欧洲华城F6#楼</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停放非电动车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2012</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234.26</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585"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欧洲华城F15#楼</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停放非电动车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2012</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367.68</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欧洲华城F16#楼</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停放非电动车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2012</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201.73</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27</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泰鑫广场负一层</w:t>
            </w:r>
          </w:p>
        </w:tc>
        <w:tc>
          <w:tcPr>
            <w:tcW w:w="380"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车库、配电房</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2009.6</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cs="宋体"/>
                <w:color w:val="000000" w:themeColor="text1"/>
                <w:szCs w:val="21"/>
                <w14:textFill>
                  <w14:solidFill>
                    <w14:schemeClr w14:val="tx1"/>
                  </w14:solidFill>
                </w14:textFill>
              </w:rPr>
            </w:pP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1892</w:t>
            </w:r>
            <w:r>
              <w:rPr>
                <w:rStyle w:val="25"/>
                <w:rFonts w:ascii="Times New Roman" w:hAnsi="Times New Roman"/>
                <w:color w:val="000000" w:themeColor="text1"/>
                <w:sz w:val="21"/>
                <w:szCs w:val="21"/>
                <w14:textFill>
                  <w14:solidFill>
                    <w14:schemeClr w14:val="tx1"/>
                  </w14:solidFill>
                </w14:textFill>
              </w:rPr>
              <w:t>㎡</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共有</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六安市安信物业管理</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张会议</w:t>
            </w:r>
          </w:p>
        </w:tc>
        <w:tc>
          <w:tcPr>
            <w:tcW w:w="380" w:type="pct"/>
            <w:vMerge w:val="restart"/>
            <w:tcBorders>
              <w:top w:val="single" w:color="000000" w:sz="4" w:space="0"/>
              <w:left w:val="nil"/>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舒怡社区</w:t>
            </w:r>
          </w:p>
        </w:tc>
        <w:tc>
          <w:tcPr>
            <w:tcW w:w="427" w:type="pct"/>
            <w:vMerge w:val="restart"/>
            <w:tcBorders>
              <w:top w:val="single" w:color="000000" w:sz="4" w:space="0"/>
              <w:left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水泵房、空调机房</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1857"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28</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美好家园物业</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人防与车库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2018</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负一层</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5700</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舒城县住房保障办公室</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微软雅黑" w:cs="微软雅黑"/>
                <w:color w:val="000000" w:themeColor="text1"/>
                <w:szCs w:val="21"/>
                <w14:textFill>
                  <w14:solidFill>
                    <w14:schemeClr w14:val="tx1"/>
                  </w14:solidFill>
                </w14:textFill>
              </w:rPr>
            </w:pPr>
            <w:r>
              <w:rPr>
                <w:rFonts w:hint="eastAsia" w:eastAsia="微软雅黑" w:cs="微软雅黑"/>
                <w:color w:val="000000" w:themeColor="text1"/>
                <w:kern w:val="0"/>
                <w:szCs w:val="21"/>
                <w14:textFill>
                  <w14:solidFill>
                    <w14:schemeClr w14:val="tx1"/>
                  </w14:solidFill>
                </w14:textFill>
              </w:rPr>
              <w:t>0564—8675979</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美好家园物业公司</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13685664422</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凤池苑社区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29</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舒城县丰泽春天小区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2018.3.19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13944</w:t>
            </w:r>
            <w:r>
              <w:rPr>
                <w:rStyle w:val="25"/>
                <w:rFonts w:ascii="Times New Roman" w:hAnsi="Times New Roman"/>
                <w:color w:val="000000" w:themeColor="text1"/>
                <w:sz w:val="21"/>
                <w:szCs w:val="21"/>
                <w14:textFill>
                  <w14:solidFill>
                    <w14:schemeClr w14:val="tx1"/>
                  </w14:solidFill>
                </w14:textFill>
              </w:rPr>
              <w:t>㎡</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丰泽春天小区业主</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15357158206</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舒城鹏基物业</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15855922911</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新城社区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2018.3.19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570.6</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585"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30</w:t>
            </w:r>
          </w:p>
        </w:tc>
        <w:tc>
          <w:tcPr>
            <w:tcW w:w="443"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相约河畔</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人防和非人防</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负一层</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659</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舒城锐达置业有限公司</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15055962585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上海坤居物业管理</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有限公司</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13321906866</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金虎社区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31</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清溪园小区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公用车库、人防室</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2012.12</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cs="宋体"/>
                <w:color w:val="000000" w:themeColor="text1"/>
                <w:kern w:val="0"/>
                <w:szCs w:val="21"/>
                <w14:textFill>
                  <w14:solidFill>
                    <w14:schemeClr w14:val="tx1"/>
                  </w14:solidFill>
                </w14:textFill>
              </w:rPr>
              <w:t>3396㎡</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舒城县美好家园物业</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有限公司</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18306705585</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春秋苑社区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32</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民生花园公租房</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人防与车库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2018</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负一层</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5700</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舒城县住房保障办公室</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0564—8688228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美好家园物业公司</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13685664422</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凤池苑社区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33</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210" w:firstLineChars="100"/>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 xml:space="preserve"> 南溪丽城</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人防和非人防</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2015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负一层</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400</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安徽元昌物业</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8182966</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金虎社区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34</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财富中心小区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公用车库、人防室</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2012.12</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cs="宋体"/>
                <w:color w:val="000000" w:themeColor="text1"/>
                <w:kern w:val="0"/>
                <w:szCs w:val="21"/>
                <w14:textFill>
                  <w14:solidFill>
                    <w14:schemeClr w14:val="tx1"/>
                  </w14:solidFill>
                </w14:textFill>
              </w:rPr>
              <w:t>4751.95㎡</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舒城慧邦物业有限公司</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13966309538</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码头社区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585"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35</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欣然南溪A区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2019.1.8</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25109.53</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城关镇人民政府</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18792118568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舒城县鼎盛物业服务有限公司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0564-8911566</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中大社区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36</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欣然南溪A区2#-1</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2019.1.8</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845.27</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公共区域</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18792118568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舒城县鼎盛物业服务有限公司</w:t>
            </w: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37</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中豪水运名城小区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2016.7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41962</w:t>
            </w:r>
            <w:r>
              <w:rPr>
                <w:rStyle w:val="25"/>
                <w:rFonts w:ascii="Times New Roman" w:hAnsi="Times New Roman"/>
                <w:color w:val="000000" w:themeColor="text1"/>
                <w:sz w:val="21"/>
                <w:szCs w:val="21"/>
                <w14:textFill>
                  <w14:solidFill>
                    <w14:schemeClr w14:val="tx1"/>
                  </w14:solidFill>
                </w14:textFill>
              </w:rPr>
              <w:t>㎡</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中豪置业有限公司</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13965470008</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海通物业服务有限公司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18063042495</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金墩社区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2016.7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1802</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38</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莲花苑</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2018</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负1层</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1200</w:t>
            </w:r>
            <w:r>
              <w:rPr>
                <w:rStyle w:val="25"/>
                <w:rFonts w:ascii="Times New Roman" w:hAnsi="Times New Roman"/>
                <w:color w:val="000000" w:themeColor="text1"/>
                <w:sz w:val="21"/>
                <w:szCs w:val="21"/>
                <w14:textFill>
                  <w14:solidFill>
                    <w14:schemeClr w14:val="tx1"/>
                  </w14:solidFill>
                </w14:textFill>
              </w:rPr>
              <w:t>㎡</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安徽华力物业服务有限公司</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0564-8671672</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安徽华力物业服务有限公司</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潘金余</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三里河社区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585" w:hRule="atLeast"/>
        </w:trPr>
        <w:tc>
          <w:tcPr>
            <w:tcW w:w="205" w:type="pct"/>
            <w:tcBorders>
              <w:top w:val="single" w:color="000000" w:sz="4" w:space="0"/>
              <w:left w:val="single" w:color="auto"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39</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水仙苑</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负1层</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775</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0564-8683276</w:t>
            </w: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解启玉</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三里河社区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40</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玫瑰苑</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2012</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负1层</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1400</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0564-8680056</w:t>
            </w: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郭曙萍</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丰墩社区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41</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舒城龙泊湾</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地下车库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2015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48058㎡</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华安地产</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0564-8686888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华安服务</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13655600702</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金虎社区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42</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舒城龙泊府</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地下车库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2015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18651㎡</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华安服务</w:t>
            </w: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丰墩社区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43</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安天·幸福里小区</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负二层机动车库</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（一期）</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573席</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约18509㎡</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舒城安天置业有限公司</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(已售车位的产权为买受人自有）</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汪越 15156491360</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舒城安天置业有限公司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汪越 15156491360</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金墩社区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585"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负二层机动车库</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（二期）</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2018</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584席</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约16982㎡</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人防车库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2018</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140席</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约5358㎡</w:t>
            </w:r>
          </w:p>
        </w:tc>
        <w:tc>
          <w:tcPr>
            <w:tcW w:w="577"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w:t>
            </w:r>
          </w:p>
        </w:tc>
        <w:tc>
          <w:tcPr>
            <w:tcW w:w="464"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w:t>
            </w: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负一层非机动车库</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（一期）</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2015</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约2825㎡</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业主共有</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安徽安天物业管理有限公司舒城县分公司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张奇志 13856428766</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金墩社区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负一层非机动车库</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（二期）</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2018</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约2705㎡</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44</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舒城县鼓楼新城</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38000</w:t>
            </w:r>
            <w:r>
              <w:rPr>
                <w:rStyle w:val="25"/>
                <w:rFonts w:ascii="Times New Roman" w:hAnsi="Times New Roman"/>
                <w:color w:val="000000" w:themeColor="text1"/>
                <w:sz w:val="21"/>
                <w:szCs w:val="21"/>
                <w14:textFill>
                  <w14:solidFill>
                    <w14:schemeClr w14:val="tx1"/>
                  </w14:solidFill>
                </w14:textFill>
              </w:rPr>
              <w:t>㎡</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安徽舒城舒怡建设集团</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赵业好13856488788</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合肥鸣人物业管理有限公司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18755365861</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北隅社区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非自动车停车库</w:t>
            </w:r>
          </w:p>
        </w:tc>
        <w:tc>
          <w:tcPr>
            <w:tcW w:w="352"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2017</w:t>
            </w:r>
          </w:p>
        </w:tc>
        <w:tc>
          <w:tcPr>
            <w:tcW w:w="352"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9000㎡</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45</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桃溪华府地下机动车车库</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680个</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舒城文筑地产有限公司</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0564-8916666</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安徽天一物业管理有限公司舒城分公司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周杰17356508759</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凤池苑社区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585"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桃溪华府地下机动车车库</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人防（平时停车）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282个</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人防工程指挥部</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1个</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业主共有</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1个</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业主共有</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12#地下一层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1个</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业主共有</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15#地下一层</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1个</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业主共有</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585"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46</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龙舒公馆小区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机动车库</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2018.9</w:t>
            </w:r>
          </w:p>
        </w:tc>
        <w:tc>
          <w:tcPr>
            <w:tcW w:w="352"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5578.58</w:t>
            </w:r>
            <w:r>
              <w:rPr>
                <w:rStyle w:val="25"/>
                <w:rFonts w:ascii="Times New Roman" w:hAnsi="Times New Roman"/>
                <w:color w:val="000000" w:themeColor="text1"/>
                <w:sz w:val="21"/>
                <w:szCs w:val="21"/>
                <w14:textFill>
                  <w14:solidFill>
                    <w14:schemeClr w14:val="tx1"/>
                  </w14:solidFill>
                </w14:textFill>
              </w:rPr>
              <w:t>㎡</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安徽恒华置地有限公司</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18656135509</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舒城县鼎盛物业服务有限公司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0564-8665671</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金墩社区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15"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非机动车</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52" w:type="pct"/>
            <w:tcBorders>
              <w:top w:val="nil"/>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524.43</w:t>
            </w:r>
            <w:r>
              <w:rPr>
                <w:rStyle w:val="25"/>
                <w:rFonts w:ascii="Times New Roman" w:hAnsi="Times New Roman"/>
                <w:color w:val="000000" w:themeColor="text1"/>
                <w:sz w:val="21"/>
                <w:szCs w:val="21"/>
                <w14:textFill>
                  <w14:solidFill>
                    <w14:schemeClr w14:val="tx1"/>
                  </w14:solidFill>
                </w14:textFill>
              </w:rPr>
              <w:t>㎡</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47</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龙舒首府</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r>
              <w:rPr>
                <w:rFonts w:cs="宋体"/>
                <w:color w:val="000000" w:themeColor="text1"/>
                <w:kern w:val="0"/>
                <w:szCs w:val="21"/>
                <w14:textFill>
                  <w14:solidFill>
                    <w14:schemeClr w14:val="tx1"/>
                  </w14:solidFill>
                </w14:textFill>
              </w:rPr>
              <w:t>37279㎡</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安徽恒圣置业有限公司</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刘辉18956027590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安徽尚品物业有限公司</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刘辉18956027590</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新城社区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48</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欣然南溪B区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负一层</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465</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靳国长13565760555</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舒城县广厦物业</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包俊13696447097</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中大社区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49</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沙埂家园三期</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负一层</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511</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王军18056452886</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沙埂村</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紫荆园三期</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负一层</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85</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陈吉纯19966407515</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沙埂村</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51</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龙城华府</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2013</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负二层</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370</w:t>
            </w:r>
            <w:r>
              <w:rPr>
                <w:rStyle w:val="25"/>
                <w:rFonts w:ascii="Times New Roman" w:hAnsi="Times New Roman"/>
                <w:color w:val="000000" w:themeColor="text1"/>
                <w:sz w:val="21"/>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舒怡房产公司</w:t>
            </w: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金鑫15055223517</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龙祥社区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52</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欣然南溪C区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11000㎡</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城关镇人民政府</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舒城县鸿基物业管理有限公司</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马新民：181 1061 8915</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码头社区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负一层</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8400㎡</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themeColor="text1"/>
                <w:szCs w:val="21"/>
                <w14:textFill>
                  <w14:solidFill>
                    <w14:schemeClr w14:val="tx1"/>
                  </w14:solidFill>
                </w14:textFill>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53</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飞霞市场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地下商场</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25㎡/间（200间）</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5000</w:t>
            </w:r>
            <w:r>
              <w:rPr>
                <w:rFonts w:hint="eastAsia" w:cs="宋体"/>
                <w:color w:val="000000" w:themeColor="text1"/>
                <w:kern w:val="0"/>
                <w:szCs w:val="21"/>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私有商铺</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金都物业</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华先傲13349126061</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地下负一层</w:t>
            </w: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54</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飞霞市场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地下停车场</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1处</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2000～3000㎡</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国资委</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执法局综合股</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方新文18110687178</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地下负一层</w:t>
            </w:r>
          </w:p>
        </w:tc>
      </w:tr>
      <w:tr>
        <w:tblPrEx>
          <w:tblCellMar>
            <w:top w:w="0" w:type="dxa"/>
            <w:left w:w="108" w:type="dxa"/>
            <w:bottom w:w="0" w:type="dxa"/>
            <w:right w:w="108" w:type="dxa"/>
          </w:tblCellMar>
        </w:tblPrEx>
        <w:trPr>
          <w:trHeight w:val="912"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55</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梅河路</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2018.5</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西边：（县老干部服务中心停车用43个）；东边：（易创商用：总车位141个，地下车位105个）</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场地使用面积：14000㎡；占地面积：4000㎡；停车场面积：约2000㎡</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县政府（政府出资，重点工程处建设，县机关事务局服务管理中心管理，县老干部服务中心使用）</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县机关事务局服务管理中心</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县老干部服务中心</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56</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舒城万达广场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停车场</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2021.6.17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车位</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1552个</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安徽科城置业</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林何13856551111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舒城万达广场商业管理有限公司</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李森林15695585679</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57</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广进玖富</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停车场、人防</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2013</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206个</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17139㎡</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广进房地产公司</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王德富13856487787</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广源物业</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李友汉15955946232</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58</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泰鑫广场</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停车场</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排水房</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消防泵房</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生活用水泵房</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高压电配电房</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2009.7.1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1890㎡</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全体业主及物业</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张会议18098782979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六安市安信物业</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管理有限公司舒城分公司</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张会议18098782979</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倪兵（18919725278）</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59</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远大港汇广场</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地下车库</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2016.9.29</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244个</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12700㎡</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舒城远大房地产</w:t>
            </w:r>
            <w:r>
              <w:rPr>
                <w:rFonts w:hint="eastAsia" w:cs="宋体"/>
                <w:color w:val="000000" w:themeColor="text1"/>
                <w:kern w:val="0"/>
                <w:szCs w:val="21"/>
                <w14:textFill>
                  <w14:solidFill>
                    <w14:schemeClr w14:val="tx1"/>
                  </w14:solidFill>
                </w14:textFill>
              </w:rPr>
              <w:br w:type="textWrapping"/>
            </w:r>
            <w:r>
              <w:rPr>
                <w:rFonts w:hint="eastAsia" w:cs="宋体"/>
                <w:color w:val="000000" w:themeColor="text1"/>
                <w:kern w:val="0"/>
                <w:szCs w:val="21"/>
                <w14:textFill>
                  <w14:solidFill>
                    <w14:schemeClr w14:val="tx1"/>
                  </w14:solidFill>
                </w14:textFill>
              </w:rPr>
              <w:t>开发有限公司</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叶少安18956416170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舒城远大港汇商业运营管理有限公司</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叶少安18956416170</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城关镇</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20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60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财富中心小区</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公用车库、人防室</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2012.12.1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负一</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4751.95㎡</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文峰置业</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张会议（18098782979）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舒城慧邦物业有限公司</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13966309538</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码头社区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themeColor="text1"/>
                <w:szCs w:val="21"/>
                <w14:textFill>
                  <w14:solidFill>
                    <w14:schemeClr w14:val="tx1"/>
                  </w14:solidFill>
                </w14:textFill>
              </w:rPr>
            </w:pPr>
          </w:p>
        </w:tc>
      </w:tr>
    </w:tbl>
    <w:p>
      <w:pPr>
        <w:rPr>
          <w:color w:val="000000" w:themeColor="text1"/>
          <w:sz w:val="32"/>
          <w:szCs w:val="32"/>
          <w14:textFill>
            <w14:solidFill>
              <w14:schemeClr w14:val="tx1"/>
            </w14:solidFill>
          </w14:textFill>
        </w:rPr>
      </w:pPr>
    </w:p>
    <w:p>
      <w:pPr>
        <w:rPr>
          <w:color w:val="000000" w:themeColor="text1"/>
          <w:sz w:val="32"/>
          <w:szCs w:val="32"/>
          <w14:textFill>
            <w14:solidFill>
              <w14:schemeClr w14:val="tx1"/>
            </w14:solidFill>
          </w14:textFill>
        </w:rPr>
      </w:pPr>
    </w:p>
    <w:p>
      <w:pPr>
        <w:pStyle w:val="2"/>
        <w:ind w:firstLine="0" w:firstLineChars="0"/>
        <w:rPr>
          <w:rFonts w:ascii="Times New Roman" w:hAnsi="Times New Roman"/>
          <w:color w:val="000000" w:themeColor="text1"/>
          <w:szCs w:val="32"/>
          <w14:textFill>
            <w14:solidFill>
              <w14:schemeClr w14:val="tx1"/>
            </w14:solidFill>
          </w14:textFill>
        </w:rPr>
      </w:pPr>
    </w:p>
    <w:p>
      <w:pPr>
        <w:rPr>
          <w:color w:val="000000" w:themeColor="text1"/>
          <w:sz w:val="32"/>
          <w:szCs w:val="32"/>
          <w14:textFill>
            <w14:solidFill>
              <w14:schemeClr w14:val="tx1"/>
            </w14:solidFill>
          </w14:textFill>
        </w:rPr>
      </w:pPr>
    </w:p>
    <w:p>
      <w:pPr>
        <w:pStyle w:val="2"/>
        <w:rPr>
          <w:rFonts w:ascii="Times New Roman" w:hAnsi="Times New Roman"/>
          <w:color w:val="000000" w:themeColor="text1"/>
          <w:szCs w:val="32"/>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0" w:firstLineChars="0"/>
        <w:outlineLvl w:val="0"/>
        <w:rPr>
          <w:rFonts w:ascii="Times New Roman" w:hAnsi="Times New Roman"/>
          <w:color w:val="000000" w:themeColor="text1"/>
          <w:szCs w:val="32"/>
          <w14:textFill>
            <w14:solidFill>
              <w14:schemeClr w14:val="tx1"/>
            </w14:solidFill>
          </w14:textFill>
        </w:rPr>
      </w:pPr>
      <w:bookmarkStart w:id="75" w:name="_Toc24216"/>
      <w:r>
        <w:rPr>
          <w:rFonts w:hint="eastAsia" w:ascii="Times New Roman" w:hAnsi="Times New Roman"/>
          <w:color w:val="000000" w:themeColor="text1"/>
          <w:szCs w:val="32"/>
          <w14:textFill>
            <w14:solidFill>
              <w14:schemeClr w14:val="tx1"/>
            </w14:solidFill>
          </w14:textFill>
        </w:rPr>
        <w:t>附件</w:t>
      </w:r>
      <w:bookmarkEnd w:id="75"/>
      <w:r>
        <w:rPr>
          <w:rFonts w:hint="eastAsia" w:ascii="Times New Roman" w:hAnsi="Times New Roman"/>
          <w:color w:val="000000" w:themeColor="text1"/>
          <w:szCs w:val="32"/>
          <w14:textFill>
            <w14:solidFill>
              <w14:schemeClr w14:val="tx1"/>
            </w14:solidFill>
          </w14:textFill>
        </w:rPr>
        <w:t>7</w:t>
      </w:r>
    </w:p>
    <w:p>
      <w:pPr>
        <w:spacing w:line="560" w:lineRule="exact"/>
        <w:jc w:val="center"/>
        <w:rPr>
          <w:rFonts w:eastAsia="方正小标宋简体" w:cs="方正小标宋简体"/>
          <w:color w:val="000000" w:themeColor="text1"/>
          <w:sz w:val="36"/>
          <w:szCs w:val="36"/>
          <w14:textFill>
            <w14:solidFill>
              <w14:schemeClr w14:val="tx1"/>
            </w14:solidFill>
          </w14:textFill>
        </w:rPr>
      </w:pPr>
      <w:r>
        <w:rPr>
          <w:rFonts w:hint="eastAsia" w:eastAsia="方正小标宋简体" w:cs="方正小标宋简体"/>
          <w:color w:val="000000" w:themeColor="text1"/>
          <w:sz w:val="36"/>
          <w:szCs w:val="36"/>
          <w14:textFill>
            <w14:solidFill>
              <w14:schemeClr w14:val="tx1"/>
            </w14:solidFill>
          </w14:textFill>
        </w:rPr>
        <w:t>舒城县城区内涝点治理清单（补充版）</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
        <w:gridCol w:w="3654"/>
        <w:gridCol w:w="7294"/>
        <w:gridCol w:w="4145"/>
        <w:gridCol w:w="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29" w:type="pct"/>
            <w:noWrap/>
            <w:vAlign w:val="center"/>
          </w:tcPr>
          <w:p>
            <w:pPr>
              <w:spacing w:line="56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901" w:type="pct"/>
            <w:noWrap/>
            <w:vAlign w:val="center"/>
          </w:tcPr>
          <w:p>
            <w:pPr>
              <w:spacing w:line="56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治理地点</w:t>
            </w:r>
          </w:p>
        </w:tc>
        <w:tc>
          <w:tcPr>
            <w:tcW w:w="2512" w:type="pct"/>
            <w:noWrap/>
            <w:vAlign w:val="center"/>
          </w:tcPr>
          <w:p>
            <w:pPr>
              <w:spacing w:line="56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治理方法</w:t>
            </w:r>
          </w:p>
        </w:tc>
        <w:tc>
          <w:tcPr>
            <w:tcW w:w="970" w:type="pct"/>
            <w:noWrap/>
            <w:vAlign w:val="center"/>
          </w:tcPr>
          <w:p>
            <w:pPr>
              <w:spacing w:line="56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责任单位</w:t>
            </w:r>
          </w:p>
        </w:tc>
        <w:tc>
          <w:tcPr>
            <w:tcW w:w="286" w:type="pct"/>
            <w:noWrap/>
            <w:vAlign w:val="center"/>
          </w:tcPr>
          <w:p>
            <w:pPr>
              <w:spacing w:line="56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1"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城关镇水杉路、古城南路（飞霞农贸市场）、飞霞路（飞霞公园西门口）易涝点</w:t>
            </w:r>
          </w:p>
        </w:tc>
        <w:tc>
          <w:tcPr>
            <w:tcW w:w="2512" w:type="pct"/>
            <w:noWrap/>
            <w:vAlign w:val="center"/>
          </w:tcPr>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1.封堵合流制沿河排口，飞霞路箱涵入玉带河排口。原合流制管道经检测合格后做污水管使用。</w:t>
            </w:r>
          </w:p>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2.新建雨水系统（d600-d1800）及一座一体化雨水排涝泵站（Q=2m3 /s,H=2m）将雨水向东排入杭北干渠下游（龙津啤酒厂处）。</w:t>
            </w:r>
          </w:p>
        </w:tc>
        <w:tc>
          <w:tcPr>
            <w:tcW w:w="970" w:type="pct"/>
            <w:noWrap/>
            <w:vAlign w:val="center"/>
          </w:tcPr>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牵头单位：县城管局；</w:t>
            </w:r>
          </w:p>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配合单位：城关镇、县发改委、经信局、自然资源局、住建局、重点工程处</w:t>
            </w:r>
          </w:p>
        </w:tc>
        <w:tc>
          <w:tcPr>
            <w:tcW w:w="286" w:type="pct"/>
            <w:noWrap/>
            <w:vAlign w:val="center"/>
          </w:tcPr>
          <w:p>
            <w:pPr>
              <w:spacing w:line="40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901"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城关镇滨湖路</w:t>
            </w:r>
          </w:p>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（远大中央公园</w:t>
            </w:r>
          </w:p>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北门口）易涝点</w:t>
            </w:r>
          </w:p>
        </w:tc>
        <w:tc>
          <w:tcPr>
            <w:tcW w:w="2512" w:type="pct"/>
            <w:noWrap/>
            <w:vAlign w:val="center"/>
          </w:tcPr>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1.配备应急排涝泵，沙袋等应急排涝设施。</w:t>
            </w:r>
          </w:p>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2.根据城市总体规划和排水规划相关要求，完善远大中央公园北侧道路、春秋南路等道路雨污水管网，并完成城南排涝泵站（泵站规模 Q=21m3/s，H=7m）的建设。</w:t>
            </w:r>
          </w:p>
        </w:tc>
        <w:tc>
          <w:tcPr>
            <w:tcW w:w="970" w:type="pct"/>
            <w:noWrap/>
            <w:vAlign w:val="center"/>
          </w:tcPr>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牵头单位：县重点工程处；配合单位：城关镇、县城管局、自然资源局</w:t>
            </w:r>
          </w:p>
        </w:tc>
        <w:tc>
          <w:tcPr>
            <w:tcW w:w="286" w:type="pct"/>
            <w:noWrap/>
            <w:vAlign w:val="center"/>
          </w:tcPr>
          <w:p>
            <w:pPr>
              <w:spacing w:line="40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901"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开发区周瑜大道</w:t>
            </w:r>
          </w:p>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（检察院门口）、</w:t>
            </w:r>
          </w:p>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鼓楼北街（龙舒花园东门口）易涝点</w:t>
            </w:r>
          </w:p>
        </w:tc>
        <w:tc>
          <w:tcPr>
            <w:tcW w:w="2512" w:type="pct"/>
            <w:noWrap/>
            <w:vAlign w:val="center"/>
          </w:tcPr>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1.取消周瑜大道与古城北路交口合流制管道交汇处检查井封堵措施，保障排水系统顺畅，短期内解决积水问题。</w:t>
            </w:r>
          </w:p>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2.推进片区内小区与独立排水户的雨污分流改造工作。</w:t>
            </w:r>
          </w:p>
        </w:tc>
        <w:tc>
          <w:tcPr>
            <w:tcW w:w="970" w:type="pct"/>
            <w:noWrap/>
            <w:vAlign w:val="center"/>
          </w:tcPr>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牵头单位：开发区；</w:t>
            </w:r>
          </w:p>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配合单位：县水利局、住建局、城管局</w:t>
            </w:r>
          </w:p>
        </w:tc>
        <w:tc>
          <w:tcPr>
            <w:tcW w:w="286" w:type="pct"/>
            <w:noWrap/>
            <w:vAlign w:val="center"/>
          </w:tcPr>
          <w:p>
            <w:pPr>
              <w:spacing w:line="40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901"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开发区龙潭北路</w:t>
            </w:r>
          </w:p>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（北隅村部门口）</w:t>
            </w:r>
          </w:p>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易涝点</w:t>
            </w:r>
          </w:p>
        </w:tc>
        <w:tc>
          <w:tcPr>
            <w:tcW w:w="2512" w:type="pct"/>
            <w:noWrap/>
            <w:vAlign w:val="center"/>
          </w:tcPr>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1.对龙潭北路现状雨水管道及附属雨水收集构筑物清淤疏通。</w:t>
            </w:r>
          </w:p>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2.于北隅小区门口及北隅村部两处积水点新建雨水口，增大雨水管网系统应对短历时强降雨能力。</w:t>
            </w:r>
          </w:p>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3.推进三里河上游分洪枢纽建设，减少三里河上游汇水，降低三里河水位。</w:t>
            </w:r>
          </w:p>
        </w:tc>
        <w:tc>
          <w:tcPr>
            <w:tcW w:w="970" w:type="pct"/>
            <w:noWrap/>
            <w:vAlign w:val="center"/>
          </w:tcPr>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牵头单位：开发区；</w:t>
            </w:r>
          </w:p>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配合单位：县水利局、住建局、重点工程处</w:t>
            </w:r>
          </w:p>
        </w:tc>
        <w:tc>
          <w:tcPr>
            <w:tcW w:w="286" w:type="pct"/>
            <w:noWrap/>
            <w:vAlign w:val="center"/>
          </w:tcPr>
          <w:p>
            <w:pPr>
              <w:spacing w:line="40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jc w:val="center"/>
        </w:trPr>
        <w:tc>
          <w:tcPr>
            <w:tcW w:w="329"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901"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开发区龙潭南路与龙津大道交汇处</w:t>
            </w:r>
          </w:p>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（金鼎世纪城小区门口）易涝点</w:t>
            </w:r>
          </w:p>
        </w:tc>
        <w:tc>
          <w:tcPr>
            <w:tcW w:w="2512" w:type="pct"/>
            <w:noWrap/>
            <w:vAlign w:val="center"/>
          </w:tcPr>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1.将现状雨水排水系统（雨水口、雨水连接管及雨水主管道）疏通。</w:t>
            </w:r>
          </w:p>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2.在龙潭南路南侧道路上，结合现状雨水口，新建一排串联式雨水口，收集南侧地面积水排入北侧三里河。</w:t>
            </w:r>
          </w:p>
        </w:tc>
        <w:tc>
          <w:tcPr>
            <w:tcW w:w="970" w:type="pct"/>
            <w:noWrap/>
            <w:vAlign w:val="center"/>
          </w:tcPr>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牵头单位：开发区；</w:t>
            </w:r>
          </w:p>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配合单位：县水利局、住建局、城管局</w:t>
            </w:r>
          </w:p>
        </w:tc>
        <w:tc>
          <w:tcPr>
            <w:tcW w:w="286" w:type="pct"/>
            <w:noWrap/>
            <w:vAlign w:val="center"/>
          </w:tcPr>
          <w:p>
            <w:pPr>
              <w:spacing w:line="40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901"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城关镇龙津大道</w:t>
            </w:r>
          </w:p>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（新素宝油厂</w:t>
            </w:r>
          </w:p>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东门口）易涝点</w:t>
            </w:r>
          </w:p>
        </w:tc>
        <w:tc>
          <w:tcPr>
            <w:tcW w:w="2512" w:type="pct"/>
            <w:noWrap/>
            <w:vAlign w:val="center"/>
          </w:tcPr>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1.龙津大道沿线雨水管道及附属雨水收集构筑物进行清淤修复。</w:t>
            </w:r>
          </w:p>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2.陈三堰支渠跨龙津大道箱涵及下游盖板渠清淤。</w:t>
            </w:r>
          </w:p>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3.推进油厂周边区域、旗杆巷内雨污分流改造工作。</w:t>
            </w:r>
          </w:p>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4.建议厂区内自身配置应急排涝泵，沙袋等排涝设施。</w:t>
            </w:r>
          </w:p>
        </w:tc>
        <w:tc>
          <w:tcPr>
            <w:tcW w:w="970" w:type="pct"/>
            <w:noWrap/>
            <w:vAlign w:val="center"/>
          </w:tcPr>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牵头单位：县城管局；</w:t>
            </w:r>
          </w:p>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配合单位：城关镇、县重点工程处、新素宝油厂</w:t>
            </w:r>
          </w:p>
        </w:tc>
        <w:tc>
          <w:tcPr>
            <w:tcW w:w="286" w:type="pct"/>
            <w:noWrap/>
            <w:vAlign w:val="center"/>
          </w:tcPr>
          <w:p>
            <w:pPr>
              <w:spacing w:line="40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901"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城关镇城东路</w:t>
            </w:r>
          </w:p>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（城东批发大市场）易涝点</w:t>
            </w:r>
          </w:p>
        </w:tc>
        <w:tc>
          <w:tcPr>
            <w:tcW w:w="2512" w:type="pct"/>
            <w:noWrap/>
            <w:vAlign w:val="center"/>
          </w:tcPr>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1.配置一座应急排涝泵，沙袋等排涝设施。</w:t>
            </w:r>
          </w:p>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2.开展舒茶路、南港路雨水管道建设。</w:t>
            </w:r>
          </w:p>
        </w:tc>
        <w:tc>
          <w:tcPr>
            <w:tcW w:w="970" w:type="pct"/>
            <w:noWrap/>
            <w:vAlign w:val="center"/>
          </w:tcPr>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牵头单位：城关镇；</w:t>
            </w:r>
          </w:p>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配合单位：县城管局、水利局、住建局</w:t>
            </w:r>
          </w:p>
        </w:tc>
        <w:tc>
          <w:tcPr>
            <w:tcW w:w="286" w:type="pct"/>
            <w:noWrap/>
            <w:vAlign w:val="center"/>
          </w:tcPr>
          <w:p>
            <w:pPr>
              <w:spacing w:line="40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901"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开发区高峰路</w:t>
            </w:r>
          </w:p>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（金虎小区东门口）易涝点</w:t>
            </w:r>
          </w:p>
        </w:tc>
        <w:tc>
          <w:tcPr>
            <w:tcW w:w="2512" w:type="pct"/>
            <w:noWrap/>
            <w:vAlign w:val="center"/>
          </w:tcPr>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1.对小区入高峰路市政主雨水管道及支管道结构性缺陷及工程性缺陷点进行修复。</w:t>
            </w:r>
          </w:p>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2.小区附近高峰路、龙舒西路、皖江路现状市政主雨水管道及附属雨水收集构筑物清淤、疏通。</w:t>
            </w:r>
          </w:p>
        </w:tc>
        <w:tc>
          <w:tcPr>
            <w:tcW w:w="970" w:type="pct"/>
            <w:noWrap/>
            <w:vAlign w:val="center"/>
          </w:tcPr>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牵头单位：县城管局；</w:t>
            </w:r>
          </w:p>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配合单位：城关镇、开发区、住建局、重点工程处</w:t>
            </w:r>
          </w:p>
        </w:tc>
        <w:tc>
          <w:tcPr>
            <w:tcW w:w="286" w:type="pct"/>
            <w:noWrap/>
            <w:vAlign w:val="center"/>
          </w:tcPr>
          <w:p>
            <w:pPr>
              <w:spacing w:line="40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7" w:hRule="atLeast"/>
          <w:jc w:val="center"/>
        </w:trPr>
        <w:tc>
          <w:tcPr>
            <w:tcW w:w="329"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901"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城关镇东门路</w:t>
            </w:r>
          </w:p>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（农场小区）易涝点</w:t>
            </w:r>
          </w:p>
        </w:tc>
        <w:tc>
          <w:tcPr>
            <w:tcW w:w="2512" w:type="pct"/>
            <w:noWrap/>
            <w:vAlign w:val="center"/>
          </w:tcPr>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1.封堵小区污水系统龙津大道、飞霞公园排水系统连接管。</w:t>
            </w:r>
          </w:p>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2.新建一座小型污水提升泵站(Q=34.92m3/h,H=4m)，将小区污水加压排入东门路现状污水管道。</w:t>
            </w:r>
          </w:p>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3.更换小区雨水泵站损坏的雨水泵。</w:t>
            </w:r>
          </w:p>
        </w:tc>
        <w:tc>
          <w:tcPr>
            <w:tcW w:w="970" w:type="pct"/>
            <w:noWrap/>
            <w:vAlign w:val="center"/>
          </w:tcPr>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牵头单位：县城管局；</w:t>
            </w:r>
          </w:p>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配合单位：城关镇、县水利局</w:t>
            </w:r>
          </w:p>
        </w:tc>
        <w:tc>
          <w:tcPr>
            <w:tcW w:w="286" w:type="pct"/>
            <w:noWrap/>
            <w:vAlign w:val="center"/>
          </w:tcPr>
          <w:p>
            <w:pPr>
              <w:spacing w:line="40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329"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901"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城关镇张山河</w:t>
            </w:r>
          </w:p>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河道治理点</w:t>
            </w:r>
          </w:p>
        </w:tc>
        <w:tc>
          <w:tcPr>
            <w:tcW w:w="2512" w:type="pct"/>
            <w:noWrap/>
            <w:vAlign w:val="center"/>
          </w:tcPr>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1.对张山河下游（城东路-太平排涝泵站）段约 2.8km 的河道清淤疏浚。</w:t>
            </w:r>
          </w:p>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2.推进张山河下游太平排涝泵站建设工作。</w:t>
            </w:r>
          </w:p>
        </w:tc>
        <w:tc>
          <w:tcPr>
            <w:tcW w:w="970" w:type="pct"/>
            <w:noWrap/>
            <w:vAlign w:val="center"/>
          </w:tcPr>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牵头单位：县水利局；配合单位：县重点工程处、生态环境分局、城关镇</w:t>
            </w:r>
          </w:p>
        </w:tc>
        <w:tc>
          <w:tcPr>
            <w:tcW w:w="286" w:type="pct"/>
            <w:noWrap/>
            <w:vAlign w:val="center"/>
          </w:tcPr>
          <w:p>
            <w:pPr>
              <w:spacing w:line="40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329"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901"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经二河等治理点</w:t>
            </w:r>
          </w:p>
        </w:tc>
        <w:tc>
          <w:tcPr>
            <w:tcW w:w="2512" w:type="pct"/>
            <w:noWrap/>
            <w:vAlign w:val="center"/>
          </w:tcPr>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1.对城南经二河、经三河、伏虎排涝渠水系实施联通工程。</w:t>
            </w:r>
          </w:p>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2.对城西飞龙湖新建工程、龙河渠实施改造工程。</w:t>
            </w:r>
          </w:p>
        </w:tc>
        <w:tc>
          <w:tcPr>
            <w:tcW w:w="970" w:type="pct"/>
            <w:noWrap/>
            <w:vAlign w:val="center"/>
          </w:tcPr>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牵头单位：县重点工程处；配合单位：县水利局、住建局、生态环境分局、城关镇、开发区</w:t>
            </w:r>
          </w:p>
        </w:tc>
        <w:tc>
          <w:tcPr>
            <w:tcW w:w="286" w:type="pct"/>
            <w:noWrap/>
            <w:vAlign w:val="center"/>
          </w:tcPr>
          <w:p>
            <w:pPr>
              <w:spacing w:line="40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329"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901"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城关镇新西村、</w:t>
            </w:r>
          </w:p>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高沟支渠、老县医院南侧区域易涝点</w:t>
            </w:r>
          </w:p>
        </w:tc>
        <w:tc>
          <w:tcPr>
            <w:tcW w:w="2512" w:type="pct"/>
            <w:noWrap/>
            <w:vAlign w:val="center"/>
          </w:tcPr>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主体单位与省城建设计院对接具体治理方案。</w:t>
            </w:r>
          </w:p>
        </w:tc>
        <w:tc>
          <w:tcPr>
            <w:tcW w:w="970" w:type="pct"/>
            <w:noWrap/>
            <w:vAlign w:val="center"/>
          </w:tcPr>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牵头单位：城关镇；</w:t>
            </w:r>
          </w:p>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配合单位：县水利局、住建局、重点工程处、城管局</w:t>
            </w:r>
          </w:p>
        </w:tc>
        <w:tc>
          <w:tcPr>
            <w:tcW w:w="286" w:type="pct"/>
            <w:noWrap/>
            <w:vAlign w:val="center"/>
          </w:tcPr>
          <w:p>
            <w:pPr>
              <w:spacing w:line="40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329"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c>
          <w:tcPr>
            <w:tcW w:w="901"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中意家园、</w:t>
            </w:r>
          </w:p>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必斐艾周边易涝点</w:t>
            </w:r>
          </w:p>
        </w:tc>
        <w:tc>
          <w:tcPr>
            <w:tcW w:w="2512" w:type="pct"/>
            <w:noWrap/>
            <w:vAlign w:val="center"/>
          </w:tcPr>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主体单位与省城建设计院对接具体治理方案。</w:t>
            </w:r>
          </w:p>
        </w:tc>
        <w:tc>
          <w:tcPr>
            <w:tcW w:w="970" w:type="pct"/>
            <w:noWrap/>
            <w:vAlign w:val="center"/>
          </w:tcPr>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牵头单位：开发区；</w:t>
            </w:r>
          </w:p>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配合单位：县水利局、住建局、重点工程处</w:t>
            </w:r>
          </w:p>
        </w:tc>
        <w:tc>
          <w:tcPr>
            <w:tcW w:w="286" w:type="pct"/>
            <w:noWrap/>
            <w:vAlign w:val="center"/>
          </w:tcPr>
          <w:p>
            <w:pPr>
              <w:spacing w:line="40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329"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901"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高峰路与周瑜路交叉口易涝点</w:t>
            </w:r>
          </w:p>
        </w:tc>
        <w:tc>
          <w:tcPr>
            <w:tcW w:w="2512" w:type="pct"/>
            <w:noWrap/>
            <w:vAlign w:val="center"/>
          </w:tcPr>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主体单位与省城建设计院对接具体治理方案。</w:t>
            </w:r>
          </w:p>
        </w:tc>
        <w:tc>
          <w:tcPr>
            <w:tcW w:w="970" w:type="pct"/>
            <w:noWrap/>
            <w:vAlign w:val="center"/>
          </w:tcPr>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牵头单位：开发区；</w:t>
            </w:r>
          </w:p>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配合单位：县水利局、城管局、住建局、重点工程处</w:t>
            </w:r>
          </w:p>
        </w:tc>
        <w:tc>
          <w:tcPr>
            <w:tcW w:w="286" w:type="pct"/>
            <w:noWrap/>
            <w:vAlign w:val="center"/>
          </w:tcPr>
          <w:p>
            <w:pPr>
              <w:spacing w:line="40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329"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901" w:type="pct"/>
            <w:noWrap/>
            <w:vAlign w:val="center"/>
          </w:tcPr>
          <w:p>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公交车站跨路箱涵</w:t>
            </w:r>
          </w:p>
        </w:tc>
        <w:tc>
          <w:tcPr>
            <w:tcW w:w="2512" w:type="pct"/>
            <w:noWrap/>
            <w:vAlign w:val="center"/>
          </w:tcPr>
          <w:p>
            <w:pPr>
              <w:spacing w:line="40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主体单位与省城建设计院对接具体治理方案。</w:t>
            </w:r>
          </w:p>
        </w:tc>
        <w:tc>
          <w:tcPr>
            <w:tcW w:w="970" w:type="pct"/>
            <w:noWrap/>
            <w:vAlign w:val="center"/>
          </w:tcPr>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牵头单位：交通局；</w:t>
            </w:r>
          </w:p>
          <w:p>
            <w:pPr>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配合单位：县水利局、城管局、城关镇</w:t>
            </w:r>
          </w:p>
        </w:tc>
        <w:tc>
          <w:tcPr>
            <w:tcW w:w="286" w:type="pct"/>
            <w:noWrap/>
            <w:vAlign w:val="center"/>
          </w:tcPr>
          <w:p>
            <w:pPr>
              <w:spacing w:line="400" w:lineRule="exact"/>
              <w:jc w:val="center"/>
              <w:rPr>
                <w:color w:val="000000" w:themeColor="text1"/>
                <w:szCs w:val="21"/>
                <w14:textFill>
                  <w14:solidFill>
                    <w14:schemeClr w14:val="tx1"/>
                  </w14:solidFill>
                </w14:textFill>
              </w:rPr>
            </w:pPr>
          </w:p>
        </w:tc>
      </w:tr>
    </w:tbl>
    <w:p>
      <w:pPr>
        <w:rPr>
          <w:color w:val="000000" w:themeColor="text1"/>
          <w:sz w:val="32"/>
          <w:szCs w:val="32"/>
          <w14:textFill>
            <w14:solidFill>
              <w14:schemeClr w14:val="tx1"/>
            </w14:solidFill>
          </w14:textFill>
        </w:rPr>
      </w:pPr>
    </w:p>
    <w:sectPr>
      <w:footerReference r:id="rId10" w:type="default"/>
      <w:pgSz w:w="16838" w:h="11906" w:orient="landscape"/>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t xml:space="preserve">第 </w:t>
                          </w:r>
                          <w:r>
                            <w:fldChar w:fldCharType="begin"/>
                          </w:r>
                          <w:r>
                            <w:instrText xml:space="preserve"> PAGE  \* MERGEFORMAT </w:instrText>
                          </w:r>
                          <w:r>
                            <w:fldChar w:fldCharType="separate"/>
                          </w:r>
                          <w:r>
                            <w:t>59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59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right"/>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hideSpellingErrors/>
  <w:hideGrammaticalErrors/>
  <w:doNotTrackMove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2ODE0MWNmY2FhOWU5MTJlZGZjNjdjNDQxYjIzNWYifQ=="/>
  </w:docVars>
  <w:rsids>
    <w:rsidRoot w:val="0007188E"/>
    <w:rsid w:val="0007188E"/>
    <w:rsid w:val="001045AF"/>
    <w:rsid w:val="00225968"/>
    <w:rsid w:val="00245817"/>
    <w:rsid w:val="002A1083"/>
    <w:rsid w:val="003D6BFC"/>
    <w:rsid w:val="005D049A"/>
    <w:rsid w:val="00687F62"/>
    <w:rsid w:val="00733840"/>
    <w:rsid w:val="0075517E"/>
    <w:rsid w:val="0077135A"/>
    <w:rsid w:val="008E0973"/>
    <w:rsid w:val="009A3BEE"/>
    <w:rsid w:val="009D66FB"/>
    <w:rsid w:val="00B213B2"/>
    <w:rsid w:val="00B76F6E"/>
    <w:rsid w:val="00C85877"/>
    <w:rsid w:val="00D77C9F"/>
    <w:rsid w:val="00E862B3"/>
    <w:rsid w:val="00EF44E1"/>
    <w:rsid w:val="01AD165F"/>
    <w:rsid w:val="01B31C8D"/>
    <w:rsid w:val="02117D9A"/>
    <w:rsid w:val="02353A89"/>
    <w:rsid w:val="03367AB9"/>
    <w:rsid w:val="03A93836"/>
    <w:rsid w:val="04F8144B"/>
    <w:rsid w:val="059A7CE9"/>
    <w:rsid w:val="05E206EE"/>
    <w:rsid w:val="06412949"/>
    <w:rsid w:val="06F61312"/>
    <w:rsid w:val="08CB0CFE"/>
    <w:rsid w:val="095B41B1"/>
    <w:rsid w:val="0AD952B6"/>
    <w:rsid w:val="0C4F77EC"/>
    <w:rsid w:val="0D425B0A"/>
    <w:rsid w:val="0FB3547C"/>
    <w:rsid w:val="10217838"/>
    <w:rsid w:val="108741EE"/>
    <w:rsid w:val="10D97298"/>
    <w:rsid w:val="114722C9"/>
    <w:rsid w:val="11584125"/>
    <w:rsid w:val="115C5105"/>
    <w:rsid w:val="12E812AE"/>
    <w:rsid w:val="13D27419"/>
    <w:rsid w:val="14F83811"/>
    <w:rsid w:val="150F3AF8"/>
    <w:rsid w:val="154268DA"/>
    <w:rsid w:val="157B2181"/>
    <w:rsid w:val="158B2A6C"/>
    <w:rsid w:val="16337E88"/>
    <w:rsid w:val="1736035E"/>
    <w:rsid w:val="17B9260F"/>
    <w:rsid w:val="19D90D46"/>
    <w:rsid w:val="1A024B14"/>
    <w:rsid w:val="1ACD0E2F"/>
    <w:rsid w:val="1AEF6A73"/>
    <w:rsid w:val="1B1E493B"/>
    <w:rsid w:val="1BC23A48"/>
    <w:rsid w:val="1C1A047D"/>
    <w:rsid w:val="1C22667B"/>
    <w:rsid w:val="1EAC4C7B"/>
    <w:rsid w:val="1EF04B68"/>
    <w:rsid w:val="1FA80570"/>
    <w:rsid w:val="20150431"/>
    <w:rsid w:val="2061237F"/>
    <w:rsid w:val="2080793D"/>
    <w:rsid w:val="20AD1353"/>
    <w:rsid w:val="21902632"/>
    <w:rsid w:val="21DF33F9"/>
    <w:rsid w:val="240D2B0C"/>
    <w:rsid w:val="24B22593"/>
    <w:rsid w:val="24BC6276"/>
    <w:rsid w:val="253D5603"/>
    <w:rsid w:val="27AB3D22"/>
    <w:rsid w:val="27BA7713"/>
    <w:rsid w:val="287405B8"/>
    <w:rsid w:val="28F430D5"/>
    <w:rsid w:val="2981000D"/>
    <w:rsid w:val="2A126410"/>
    <w:rsid w:val="2B431440"/>
    <w:rsid w:val="2B88425D"/>
    <w:rsid w:val="2BA447E5"/>
    <w:rsid w:val="2C550700"/>
    <w:rsid w:val="2D2C2FF7"/>
    <w:rsid w:val="2D850B71"/>
    <w:rsid w:val="30B8720C"/>
    <w:rsid w:val="340E0074"/>
    <w:rsid w:val="36E11F23"/>
    <w:rsid w:val="37C036A0"/>
    <w:rsid w:val="38C85BE3"/>
    <w:rsid w:val="39033292"/>
    <w:rsid w:val="39671512"/>
    <w:rsid w:val="399056D3"/>
    <w:rsid w:val="3A6F33E9"/>
    <w:rsid w:val="3A866D59"/>
    <w:rsid w:val="3AB34D03"/>
    <w:rsid w:val="3B0813FC"/>
    <w:rsid w:val="3B8662D5"/>
    <w:rsid w:val="3D3F477C"/>
    <w:rsid w:val="3D76349B"/>
    <w:rsid w:val="3D870841"/>
    <w:rsid w:val="3ED9195C"/>
    <w:rsid w:val="3F2F4DE1"/>
    <w:rsid w:val="405C1C05"/>
    <w:rsid w:val="40CA3013"/>
    <w:rsid w:val="41973D99"/>
    <w:rsid w:val="45C90C65"/>
    <w:rsid w:val="45CD6F9B"/>
    <w:rsid w:val="45E11532"/>
    <w:rsid w:val="45E953AB"/>
    <w:rsid w:val="45EB1CEB"/>
    <w:rsid w:val="4A6022F2"/>
    <w:rsid w:val="4A627E2A"/>
    <w:rsid w:val="4A985F30"/>
    <w:rsid w:val="4B181864"/>
    <w:rsid w:val="4B951B65"/>
    <w:rsid w:val="4CC34F2B"/>
    <w:rsid w:val="4D0B6E89"/>
    <w:rsid w:val="4D755455"/>
    <w:rsid w:val="4F272DEC"/>
    <w:rsid w:val="4F6309A0"/>
    <w:rsid w:val="4F94075B"/>
    <w:rsid w:val="4FC64C5D"/>
    <w:rsid w:val="50482E17"/>
    <w:rsid w:val="50784012"/>
    <w:rsid w:val="50B12CF3"/>
    <w:rsid w:val="5134593C"/>
    <w:rsid w:val="51CC6943"/>
    <w:rsid w:val="526D3D72"/>
    <w:rsid w:val="533F163E"/>
    <w:rsid w:val="552F7491"/>
    <w:rsid w:val="55B57D32"/>
    <w:rsid w:val="56C2768C"/>
    <w:rsid w:val="58842048"/>
    <w:rsid w:val="598F1069"/>
    <w:rsid w:val="59B416BE"/>
    <w:rsid w:val="5A2E15E3"/>
    <w:rsid w:val="5BE37DB5"/>
    <w:rsid w:val="5CBA5B65"/>
    <w:rsid w:val="5CC130C4"/>
    <w:rsid w:val="5CDA4186"/>
    <w:rsid w:val="5F2B25D9"/>
    <w:rsid w:val="5FEA2310"/>
    <w:rsid w:val="600339F4"/>
    <w:rsid w:val="608B0528"/>
    <w:rsid w:val="60D875B6"/>
    <w:rsid w:val="61587D6F"/>
    <w:rsid w:val="61A134C4"/>
    <w:rsid w:val="61B01959"/>
    <w:rsid w:val="629D5E7E"/>
    <w:rsid w:val="63AD638A"/>
    <w:rsid w:val="64133733"/>
    <w:rsid w:val="642D1608"/>
    <w:rsid w:val="65332AB2"/>
    <w:rsid w:val="65622D9F"/>
    <w:rsid w:val="676F4C96"/>
    <w:rsid w:val="69342E70"/>
    <w:rsid w:val="69EA6A1F"/>
    <w:rsid w:val="6AED318F"/>
    <w:rsid w:val="6B0156CF"/>
    <w:rsid w:val="6BB20B43"/>
    <w:rsid w:val="6C4258A4"/>
    <w:rsid w:val="6D3E0F56"/>
    <w:rsid w:val="6D5C2995"/>
    <w:rsid w:val="6D732BEC"/>
    <w:rsid w:val="6E2F0559"/>
    <w:rsid w:val="70200DD1"/>
    <w:rsid w:val="704B11CB"/>
    <w:rsid w:val="71C621E4"/>
    <w:rsid w:val="71DE7E1D"/>
    <w:rsid w:val="733376D4"/>
    <w:rsid w:val="74423071"/>
    <w:rsid w:val="74445E0C"/>
    <w:rsid w:val="77317F39"/>
    <w:rsid w:val="778A4B1C"/>
    <w:rsid w:val="78773231"/>
    <w:rsid w:val="794451E8"/>
    <w:rsid w:val="795D3D1D"/>
    <w:rsid w:val="7CBF6762"/>
    <w:rsid w:val="7CDE5175"/>
    <w:rsid w:val="7DAE0B7C"/>
    <w:rsid w:val="7E427D97"/>
    <w:rsid w:val="7E4F2F9E"/>
    <w:rsid w:val="7EF54B71"/>
    <w:rsid w:val="7FAC28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next w:val="1"/>
    <w:qFormat/>
    <w:uiPriority w:val="0"/>
    <w:pPr>
      <w:ind w:firstLine="640" w:firstLineChars="200"/>
    </w:pPr>
    <w:rPr>
      <w:rFonts w:ascii="Calibri" w:hAnsi="Calibri"/>
      <w:sz w:val="32"/>
    </w:rPr>
  </w:style>
  <w:style w:type="paragraph" w:styleId="4">
    <w:name w:val="annotation text"/>
    <w:basedOn w:val="1"/>
    <w:qFormat/>
    <w:uiPriority w:val="0"/>
    <w:pPr>
      <w:jc w:val="left"/>
    </w:pPr>
  </w:style>
  <w:style w:type="paragraph" w:styleId="5">
    <w:name w:val="Body Text"/>
    <w:basedOn w:val="1"/>
    <w:qFormat/>
    <w:uiPriority w:val="0"/>
    <w:pPr>
      <w:widowControl/>
      <w:spacing w:before="100" w:beforeAutospacing="1" w:after="100" w:afterAutospacing="1"/>
      <w:jc w:val="left"/>
    </w:pPr>
    <w:rPr>
      <w:rFonts w:ascii="宋体" w:hAnsi="宋体"/>
      <w:kern w:val="0"/>
      <w:sz w:val="24"/>
    </w:rPr>
  </w:style>
  <w:style w:type="paragraph" w:styleId="6">
    <w:name w:val="toc 3"/>
    <w:basedOn w:val="1"/>
    <w:next w:val="1"/>
    <w:qFormat/>
    <w:uiPriority w:val="0"/>
    <w:pPr>
      <w:ind w:left="840" w:leftChars="400"/>
    </w:pPr>
  </w:style>
  <w:style w:type="paragraph" w:styleId="7">
    <w:name w:val="Date"/>
    <w:basedOn w:val="1"/>
    <w:next w:val="1"/>
    <w:qFormat/>
    <w:uiPriority w:val="0"/>
    <w:pPr>
      <w:ind w:left="100" w:leftChars="2500"/>
    </w:pPr>
  </w:style>
  <w:style w:type="paragraph" w:styleId="8">
    <w:name w:val="Balloon Text"/>
    <w:basedOn w:val="1"/>
    <w:qFormat/>
    <w:uiPriority w:val="0"/>
    <w:rPr>
      <w:sz w:val="18"/>
      <w:szCs w:val="18"/>
    </w:rPr>
  </w:style>
  <w:style w:type="paragraph" w:styleId="9">
    <w:name w:val="footer"/>
    <w:basedOn w:val="1"/>
    <w:link w:val="21"/>
    <w:qFormat/>
    <w:uiPriority w:val="0"/>
    <w:pPr>
      <w:tabs>
        <w:tab w:val="center" w:pos="4153"/>
        <w:tab w:val="right" w:pos="8306"/>
      </w:tabs>
      <w:snapToGrid w:val="0"/>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after="150"/>
      <w:jc w:val="left"/>
    </w:pPr>
    <w:rPr>
      <w:rFonts w:ascii="Calibri" w:hAnsi="Calibri"/>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uiPriority w:val="0"/>
  </w:style>
  <w:style w:type="character" w:styleId="18">
    <w:name w:val="Hyperlink"/>
    <w:basedOn w:val="16"/>
    <w:qFormat/>
    <w:uiPriority w:val="0"/>
    <w:rPr>
      <w:color w:val="0000FF"/>
      <w:u w:val="single"/>
    </w:rPr>
  </w:style>
  <w:style w:type="paragraph" w:customStyle="1" w:styleId="19">
    <w:name w:val="Char1 Char Char Char"/>
    <w:basedOn w:val="1"/>
    <w:qFormat/>
    <w:uiPriority w:val="0"/>
  </w:style>
  <w:style w:type="character" w:customStyle="1" w:styleId="20">
    <w:name w:val="页眉 Char"/>
    <w:basedOn w:val="16"/>
    <w:link w:val="10"/>
    <w:qFormat/>
    <w:uiPriority w:val="0"/>
    <w:rPr>
      <w:kern w:val="2"/>
      <w:sz w:val="18"/>
      <w:szCs w:val="18"/>
    </w:rPr>
  </w:style>
  <w:style w:type="character" w:customStyle="1" w:styleId="21">
    <w:name w:val="页脚 Char"/>
    <w:basedOn w:val="16"/>
    <w:link w:val="9"/>
    <w:qFormat/>
    <w:uiPriority w:val="0"/>
    <w:rPr>
      <w:kern w:val="2"/>
      <w:sz w:val="18"/>
      <w:szCs w:val="18"/>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4">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5">
    <w:name w:val="font11"/>
    <w:basedOn w:val="16"/>
    <w:qFormat/>
    <w:uiPriority w:val="0"/>
    <w:rPr>
      <w:rFonts w:ascii="宋体" w:hAnsi="宋体" w:eastAsia="宋体" w:cs="宋体"/>
      <w:color w:val="000000"/>
      <w:sz w:val="22"/>
      <w:szCs w:val="22"/>
      <w:u w:val="none"/>
    </w:rPr>
  </w:style>
  <w:style w:type="character" w:customStyle="1" w:styleId="26">
    <w:name w:val="font61"/>
    <w:basedOn w:val="16"/>
    <w:qFormat/>
    <w:uiPriority w:val="0"/>
    <w:rPr>
      <w:rFonts w:hint="eastAsia" w:ascii="宋体" w:hAnsi="宋体" w:eastAsia="宋体" w:cs="宋体"/>
      <w:color w:val="000000"/>
      <w:sz w:val="22"/>
      <w:szCs w:val="22"/>
      <w:u w:val="none"/>
      <w:vertAlign w:val="superscript"/>
    </w:rPr>
  </w:style>
  <w:style w:type="table" w:customStyle="1" w:styleId="2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4E48C3-1C60-41CF-987A-BE3DD3B05CA7}">
  <ds:schemaRefs/>
</ds:datastoreItem>
</file>

<file path=docProps/app.xml><?xml version="1.0" encoding="utf-8"?>
<Properties xmlns="http://schemas.openxmlformats.org/officeDocument/2006/extended-properties" xmlns:vt="http://schemas.openxmlformats.org/officeDocument/2006/docPropsVTypes">
  <Template>Normal.dotm</Template>
  <Company>ajj</Company>
  <Pages>63</Pages>
  <Words>25264</Words>
  <Characters>28379</Characters>
  <Lines>245</Lines>
  <Paragraphs>68</Paragraphs>
  <TotalTime>33</TotalTime>
  <ScaleCrop>false</ScaleCrop>
  <LinksUpToDate>false</LinksUpToDate>
  <CharactersWithSpaces>28751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2021-11-26T10:57:00Z</dcterms:created>
  <dc:creator>wwd</dc:creator>
  <cp:lastModifiedBy>qzuser</cp:lastModifiedBy>
  <cp:lastPrinted>2022-06-25T08:03:00Z</cp:lastPrinted>
  <dcterms:modified xsi:type="dcterms:W3CDTF">2022-10-19T08:56:11Z</dcterms:modified>
  <dc:title>张家港市燃气管道安全保护联席会议组成名单</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202C10EB21BD48D2BE95910E6355CB8B</vt:lpwstr>
  </property>
  <property fmtid="{D5CDD505-2E9C-101B-9397-08002B2CF9AE}" pid="4" name="commondata">
    <vt:lpwstr>eyJoZGlkIjoiYzg1NTVkODMxYzU3ZTA2Y2IxNTdhNDZhNDlhY2FmYTIifQ==</vt:lpwstr>
  </property>
</Properties>
</file>