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舒城县杭埠镇人民政府2022年政府信息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8F8F8"/>
        <w:kinsoku/>
        <w:wordWrap/>
        <w:overflowPunct/>
        <w:topLinePunct w:val="0"/>
        <w:autoSpaceDE/>
        <w:autoSpaceDN/>
        <w:bidi w:val="0"/>
        <w:adjustRightInd/>
        <w:snapToGrid/>
        <w:spacing w:before="0" w:beforeAutospacing="0" w:after="0" w:afterAutospacing="0" w:line="660" w:lineRule="exact"/>
        <w:ind w:left="0" w:right="0" w:firstLine="0"/>
        <w:jc w:val="center"/>
        <w:textAlignment w:val="auto"/>
        <w:rPr>
          <w:rFonts w:hint="eastAsia" w:ascii="方正小标宋简体" w:hAnsi="方正小标宋简体" w:eastAsia="方正小标宋简体" w:cs="方正小标宋简体"/>
          <w:b w:val="0"/>
          <w:bCs w:val="0"/>
          <w:kern w:val="2"/>
          <w:sz w:val="44"/>
          <w:szCs w:val="44"/>
          <w:lang w:val="en-US" w:eastAsia="zh-CN" w:bidi="ar-SA"/>
        </w:rPr>
      </w:pPr>
      <w:r>
        <w:rPr>
          <w:rFonts w:hint="eastAsia" w:ascii="方正小标宋简体" w:hAnsi="方正小标宋简体" w:eastAsia="方正小标宋简体" w:cs="方正小标宋简体"/>
          <w:b w:val="0"/>
          <w:bCs w:val="0"/>
          <w:kern w:val="2"/>
          <w:sz w:val="44"/>
          <w:szCs w:val="44"/>
          <w:lang w:val="en-US" w:eastAsia="zh-CN" w:bidi="ar-SA"/>
        </w:rPr>
        <w:t>公开工作年度报告</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b w:val="0"/>
          <w:bCs w:val="0"/>
          <w:kern w:val="2"/>
          <w:sz w:val="32"/>
          <w:szCs w:val="32"/>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kern w:val="2"/>
          <w:sz w:val="32"/>
          <w:szCs w:val="32"/>
          <w:lang w:val="en-US" w:eastAsia="zh-CN" w:bidi="ar-SA"/>
        </w:rPr>
        <w:t>根据</w:t>
      </w:r>
      <w:r>
        <w:rPr>
          <w:rFonts w:hint="eastAsia" w:ascii="仿宋_GB2312" w:hAnsi="仿宋_GB2312" w:eastAsia="仿宋_GB2312" w:cs="仿宋_GB2312"/>
          <w:sz w:val="32"/>
          <w:szCs w:val="32"/>
          <w:lang w:val="en-US" w:eastAsia="zh-CN"/>
        </w:rPr>
        <w:t>《中华人民共和国政府信息公开条例》的规定，现公布杭埠镇人民政府2022年政府信息公开工作年度报告，本报告由舒城县杭埠镇人民政府编制。全文包括：2022年度总体情况，行政机关主动公开政府信息情况，收到和处理政府信息公开申请情况，政府信息公开行政复议行政诉讼情况，政府信息公开工作存在的主要问题及改进情况 ，其他需要报告的事项等6项内容。本年度报告中使用数据统计期限为2022年1月1日至12月31日。本年度报告电子版可在舒城县政府网信息公开栏目下载。如对本报告有任何疑问，请与舒城县杭埠镇人民政府党政与社会事务办公室联系（地址：舒城县杭埠镇街道，电话：0564-8035005，邮编：231323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2022年，我镇认真贯彻落实《中华人民共和国政府信息公开条例》和上级有关文件精神，在县委、县政府的正确领导下，按照各级政务公开办公室的要求和部署以及相关规范信息公开工作的通知要求，紧紧围绕工作实际加强我镇政府信息管理，不断增强信息公开意识和责任意识，完善有关工作机制，坚持积极有序的做好全镇政府信息公开工作。</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yellow"/>
          <w:lang w:val="en-US" w:eastAsia="zh-CN"/>
        </w:rPr>
      </w:pPr>
      <w:r>
        <w:rPr>
          <w:rFonts w:hint="eastAsia" w:ascii="仿宋_GB2312" w:hAnsi="仿宋_GB2312" w:eastAsia="仿宋_GB2312" w:cs="仿宋_GB2312"/>
          <w:sz w:val="32"/>
          <w:szCs w:val="32"/>
          <w:lang w:val="en-US" w:eastAsia="zh-CN"/>
        </w:rPr>
        <w:t>（一）主动公开。2022年杭埠镇积极推进政务信息公开标准化、规范化有序运行，通过舒城县人民政府网政府信息公开平台，共发布政务动态信息1962条，其中依法主动公开信息777条，基层政务公开标准化、规范化专题信息523条，规划类信息41条，重大项目建设信息49条，惠民资金政策和补贴发放类信息557条，意见征集结转上年度累计8条，采纳7条，政策性解读信息7条，及时更新、发布、回应群众关心关注的疫情防控等热点信息和急需解决的难点问题，持续推进政府信息有序公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依申请公开。2022年杭埠镇接到群众依申请公开信息1条，根据群众申请事项和县政府信息公开办的的办件指导，我镇在规定时间内进行了登记、审核、办理、答复，及时让群众获取了相关信息，有效增强了群众获得感和工作满意度。</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政府信息管理。修改完善并印发《杭埠镇人民政府关于印发杭埠镇政府信息与政务公开工作制度的通知》，进一步完善政府信息公开工作制度，规范政府信息公开各环节。严格落实信息管理三审制，注重保护个人隐私，确保公开信息规范有效。</w:t>
      </w:r>
    </w:p>
    <w:p>
      <w:pPr>
        <w:pStyle w:val="3"/>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政府信息公开平台建设。标准化、规范化建设镇便民服务大厅政务公开专区，完善政府信息查询、依申请公开受理、办事服务咨询、政策咨询综合服务窗口，制定相关工作机制。及时更新政府网站栏目下设的内容，为群众提供更便捷的服务。</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监督保障。严格落实政务公开监督保障工作机制，认真整改上级监督检查反馈问题。做好政府网站常态化监测、巡查工作，安排专人动态跟踪政府网站运行情况，及时对县级反馈问题和监测出的错误信息进行处置，全年无失密泄密事件发生，未受到责任追究情况</w:t>
      </w:r>
      <w:bookmarkStart w:id="0" w:name="_GoBack"/>
      <w:bookmarkEnd w:id="0"/>
      <w:r>
        <w:rPr>
          <w:rFonts w:hint="eastAsia" w:ascii="仿宋_GB2312" w:hAnsi="仿宋_GB2312" w:eastAsia="仿宋_GB2312" w:cs="仿宋_GB2312"/>
          <w:sz w:val="32"/>
          <w:szCs w:val="32"/>
          <w:lang w:val="en-US" w:eastAsia="zh-CN"/>
        </w:rPr>
        <w:t>。定期开展政务公开情况回头看，促进信息公开工作常态化、规范化。完善政务公开方式方法，科学合理运用好考核指挥棒，提高考核评价针对性、导向性和激励作用。建立监督评议制度，自觉接受社会各界监督，主动听取群众意见和建议，不断提高工作质量，提升办事效率。</w:t>
      </w:r>
    </w:p>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二、主动公开政府信息情况</w:t>
      </w:r>
    </w:p>
    <w:tbl>
      <w:tblPr>
        <w:tblStyle w:val="7"/>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14</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11</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jc w:val="center"/>
              <w:rPr>
                <w:rFonts w:hint="eastAsia" w:ascii="宋体" w:eastAsiaTheme="minorEastAsia"/>
                <w:sz w:val="24"/>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三、收到和处理政府信息公开申请情况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65"/>
        <w:gridCol w:w="941"/>
        <w:gridCol w:w="3199"/>
        <w:gridCol w:w="685"/>
        <w:gridCol w:w="693"/>
        <w:gridCol w:w="693"/>
        <w:gridCol w:w="693"/>
        <w:gridCol w:w="693"/>
        <w:gridCol w:w="693"/>
        <w:gridCol w:w="6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widowControl/>
              <w:wordWrap w:val="0"/>
              <w:jc w:val="left"/>
            </w:pPr>
            <w:r>
              <w:rPr>
                <w:rFonts w:ascii="宋体" w:hAnsi="宋体" w:eastAsia="宋体" w:cs="宋体"/>
                <w:kern w:val="0"/>
                <w:sz w:val="20"/>
                <w:szCs w:val="20"/>
              </w:rPr>
              <w:t>（本列数据的勾稽关系为：第一项加第二项之和，等于第三项加第四项之和）</w:t>
            </w:r>
          </w:p>
        </w:tc>
        <w:tc>
          <w:tcPr>
            <w:tcW w:w="4998"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ascii="宋体" w:hAnsi="宋体" w:eastAsia="宋体" w:cs="宋体"/>
                <w:kern w:val="0"/>
                <w:sz w:val="20"/>
                <w:szCs w:val="20"/>
              </w:rPr>
              <w:t>自然人</w:t>
            </w:r>
          </w:p>
        </w:tc>
        <w:tc>
          <w:tcPr>
            <w:tcW w:w="35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法人或其他组织</w:t>
            </w:r>
          </w:p>
        </w:tc>
        <w:tc>
          <w:tcPr>
            <w:tcW w:w="714"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widowControl/>
              <w:wordWrap w:val="0"/>
              <w:jc w:val="center"/>
              <w:rPr>
                <w:color w:val="auto"/>
              </w:rPr>
            </w:pPr>
            <w:r>
              <w:rPr>
                <w:rFonts w:hint="eastAsia" w:ascii="宋体" w:hAnsi="宋体" w:eastAsia="宋体" w:cs="宋体"/>
                <w:color w:val="auto"/>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rPr>
                <w:rFonts w:ascii="宋体"/>
                <w:sz w:val="24"/>
              </w:rPr>
            </w:pPr>
          </w:p>
        </w:tc>
        <w:tc>
          <w:tcPr>
            <w:tcW w:w="714"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rPr>
                <w:rFonts w:ascii="宋体"/>
                <w:sz w:val="24"/>
              </w:rPr>
            </w:pP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商业</w:t>
            </w:r>
          </w:p>
          <w:p>
            <w:pPr>
              <w:widowControl/>
              <w:wordWrap w:val="0"/>
              <w:jc w:val="center"/>
            </w:pPr>
            <w:r>
              <w:rPr>
                <w:rFonts w:hint="eastAsia" w:ascii="宋体" w:hAnsi="宋体" w:eastAsia="宋体" w:cs="宋体"/>
                <w:kern w:val="0"/>
                <w:sz w:val="20"/>
                <w:szCs w:val="20"/>
              </w:rPr>
              <w:t>企业</w:t>
            </w:r>
          </w:p>
        </w:tc>
        <w:tc>
          <w:tcPr>
            <w:tcW w:w="714"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科研</w:t>
            </w:r>
          </w:p>
          <w:p>
            <w:pPr>
              <w:widowControl/>
              <w:wordWrap w:val="0"/>
              <w:jc w:val="center"/>
            </w:pPr>
            <w:r>
              <w:rPr>
                <w:rFonts w:hint="eastAsia" w:ascii="宋体" w:hAnsi="宋体" w:eastAsia="宋体" w:cs="宋体"/>
                <w:kern w:val="0"/>
                <w:sz w:val="20"/>
                <w:szCs w:val="20"/>
              </w:rPr>
              <w:t>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社会公益组织</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法律服务机构</w:t>
            </w:r>
          </w:p>
        </w:tc>
        <w:tc>
          <w:tcPr>
            <w:tcW w:w="714"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w:t>
            </w:r>
          </w:p>
        </w:tc>
        <w:tc>
          <w:tcPr>
            <w:tcW w:w="714"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rPr>
                <w:rFonts w:ascii="宋体"/>
                <w:color w:val="auto"/>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一、本年新收政府信息公开申请数量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color w:val="auto"/>
                <w:lang w:val="en-US" w:eastAsia="zh-CN"/>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二、上年结转政府信息公开申请数量</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三、本年度办理结果</w:t>
            </w: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（一）予以公开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color w:val="auto"/>
                <w:lang w:val="en-US" w:eastAsia="zh-CN"/>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p>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（三）不予公开</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1.属于国家秘密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single" w:color="auto" w:sz="8" w:space="0"/>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2.其他法律行政法规禁止公开</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83"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3.危及“三安全一稳定”</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4.保护第三方合法权益</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5.属于三类内部事务信息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6.属于四类过程性信息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7.属于行政执法案卷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8.属于行政查询事项</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（四）无法提供</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1.本机关不掌握相关政府信息</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2.没有现成信息需要另行制作</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3.补正后申请内容仍不明确</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（五）不予处理</w:t>
            </w: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1.信访举报投诉类申请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2.重复申请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3.要求提供公开出版物</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left"/>
            </w:pPr>
            <w:r>
              <w:rPr>
                <w:rFonts w:hint="eastAsia" w:ascii="宋体" w:hAnsi="宋体" w:eastAsia="宋体" w:cs="宋体"/>
                <w:kern w:val="0"/>
                <w:sz w:val="20"/>
                <w:szCs w:val="20"/>
              </w:rPr>
              <w:t>4.无正当理由大量反复申请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5.要求行政机关确认或重新出具已获取信息</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outset"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p>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（六）其他处理</w:t>
            </w: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1.申请人无正当理由逾期不补正、行政机关不再处理其政府信息公开申请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p>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pPr>
            <w:r>
              <w:rPr>
                <w:rFonts w:hint="eastAsia" w:ascii="宋体" w:hAnsi="宋体" w:eastAsia="宋体" w:cs="宋体"/>
                <w:kern w:val="0"/>
                <w:sz w:val="20"/>
                <w:szCs w:val="20"/>
              </w:rPr>
              <w:t>2.申请人逾期未按收费通知要求缴纳费用、行政机关不再处理其政府信息公开申请</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hint="eastAsia"/>
                <w:color w:val="auto"/>
                <w:lang w:val="en-US" w:eastAsia="zh-CN"/>
              </w:rPr>
            </w:pPr>
          </w:p>
          <w:p>
            <w:pPr>
              <w:widowControl/>
              <w:wordWrap w:val="0"/>
              <w:jc w:val="center"/>
              <w:rPr>
                <w:rFonts w:hint="eastAsia"/>
                <w:color w:val="auto"/>
                <w:lang w:val="en-US" w:eastAsia="zh-CN"/>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959"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3406"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3.其他</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color w:val="auto"/>
              </w:rPr>
            </w:pPr>
            <w:r>
              <w:rPr>
                <w:rFonts w:hint="eastAsia"/>
                <w:color w:val="auto"/>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85"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rPr>
                <w:rFonts w:ascii="宋体"/>
                <w:sz w:val="24"/>
              </w:rPr>
            </w:pPr>
          </w:p>
        </w:tc>
        <w:tc>
          <w:tcPr>
            <w:tcW w:w="4365"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（七）总计</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default" w:eastAsiaTheme="minorEastAsia"/>
                <w:lang w:val="en-US" w:eastAsia="zh-CN"/>
              </w:rPr>
            </w:pPr>
            <w:r>
              <w:rPr>
                <w:rFonts w:hint="eastAsia"/>
                <w:lang w:val="en-US" w:eastAsia="zh-CN"/>
              </w:rPr>
              <w:t>1</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tcPr>
          <w:p>
            <w:pPr>
              <w:widowControl/>
              <w:wordWrap w:val="0"/>
              <w:jc w:val="center"/>
              <w:rPr>
                <w:rFonts w:hint="eastAsia" w:eastAsiaTheme="minorEastAsia"/>
                <w:color w:val="auto"/>
                <w:lang w:val="en-US" w:eastAsia="zh-CN"/>
              </w:rPr>
            </w:pPr>
            <w:r>
              <w:rPr>
                <w:rFonts w:hint="eastAsia"/>
                <w:color w:val="auto"/>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150"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widowControl/>
              <w:wordWrap w:val="0"/>
              <w:jc w:val="left"/>
            </w:pPr>
            <w:r>
              <w:rPr>
                <w:rFonts w:hint="eastAsia" w:ascii="宋体" w:hAnsi="宋体" w:eastAsia="宋体" w:cs="宋体"/>
                <w:kern w:val="0"/>
                <w:sz w:val="20"/>
                <w:szCs w:val="20"/>
              </w:rPr>
              <w:t>四、结转下年度继续办理</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center"/>
          </w:tcPr>
          <w:p>
            <w:pPr>
              <w:widowControl/>
              <w:wordWrap w:val="0"/>
              <w:jc w:val="center"/>
            </w:pPr>
            <w:r>
              <w:rPr>
                <w:rFonts w:hint="eastAsia"/>
                <w:lang w:val="en-US" w:eastAsia="zh-CN"/>
              </w:rPr>
              <w:t>0</w:t>
            </w:r>
          </w:p>
        </w:tc>
        <w:tc>
          <w:tcPr>
            <w:tcW w:w="714" w:type="dxa"/>
            <w:tcBorders>
              <w:top w:val="nil"/>
              <w:left w:val="nil"/>
              <w:bottom w:val="single" w:color="auto" w:sz="8" w:space="0"/>
              <w:right w:val="single" w:color="auto" w:sz="8" w:space="0"/>
            </w:tcBorders>
            <w:shd w:val="clear" w:color="auto" w:fill="auto"/>
            <w:tcMar>
              <w:left w:w="57" w:type="dxa"/>
              <w:right w:w="57" w:type="dxa"/>
            </w:tcMar>
            <w:vAlign w:val="top"/>
          </w:tcPr>
          <w:p>
            <w:pPr>
              <w:widowControl/>
              <w:wordWrap w:val="0"/>
              <w:jc w:val="center"/>
              <w:rPr>
                <w:rFonts w:ascii="宋体"/>
                <w:color w:val="auto"/>
                <w:sz w:val="24"/>
              </w:rPr>
            </w:pPr>
            <w:r>
              <w:rPr>
                <w:rFonts w:hint="eastAsia"/>
                <w:color w:val="auto"/>
                <w:lang w:val="en-US" w:eastAsia="zh-CN"/>
              </w:rPr>
              <w:t>0</w:t>
            </w:r>
          </w:p>
        </w:tc>
      </w:tr>
    </w:tbl>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四、政府信息公开行政复议、行政诉讼情况</w:t>
      </w:r>
    </w:p>
    <w:tbl>
      <w:tblPr>
        <w:tblStyle w:val="7"/>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10"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行政复议</w:t>
            </w:r>
          </w:p>
        </w:tc>
        <w:tc>
          <w:tcPr>
            <w:tcW w:w="6428" w:type="dxa"/>
            <w:gridSpan w:val="10"/>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2" w:type="dxa"/>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总计</w:t>
            </w:r>
          </w:p>
        </w:tc>
        <w:tc>
          <w:tcPr>
            <w:tcW w:w="3213"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未经复议直接起诉</w:t>
            </w:r>
          </w:p>
        </w:tc>
        <w:tc>
          <w:tcPr>
            <w:tcW w:w="3215"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rPr>
                <w:rFonts w:ascii="宋体"/>
                <w:sz w:val="24"/>
              </w:rPr>
            </w:pP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结果维持</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结果纠正</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其他结果</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kern w:val="0"/>
                <w:sz w:val="20"/>
                <w:szCs w:val="20"/>
              </w:rPr>
              <w:t>尚未审结</w:t>
            </w:r>
          </w:p>
        </w:tc>
        <w:tc>
          <w:tcPr>
            <w:tcW w:w="643" w:type="dxa"/>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pPr>
            <w:r>
              <w:rPr>
                <w:rFonts w:hint="eastAsia" w:ascii="宋体" w:hAnsi="宋体" w:eastAsia="宋体" w:cs="宋体"/>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2"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eastAsiaTheme="minor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lang w:val="en-US" w:eastAsia="zh-CN"/>
              </w:rPr>
            </w:pPr>
            <w:r>
              <w:rPr>
                <w:rFonts w:hint="eastAsia"/>
                <w:lang w:val="en-US" w:eastAsia="zh-CN"/>
              </w:rPr>
              <w:t>0</w:t>
            </w:r>
          </w:p>
        </w:tc>
        <w:tc>
          <w:tcPr>
            <w:tcW w:w="643"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wordWrap w:val="0"/>
              <w:jc w:val="center"/>
              <w:rPr>
                <w:rFonts w:hint="eastAsia"/>
                <w:lang w:val="en-US" w:eastAsia="zh-CN"/>
              </w:rPr>
            </w:pPr>
            <w:r>
              <w:rPr>
                <w:rFonts w:hint="eastAsia"/>
                <w:lang w:val="en-US" w:eastAsia="zh-CN"/>
              </w:rPr>
              <w:t>0</w:t>
            </w:r>
          </w:p>
        </w:tc>
      </w:tr>
    </w:tbl>
    <w:p>
      <w:pPr>
        <w:keepNext w:val="0"/>
        <w:keepLines w:val="0"/>
        <w:pageBreakBefore w:val="0"/>
        <w:widowControl w:val="0"/>
        <w:kinsoku/>
        <w:wordWrap/>
        <w:overflowPunct/>
        <w:topLinePunct w:val="0"/>
        <w:autoSpaceDE/>
        <w:autoSpaceDN/>
        <w:bidi w:val="0"/>
        <w:adjustRightInd/>
        <w:snapToGrid/>
        <w:spacing w:line="70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存在问题。一是责任落实不到位。各站所的信息衔接不够充分，主动性不高，使得有些栏目信息不能够及时更新。二是政务公开工作氛围不足。我镇政务公开的宣传力度还不够强，主动信息公开的力度、深度和广度还需加强。</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改进措施。一是压紧压实工作责任，进一步增强工作人员的信息公开意识，规范公开程序，提高信息公开工作水平，提升政府信息公开质量。二是加大宣传力度。通过扩大政府信息公开知晓面，多渠道、多形式，向社会和广大群众 深入宣传政府信息公开工作，努力在我镇形成群众积极关心政府信息公开的社会氛围。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按照《国务院办公厅关于印发&lt;政府信息公开信息处理费管理办法&gt;的通知》（国办函〔2020〕109号）规定的按件、按量收费标准，本年度没有产生信息公开处理费。</w:t>
      </w:r>
    </w:p>
    <w:p>
      <w:pPr>
        <w:rPr>
          <w:rFonts w:hint="eastAsia" w:ascii="仿宋_GB2312" w:hAnsi="仿宋_GB2312" w:eastAsia="仿宋_GB2312" w:cs="仿宋_GB2312"/>
          <w:kern w:val="2"/>
          <w:sz w:val="32"/>
          <w:szCs w:val="32"/>
          <w:lang w:val="en-US" w:eastAsia="zh-CN" w:bidi="ar-SA"/>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I5MGI5MDk4ZDMzNTI1ZmRiYmEzNTQ4MGY0MWUyZDYifQ=="/>
  </w:docVars>
  <w:rsids>
    <w:rsidRoot w:val="009A54A0"/>
    <w:rsid w:val="009A54A0"/>
    <w:rsid w:val="00B85D85"/>
    <w:rsid w:val="03AD4A20"/>
    <w:rsid w:val="1A6B6A94"/>
    <w:rsid w:val="1F533349"/>
    <w:rsid w:val="1FF90166"/>
    <w:rsid w:val="219E7091"/>
    <w:rsid w:val="304A5FE1"/>
    <w:rsid w:val="3C19194C"/>
    <w:rsid w:val="562754B0"/>
    <w:rsid w:val="56FE0239"/>
    <w:rsid w:val="71B06052"/>
    <w:rsid w:val="7DA16F81"/>
    <w:rsid w:val="BD8F7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pPr>
      <w:jc w:val="left"/>
    </w:pPr>
  </w:style>
  <w:style w:type="paragraph" w:styleId="4">
    <w:name w:val="footer"/>
    <w:basedOn w:val="1"/>
    <w:link w:val="10"/>
    <w:semiHidden/>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customStyle="1" w:styleId="9">
    <w:name w:val="页眉 Char"/>
    <w:basedOn w:val="8"/>
    <w:link w:val="5"/>
    <w:semiHidden/>
    <w:qFormat/>
    <w:uiPriority w:val="99"/>
    <w:rPr>
      <w:sz w:val="18"/>
      <w:szCs w:val="18"/>
    </w:rPr>
  </w:style>
  <w:style w:type="character" w:customStyle="1" w:styleId="10">
    <w:name w:val="页脚 Char"/>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5</Pages>
  <Words>2458</Words>
  <Characters>2534</Characters>
  <Lines>8</Lines>
  <Paragraphs>2</Paragraphs>
  <TotalTime>11</TotalTime>
  <ScaleCrop>false</ScaleCrop>
  <LinksUpToDate>false</LinksUpToDate>
  <CharactersWithSpaces>2536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2022-01-04T10:36:00Z</dcterms:created>
  <dc:creator>gyb1</dc:creator>
  <cp:lastModifiedBy>Lenovo</cp:lastModifiedBy>
  <dcterms:modified xsi:type="dcterms:W3CDTF">2023-01-31T07:06:26Z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7963887741DD4F069BCAF1B03859E9DD</vt:lpwstr>
  </property>
</Properties>
</file>