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舒城县2023年度国有建设用地供应计划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_GB2312" w:cs="仿宋_GB2312"/>
        </w:rPr>
        <w:t>为切实加强国有建设用地供应管理，合理配置土地资源，进一步规范和科学调控土地市场，积极发挥计划的引导作用，依据国土资源部《</w:t>
      </w:r>
      <w:r>
        <w:rPr>
          <w:rFonts w:hint="eastAsia" w:ascii="仿宋_GB2312" w:hAnsi="仿宋_GB2312" w:cs="仿宋_GB2312"/>
          <w:bCs/>
          <w:color w:val="333333"/>
          <w:shd w:val="clear" w:color="auto" w:fill="FFFFFF"/>
        </w:rPr>
        <w:t>关于印发国有建设用地供应计划编制规范（试行）</w:t>
      </w:r>
      <w:r>
        <w:rPr>
          <w:rFonts w:hint="eastAsia" w:ascii="仿宋_GB2312" w:hAnsi="仿宋_GB2312" w:cs="仿宋_GB2312"/>
        </w:rPr>
        <w:t>》</w:t>
      </w:r>
      <w:r>
        <w:rPr>
          <w:rFonts w:hint="eastAsia" w:ascii="仿宋_GB2312" w:hAnsi="仿宋"/>
        </w:rPr>
        <w:t>（国土资发〔2010〕117号），结合《舒城县土地利用总体规划》和土地利用年度计划，参考近年度国有建设用地供应情况和本年度用地需求，制定本计划。</w:t>
      </w:r>
    </w:p>
    <w:p>
      <w:pPr>
        <w:spacing w:line="560" w:lineRule="exact"/>
        <w:ind w:firstLine="632" w:firstLineChars="200"/>
        <w:rPr>
          <w:rFonts w:ascii="仿宋_GB2312" w:hAnsi="仿宋"/>
          <w:b/>
        </w:rPr>
      </w:pPr>
      <w:r>
        <w:rPr>
          <w:rFonts w:hint="eastAsia" w:ascii="仿宋_GB2312" w:hAnsi="仿宋"/>
          <w:b/>
        </w:rPr>
        <w:t>一、指导思想和基本原则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 w:cs="宋体"/>
        </w:rPr>
        <w:t>按照习近平新时代中国特色社会主义</w:t>
      </w:r>
      <w:r>
        <w:rPr>
          <w:rFonts w:hint="eastAsia" w:ascii="仿宋_GB2312" w:hAnsi="仿宋" w:cs="宋体"/>
          <w:lang w:eastAsia="zh-CN"/>
        </w:rPr>
        <w:t>思想</w:t>
      </w:r>
      <w:bookmarkStart w:id="0" w:name="_GoBack"/>
      <w:bookmarkEnd w:id="0"/>
      <w:r>
        <w:rPr>
          <w:rFonts w:hint="eastAsia" w:ascii="仿宋_GB2312" w:hAnsi="仿宋" w:cs="宋体"/>
        </w:rPr>
        <w:t>要求</w:t>
      </w:r>
      <w:r>
        <w:rPr>
          <w:rFonts w:hint="eastAsia" w:ascii="仿宋_GB2312" w:hAnsi="仿宋"/>
        </w:rPr>
        <w:t>，严格执行国家土地供应和房地产用地调控政策规定，坚持总量适中、</w:t>
      </w:r>
      <w:r>
        <w:rPr>
          <w:rFonts w:hint="eastAsia" w:ascii="仿宋_GB2312" w:hAnsi="仿宋" w:cs="宋体"/>
        </w:rPr>
        <w:t>时空</w:t>
      </w:r>
      <w:r>
        <w:rPr>
          <w:rFonts w:hint="eastAsia" w:ascii="仿宋_GB2312" w:hAnsi="仿宋"/>
        </w:rPr>
        <w:t>布局合理、统筹兼顾、重点保障的原则，合理调配各类用地供应指标，</w:t>
      </w:r>
      <w:r>
        <w:rPr>
          <w:rFonts w:hint="eastAsia" w:ascii="仿宋_GB2312" w:hAnsi="仿宋" w:cs="宋体"/>
        </w:rPr>
        <w:t>坚持</w:t>
      </w:r>
      <w:r>
        <w:rPr>
          <w:rFonts w:hint="eastAsia" w:ascii="仿宋_GB2312" w:hAnsi="仿宋"/>
        </w:rPr>
        <w:t>指导性与指令性相结合，全力保障年度建设项目用地需求，坚持节约集约用地，促进我县经济</w:t>
      </w:r>
      <w:r>
        <w:rPr>
          <w:rFonts w:hint="eastAsia" w:ascii="仿宋_GB2312" w:hAnsi="仿宋" w:cs="宋体"/>
        </w:rPr>
        <w:t>社会</w:t>
      </w:r>
      <w:r>
        <w:rPr>
          <w:rFonts w:hint="eastAsia" w:ascii="仿宋_GB2312" w:hAnsi="仿宋"/>
        </w:rPr>
        <w:t>健康快速发展。</w:t>
      </w:r>
    </w:p>
    <w:p>
      <w:pPr>
        <w:spacing w:line="560" w:lineRule="exact"/>
        <w:ind w:firstLine="632" w:firstLineChars="200"/>
        <w:rPr>
          <w:rFonts w:ascii="仿宋_GB2312" w:hAnsi="仿宋"/>
          <w:b/>
        </w:rPr>
      </w:pPr>
      <w:r>
        <w:rPr>
          <w:rFonts w:hint="eastAsia" w:ascii="仿宋_GB2312" w:hAnsi="仿宋"/>
          <w:b/>
        </w:rPr>
        <w:t>二、计划指标及配置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（一）2023度我县国有建设用地供应总量控制在400公顷。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二）在2023度供应总量中，商服用地10公顷；工矿仓储用地120公顷；住宅用地55公顷（其中公租房用地2公顷、安置房用地18公顷、中小套型普通商品房用地35公顷）；公共管理与公共服务用地65公顷；交通运输用地130公顷；农村集体建设用地20公顷。</w:t>
      </w:r>
    </w:p>
    <w:p>
      <w:pPr>
        <w:spacing w:line="560" w:lineRule="exact"/>
        <w:ind w:firstLine="632" w:firstLineChars="200"/>
        <w:rPr>
          <w:rFonts w:ascii="仿宋_GB2312" w:hAnsi="仿宋"/>
          <w:b/>
        </w:rPr>
      </w:pPr>
      <w:r>
        <w:rPr>
          <w:rFonts w:hint="eastAsia" w:ascii="仿宋_GB2312" w:hAnsi="仿宋"/>
          <w:b/>
        </w:rPr>
        <w:t>三、政策导向与执行标准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（一）坚持计划控制引导，统一有序、规范供应。本年度各类建设项目用地供应，按照《舒城县2023度国有建设用地供应计划表》（见附件）确定的控制指标实施。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（二）认真落实国家房地产用地调控政策，重点保障城市住宅用地供应，</w:t>
      </w:r>
      <w:r>
        <w:rPr>
          <w:rFonts w:hint="eastAsia" w:ascii="仿宋_GB2312" w:hAnsi="仿宋" w:cs="宋体"/>
        </w:rPr>
        <w:t>确保</w:t>
      </w:r>
      <w:r>
        <w:rPr>
          <w:rFonts w:hint="eastAsia" w:ascii="仿宋_GB2312" w:hAnsi="仿宋"/>
        </w:rPr>
        <w:t>保障性住房、中小套型普通商品住房等“三类用地”达到住房用地供应总量70%的标准。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（三）突出经济发展支撑</w:t>
      </w:r>
      <w:r>
        <w:rPr>
          <w:rFonts w:hint="eastAsia" w:ascii="仿宋_GB2312" w:hAnsi="仿宋" w:cs="宋体"/>
        </w:rPr>
        <w:t>重点</w:t>
      </w:r>
      <w:r>
        <w:rPr>
          <w:rFonts w:hint="eastAsia" w:ascii="仿宋_GB2312" w:hAnsi="仿宋"/>
        </w:rPr>
        <w:t>项目用地服务，充分保障招商引资、国家、省</w:t>
      </w:r>
      <w:r>
        <w:rPr>
          <w:rFonts w:hint="eastAsia" w:ascii="仿宋_GB2312" w:hAnsi="仿宋" w:cs="宋体"/>
        </w:rPr>
        <w:t>市</w:t>
      </w:r>
      <w:r>
        <w:rPr>
          <w:rFonts w:hint="eastAsia" w:ascii="仿宋_GB2312" w:hAnsi="仿宋"/>
        </w:rPr>
        <w:t>及县重点工程项目和优势产业用地需求，优先安排工矿仓储用地、公共管理与公共服务用地、交通运输用地。乡镇建设项目用地计划指标按照实际需要机动安排。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（四）严格执行土地供应程序。对工业用地和商业、旅游、娱乐、商品住宅等经营性用地，以及同一宗土地有两个以上意向用地者的，必须以招标、拍卖或挂牌方式有偿供地，统一在</w:t>
      </w:r>
      <w:r>
        <w:rPr>
          <w:rFonts w:hint="eastAsia" w:ascii="仿宋_GB2312" w:hAnsi="仿宋" w:cs="宋体"/>
        </w:rPr>
        <w:t>公共资源交易</w:t>
      </w:r>
      <w:r>
        <w:rPr>
          <w:rFonts w:hint="eastAsia" w:ascii="仿宋_GB2312" w:hAnsi="仿宋"/>
        </w:rPr>
        <w:t>土地市场公开出让且不得低于国家规定的最低价格标准。扩大有偿使用范围，积极推进经营性基础设施用地和各类社会事业用地有偿使用。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（五）坚持节约集约用地政策，建设项目用地鼓励利用存量，严格控制增量。工业用地项目严格执行国土资源部《关于工业项目建设用地控制指标》，提倡和推广多层厂房，</w:t>
      </w:r>
      <w:r>
        <w:rPr>
          <w:rFonts w:hint="eastAsia" w:ascii="仿宋_GB2312" w:hAnsi="仿宋" w:cs="宋体"/>
        </w:rPr>
        <w:t>推行</w:t>
      </w:r>
      <w:r>
        <w:rPr>
          <w:rFonts w:hint="eastAsia" w:ascii="仿宋_GB2312" w:hAnsi="仿宋"/>
        </w:rPr>
        <w:t>标准化厂房建设。</w:t>
      </w:r>
    </w:p>
    <w:p>
      <w:pPr>
        <w:spacing w:line="560" w:lineRule="exact"/>
        <w:ind w:firstLine="632" w:firstLineChars="200"/>
        <w:rPr>
          <w:rFonts w:ascii="仿宋_GB2312" w:hAnsi="仿宋"/>
          <w:b/>
        </w:rPr>
      </w:pPr>
      <w:r>
        <w:rPr>
          <w:rFonts w:hint="eastAsia" w:ascii="仿宋_GB2312" w:hAnsi="仿宋"/>
          <w:b/>
        </w:rPr>
        <w:t>四、计划实施保障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一）加强协调配合，保证计划指标有效落实。县国土资源、发展和改革、住建、环境保护、交通运输等相关部门要密切配合，共同组织做好建设项目用地各项前期准备工作，各乡镇人民政府（开发区管委）也要充分发挥优势，积极配合做好计划实施工作。</w:t>
      </w:r>
    </w:p>
    <w:p>
      <w:pPr>
        <w:spacing w:line="560" w:lineRule="exact"/>
        <w:ind w:firstLine="632" w:firstLineChars="200"/>
        <w:rPr>
          <w:rFonts w:ascii="仿宋_GB2312" w:hAnsi="仿宋"/>
        </w:rPr>
      </w:pPr>
      <w:r>
        <w:rPr>
          <w:rFonts w:hint="eastAsia" w:ascii="仿宋_GB2312" w:hAnsi="仿宋"/>
        </w:rPr>
        <w:t>（二）强化保障措施，确保土地供应的效率和质量。在计划实施过程中，要把握全局，突出重点，强化服务，保障供应，对年度重点项目用地、政策性住房用地采取提前</w:t>
      </w:r>
      <w:r>
        <w:rPr>
          <w:rFonts w:hint="eastAsia" w:ascii="仿宋_GB2312" w:hAnsi="仿宋" w:cs="宋体"/>
        </w:rPr>
        <w:t>谋划</w:t>
      </w:r>
      <w:r>
        <w:rPr>
          <w:rFonts w:hint="eastAsia" w:ascii="仿宋_GB2312" w:hAnsi="仿宋"/>
        </w:rPr>
        <w:t>，跟踪服务，全程保障，切实满足项目建设用地需求。</w:t>
      </w:r>
    </w:p>
    <w:p>
      <w:pPr>
        <w:spacing w:line="560" w:lineRule="exact"/>
        <w:rPr>
          <w:rFonts w:ascii="仿宋" w:hAnsi="仿宋" w:eastAsia="仿宋"/>
        </w:rPr>
      </w:pPr>
    </w:p>
    <w:p>
      <w:pPr>
        <w:spacing w:line="560" w:lineRule="exact"/>
        <w:ind w:firstLine="63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附件：舒城县2023度国有建设用地供应计划表</w:t>
      </w:r>
    </w:p>
    <w:p>
      <w:pPr>
        <w:jc w:val="center"/>
        <w:rPr>
          <w:rFonts w:ascii="黑体" w:eastAsia="黑体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5" w:left="1588" w:header="0" w:footer="1531" w:gutter="0"/>
          <w:pgNumType w:fmt="decimalFullWidth"/>
          <w:cols w:space="720" w:num="1"/>
          <w:docGrid w:type="linesAndChars" w:linePitch="579" w:charSpace="-842"/>
        </w:sectPr>
      </w:pPr>
    </w:p>
    <w:tbl>
      <w:tblPr>
        <w:tblStyle w:val="4"/>
        <w:tblpPr w:leftFromText="180" w:rightFromText="180" w:vertAnchor="page" w:horzAnchor="margin" w:tblpY="38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07"/>
        <w:gridCol w:w="1089"/>
        <w:gridCol w:w="1089"/>
        <w:gridCol w:w="967"/>
        <w:gridCol w:w="1079"/>
        <w:gridCol w:w="1221"/>
        <w:gridCol w:w="1089"/>
        <w:gridCol w:w="927"/>
        <w:gridCol w:w="1252"/>
        <w:gridCol w:w="1090"/>
        <w:gridCol w:w="1229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71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320" w:firstLineChars="100"/>
            </w:pPr>
            <w:r>
              <w:rPr>
                <w:rFonts w:hint="eastAsia"/>
              </w:rPr>
              <w:t>用途</w:t>
            </w:r>
          </w:p>
          <w:p>
            <w:pPr>
              <w:jc w:val="center"/>
            </w:pPr>
          </w:p>
          <w:p/>
          <w:p>
            <w:r>
              <w:rPr>
                <w:rFonts w:hint="eastAsia"/>
              </w:rPr>
              <w:t>单位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 计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商服</w:t>
            </w:r>
          </w:p>
          <w:p>
            <w:pPr>
              <w:jc w:val="center"/>
            </w:pPr>
            <w:r>
              <w:rPr>
                <w:rFonts w:hint="eastAsia"/>
              </w:rPr>
              <w:t>用地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工矿</w:t>
            </w:r>
          </w:p>
          <w:p>
            <w:pPr>
              <w:jc w:val="center"/>
            </w:pPr>
            <w:r>
              <w:rPr>
                <w:rFonts w:hint="eastAsia"/>
              </w:rPr>
              <w:t>仓储</w:t>
            </w:r>
          </w:p>
          <w:p>
            <w:pPr>
              <w:jc w:val="center"/>
            </w:pPr>
            <w:r>
              <w:rPr>
                <w:rFonts w:hint="eastAsia"/>
              </w:rPr>
              <w:t>用地</w:t>
            </w:r>
          </w:p>
        </w:tc>
        <w:tc>
          <w:tcPr>
            <w:tcW w:w="528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  宅  用  地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公共管理与公 共服务用地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交通运输用地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水域及水利设施用地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农村集体建设用地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7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 计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公租房用  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</w:t>
            </w:r>
          </w:p>
          <w:p>
            <w:pPr>
              <w:jc w:val="center"/>
            </w:pPr>
            <w:r>
              <w:rPr>
                <w:rFonts w:hint="eastAsia"/>
              </w:rPr>
              <w:t>适用房 用地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商品房</w:t>
            </w:r>
          </w:p>
          <w:p>
            <w:pPr>
              <w:jc w:val="center"/>
            </w:pPr>
            <w:r>
              <w:rPr>
                <w:rFonts w:hint="eastAsia"/>
              </w:rPr>
              <w:t>用  地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  <w:p>
            <w:pPr>
              <w:jc w:val="center"/>
            </w:pPr>
            <w:r>
              <w:rPr>
                <w:rFonts w:hint="eastAsia"/>
              </w:rPr>
              <w:t>用地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舒城县2023计划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400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10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120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55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18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35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65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130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舒城县2023年度国有建设用地供应计划表</w:t>
      </w:r>
    </w:p>
    <w:p>
      <w:pPr>
        <w:ind w:firstLine="11393" w:firstLineChars="4069"/>
        <w:rPr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>
        <w:rPr>
          <w:rFonts w:hint="eastAsia" w:ascii="宋体" w:hAnsi="宋体" w:eastAsia="宋体" w:cs="宋体"/>
          <w:sz w:val="28"/>
          <w:szCs w:val="28"/>
        </w:rPr>
        <w:t>位：</w:t>
      </w:r>
      <w:r>
        <w:rPr>
          <w:rFonts w:hint="eastAsia"/>
          <w:sz w:val="28"/>
          <w:szCs w:val="28"/>
        </w:rPr>
        <w:t>公顷</w:t>
      </w:r>
    </w:p>
    <w:p/>
    <w:p/>
    <w:p>
      <w:pPr>
        <w:ind w:firstLine="3840" w:firstLineChars="1200"/>
      </w:pPr>
      <w:r>
        <w:rPr>
          <w:rFonts w:hint="eastAsia"/>
        </w:rPr>
        <w:t>城区2023年商住用地供应计划时序情况一览表</w:t>
      </w:r>
    </w:p>
    <w:p/>
    <w:tbl>
      <w:tblPr>
        <w:tblStyle w:val="4"/>
        <w:tblpPr w:leftFromText="180" w:rightFromText="180" w:vertAnchor="page" w:horzAnchor="margin" w:tblpXSpec="center" w:tblpY="2626"/>
        <w:tblW w:w="110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080"/>
        <w:gridCol w:w="3486"/>
        <w:gridCol w:w="1387"/>
        <w:gridCol w:w="156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拟供地项目名称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 置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面积(亩)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 途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拟上市时间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万达鹿起园东侧地块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县城区华山路以东、龙眠路以西、桃溪东路以南、花桥东路以北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商业及居住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2023年5月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碧桂园公园壹号东侧地块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县城区龙眠路以东、立人路以西、梅河东路以北、花园路以南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商业及居住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2023年7月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体育中心西侧地块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县城区陶因路以东、华盖路以西、清水路以南、五显路以北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商业及居住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县经济开发区地块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县经济开发区周瑜大道以北、纬一路以南、经一路以东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商业及居住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2023年11月</w:t>
            </w:r>
          </w:p>
        </w:tc>
      </w:tr>
    </w:tbl>
    <w:p/>
    <w:p/>
    <w:p/>
    <w:p/>
    <w:p/>
    <w:p/>
    <w:p/>
    <w:p/>
    <w:p/>
    <w:p/>
    <w:p/>
    <w:p>
      <w:r>
        <w:rPr>
          <w:rFonts w:hint="eastAsia"/>
        </w:rPr>
        <w:t>预测依据：</w:t>
      </w:r>
    </w:p>
    <w:tbl>
      <w:tblPr>
        <w:tblStyle w:val="4"/>
        <w:tblW w:w="14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9"/>
        <w:gridCol w:w="966"/>
        <w:gridCol w:w="105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公共管理与公共服务用地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交通运输用地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水域及水利设施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农村集体建设用地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公租房用地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经济适用房用地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商品房用地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其他用地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2022年计划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2022年实际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614.32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112.3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94.12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64.9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26.74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62.7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312.7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32.5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2023年计划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20</w:t>
            </w:r>
          </w:p>
        </w:tc>
      </w:tr>
    </w:tbl>
    <w:p>
      <w:pPr>
        <w:rPr>
          <w:rFonts w:ascii="仿宋_GB2312" w:hAnsi="仿宋_GB2312" w:cs="仿宋_GB2312"/>
          <w:sz w:val="24"/>
          <w:szCs w:val="24"/>
        </w:rPr>
      </w:pPr>
    </w:p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商业用地：指纯商业性质用地，主要包括旅游用地、康体娱乐，加油（液化气）站等，不包括住宅用地，2022年实际供地0公顷，</w:t>
      </w:r>
      <w:r>
        <w:rPr>
          <w:rFonts w:hint="eastAsia" w:ascii="仿宋_GB2312" w:hAnsi="仿宋_GB2312" w:cs="仿宋_GB2312"/>
          <w:color w:val="000000" w:themeColor="text1"/>
          <w:sz w:val="24"/>
          <w:szCs w:val="24"/>
        </w:rPr>
        <w:t xml:space="preserve"> 2023年计划10公顷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工矿仓储用地：2022年实际供地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112.3</w:t>
      </w:r>
      <w:r>
        <w:rPr>
          <w:rFonts w:hint="eastAsia" w:ascii="仿宋_GB2312" w:hAnsi="仿宋_GB2312" w:cs="仿宋_GB2312"/>
          <w:sz w:val="24"/>
          <w:szCs w:val="24"/>
        </w:rPr>
        <w:t>公顷，其中县经济开发区城关园区供地46.88公顷，杭埠镇园区供地59.57公顷，其他乡镇供地5.88公顷。2023年计划120公顷。</w:t>
      </w:r>
    </w:p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住宅用地：2022年实际供地94.12公顷，公租房用地为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2.48公顷</w:t>
      </w:r>
      <w:r>
        <w:rPr>
          <w:rFonts w:hint="eastAsia" w:ascii="仿宋_GB2312" w:hAnsi="仿宋_GB2312" w:cs="仿宋_GB2312"/>
          <w:sz w:val="24"/>
          <w:szCs w:val="24"/>
        </w:rPr>
        <w:t>，经济适用房（安置房项目用地）实际供地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64.9</w:t>
      </w:r>
      <w:r>
        <w:rPr>
          <w:rFonts w:hint="eastAsia" w:ascii="仿宋_GB2312" w:hAnsi="仿宋_GB2312" w:cs="仿宋_GB2312"/>
          <w:sz w:val="24"/>
          <w:szCs w:val="24"/>
        </w:rPr>
        <w:t>公顷，县土地和房屋征收服务中心2023年计划安置需7公顷（105亩），2023年计划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</w:rPr>
        <w:t>20</w:t>
      </w:r>
      <w:r>
        <w:rPr>
          <w:rFonts w:hint="eastAsia" w:ascii="仿宋_GB2312" w:hAnsi="仿宋_GB2312" w:cs="仿宋_GB2312"/>
          <w:sz w:val="24"/>
          <w:szCs w:val="24"/>
        </w:rPr>
        <w:t>公顷；2022年商品房用地实际供地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26.74</w:t>
      </w:r>
      <w:r>
        <w:rPr>
          <w:rFonts w:hint="eastAsia" w:ascii="仿宋_GB2312" w:hAnsi="仿宋_GB2312" w:cs="仿宋_GB2312"/>
          <w:sz w:val="24"/>
          <w:szCs w:val="24"/>
        </w:rPr>
        <w:t>公顷，2023年计划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</w:rPr>
        <w:t>35</w:t>
      </w:r>
      <w:r>
        <w:rPr>
          <w:rFonts w:hint="eastAsia" w:ascii="仿宋_GB2312" w:hAnsi="仿宋_GB2312" w:cs="仿宋_GB2312"/>
          <w:sz w:val="24"/>
          <w:szCs w:val="24"/>
        </w:rPr>
        <w:t>公顷。</w:t>
      </w:r>
    </w:p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公共管理与公共服务用地：2022年实际供地62.7公顷，2023年计划用地65公顷。</w:t>
      </w:r>
    </w:p>
    <w:p>
      <w:pPr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交通运输用地:2022年实际供地312.7公顷，计划与实际差距较大的原因是德上高速供地面积较大。2023年交通部门计划135.3公顷，计划用地130公顷。</w:t>
      </w:r>
    </w:p>
    <w:p>
      <w:pPr>
        <w:rPr>
          <w:rFonts w:ascii="仿宋_GB2312" w:hAnsi="仿宋_GB2312" w:cs="仿宋_GB2312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73" w:y="-105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４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1NTVjN2E4ZmZhZjllZTc1MWIyNjk0ZTI3ODZmZmMifQ=="/>
  </w:docVars>
  <w:rsids>
    <w:rsidRoot w:val="007D5550"/>
    <w:rsid w:val="0000151B"/>
    <w:rsid w:val="00007048"/>
    <w:rsid w:val="00022B29"/>
    <w:rsid w:val="00022F2A"/>
    <w:rsid w:val="000354B8"/>
    <w:rsid w:val="000545CE"/>
    <w:rsid w:val="000622A3"/>
    <w:rsid w:val="0006595A"/>
    <w:rsid w:val="00071C01"/>
    <w:rsid w:val="0008057E"/>
    <w:rsid w:val="000839E9"/>
    <w:rsid w:val="00085BB7"/>
    <w:rsid w:val="000A6FD0"/>
    <w:rsid w:val="000B28BC"/>
    <w:rsid w:val="000F3B52"/>
    <w:rsid w:val="0010580F"/>
    <w:rsid w:val="00132AE9"/>
    <w:rsid w:val="00144265"/>
    <w:rsid w:val="00151BD2"/>
    <w:rsid w:val="00166592"/>
    <w:rsid w:val="00174119"/>
    <w:rsid w:val="00196F76"/>
    <w:rsid w:val="001A2DFF"/>
    <w:rsid w:val="001D3B74"/>
    <w:rsid w:val="001D6CFE"/>
    <w:rsid w:val="001D7FB0"/>
    <w:rsid w:val="001E2F6D"/>
    <w:rsid w:val="00214248"/>
    <w:rsid w:val="00226489"/>
    <w:rsid w:val="00226875"/>
    <w:rsid w:val="00233AAB"/>
    <w:rsid w:val="00246847"/>
    <w:rsid w:val="00254FA7"/>
    <w:rsid w:val="00255539"/>
    <w:rsid w:val="002626C3"/>
    <w:rsid w:val="002668D1"/>
    <w:rsid w:val="0028697D"/>
    <w:rsid w:val="002A0346"/>
    <w:rsid w:val="002A154F"/>
    <w:rsid w:val="002A3702"/>
    <w:rsid w:val="002B0307"/>
    <w:rsid w:val="002D15C3"/>
    <w:rsid w:val="002E2F76"/>
    <w:rsid w:val="00320848"/>
    <w:rsid w:val="00322064"/>
    <w:rsid w:val="003368B4"/>
    <w:rsid w:val="00343F7C"/>
    <w:rsid w:val="00362F0D"/>
    <w:rsid w:val="00365D2A"/>
    <w:rsid w:val="003671E0"/>
    <w:rsid w:val="003935F1"/>
    <w:rsid w:val="003A55C0"/>
    <w:rsid w:val="003C3BD8"/>
    <w:rsid w:val="003E5643"/>
    <w:rsid w:val="003F25B9"/>
    <w:rsid w:val="0041031C"/>
    <w:rsid w:val="00425E77"/>
    <w:rsid w:val="00440F9A"/>
    <w:rsid w:val="00446CC6"/>
    <w:rsid w:val="0045666C"/>
    <w:rsid w:val="0048663B"/>
    <w:rsid w:val="004B21E0"/>
    <w:rsid w:val="004B54C7"/>
    <w:rsid w:val="004E06B7"/>
    <w:rsid w:val="004E525B"/>
    <w:rsid w:val="00501954"/>
    <w:rsid w:val="005079F0"/>
    <w:rsid w:val="00517020"/>
    <w:rsid w:val="005311E4"/>
    <w:rsid w:val="00532BEE"/>
    <w:rsid w:val="00566AB4"/>
    <w:rsid w:val="00571473"/>
    <w:rsid w:val="00585CA1"/>
    <w:rsid w:val="00591B7B"/>
    <w:rsid w:val="005A21FD"/>
    <w:rsid w:val="005B2FC2"/>
    <w:rsid w:val="005E6507"/>
    <w:rsid w:val="00601703"/>
    <w:rsid w:val="00610536"/>
    <w:rsid w:val="00610EC6"/>
    <w:rsid w:val="00616454"/>
    <w:rsid w:val="0063095E"/>
    <w:rsid w:val="00645953"/>
    <w:rsid w:val="00656552"/>
    <w:rsid w:val="00665E50"/>
    <w:rsid w:val="00671653"/>
    <w:rsid w:val="00672E6E"/>
    <w:rsid w:val="00676A66"/>
    <w:rsid w:val="006C0D4D"/>
    <w:rsid w:val="006C1B39"/>
    <w:rsid w:val="006D6A57"/>
    <w:rsid w:val="006E127F"/>
    <w:rsid w:val="007057C2"/>
    <w:rsid w:val="00705E0F"/>
    <w:rsid w:val="007108C6"/>
    <w:rsid w:val="00721726"/>
    <w:rsid w:val="00723E72"/>
    <w:rsid w:val="00725825"/>
    <w:rsid w:val="00730392"/>
    <w:rsid w:val="00734264"/>
    <w:rsid w:val="00736948"/>
    <w:rsid w:val="00746D91"/>
    <w:rsid w:val="007664F5"/>
    <w:rsid w:val="00770B0F"/>
    <w:rsid w:val="00776FEB"/>
    <w:rsid w:val="007824B4"/>
    <w:rsid w:val="007828C7"/>
    <w:rsid w:val="00784949"/>
    <w:rsid w:val="0079189B"/>
    <w:rsid w:val="00796CBF"/>
    <w:rsid w:val="00797F59"/>
    <w:rsid w:val="007A0C4D"/>
    <w:rsid w:val="007A1923"/>
    <w:rsid w:val="007A6B21"/>
    <w:rsid w:val="007B232C"/>
    <w:rsid w:val="007C0016"/>
    <w:rsid w:val="007C24A1"/>
    <w:rsid w:val="007D5550"/>
    <w:rsid w:val="007D61F8"/>
    <w:rsid w:val="007E3B1E"/>
    <w:rsid w:val="00814603"/>
    <w:rsid w:val="0081562D"/>
    <w:rsid w:val="00840655"/>
    <w:rsid w:val="00844607"/>
    <w:rsid w:val="00857C26"/>
    <w:rsid w:val="00866F4D"/>
    <w:rsid w:val="00885E10"/>
    <w:rsid w:val="00890464"/>
    <w:rsid w:val="00897C4A"/>
    <w:rsid w:val="008D4DFA"/>
    <w:rsid w:val="008D6588"/>
    <w:rsid w:val="008E74B1"/>
    <w:rsid w:val="009017C7"/>
    <w:rsid w:val="00901A6D"/>
    <w:rsid w:val="00905422"/>
    <w:rsid w:val="0091289E"/>
    <w:rsid w:val="009416FD"/>
    <w:rsid w:val="0095739F"/>
    <w:rsid w:val="00995706"/>
    <w:rsid w:val="00997CF0"/>
    <w:rsid w:val="009A71EF"/>
    <w:rsid w:val="009B3F34"/>
    <w:rsid w:val="009C298C"/>
    <w:rsid w:val="009C3C08"/>
    <w:rsid w:val="009F52C8"/>
    <w:rsid w:val="00A02D20"/>
    <w:rsid w:val="00A31792"/>
    <w:rsid w:val="00A44AD9"/>
    <w:rsid w:val="00A50E8F"/>
    <w:rsid w:val="00A60D53"/>
    <w:rsid w:val="00A77AA8"/>
    <w:rsid w:val="00A8282E"/>
    <w:rsid w:val="00A84C5B"/>
    <w:rsid w:val="00A9441D"/>
    <w:rsid w:val="00A96327"/>
    <w:rsid w:val="00AA691A"/>
    <w:rsid w:val="00AD0B44"/>
    <w:rsid w:val="00AD15E2"/>
    <w:rsid w:val="00AF2D12"/>
    <w:rsid w:val="00B05C17"/>
    <w:rsid w:val="00B221FC"/>
    <w:rsid w:val="00B339C2"/>
    <w:rsid w:val="00B3560C"/>
    <w:rsid w:val="00B61BA8"/>
    <w:rsid w:val="00B62F54"/>
    <w:rsid w:val="00BB6526"/>
    <w:rsid w:val="00BD0463"/>
    <w:rsid w:val="00BD0CAA"/>
    <w:rsid w:val="00BE1561"/>
    <w:rsid w:val="00BE15D2"/>
    <w:rsid w:val="00C0128D"/>
    <w:rsid w:val="00C025AF"/>
    <w:rsid w:val="00C0639B"/>
    <w:rsid w:val="00C15D93"/>
    <w:rsid w:val="00C30AD9"/>
    <w:rsid w:val="00C431F0"/>
    <w:rsid w:val="00C525ED"/>
    <w:rsid w:val="00C6104A"/>
    <w:rsid w:val="00C623C8"/>
    <w:rsid w:val="00C92F9C"/>
    <w:rsid w:val="00CA37FF"/>
    <w:rsid w:val="00CB6BE8"/>
    <w:rsid w:val="00CC22B4"/>
    <w:rsid w:val="00CD41DD"/>
    <w:rsid w:val="00D026FE"/>
    <w:rsid w:val="00D100CA"/>
    <w:rsid w:val="00D170A5"/>
    <w:rsid w:val="00D72B29"/>
    <w:rsid w:val="00DA04D7"/>
    <w:rsid w:val="00DB1106"/>
    <w:rsid w:val="00DB187F"/>
    <w:rsid w:val="00DB56B2"/>
    <w:rsid w:val="00DC47E8"/>
    <w:rsid w:val="00DD546E"/>
    <w:rsid w:val="00E207CA"/>
    <w:rsid w:val="00E42EA9"/>
    <w:rsid w:val="00E61B1B"/>
    <w:rsid w:val="00E730AF"/>
    <w:rsid w:val="00E905AE"/>
    <w:rsid w:val="00EC0FB5"/>
    <w:rsid w:val="00EC6150"/>
    <w:rsid w:val="00ED3F7C"/>
    <w:rsid w:val="00ED53C3"/>
    <w:rsid w:val="00EE063F"/>
    <w:rsid w:val="00EE118C"/>
    <w:rsid w:val="00EF2444"/>
    <w:rsid w:val="00F02D89"/>
    <w:rsid w:val="00F303E4"/>
    <w:rsid w:val="00F35F2B"/>
    <w:rsid w:val="00F40A31"/>
    <w:rsid w:val="00F44D4A"/>
    <w:rsid w:val="00F71E61"/>
    <w:rsid w:val="00F945D4"/>
    <w:rsid w:val="00FA0C3E"/>
    <w:rsid w:val="00FB094B"/>
    <w:rsid w:val="00FC1D5D"/>
    <w:rsid w:val="202459C7"/>
    <w:rsid w:val="3E672ED8"/>
    <w:rsid w:val="6A2E7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1977</Words>
  <Characters>2207</Characters>
  <Lines>17</Lines>
  <Paragraphs>4</Paragraphs>
  <TotalTime>1543</TotalTime>
  <ScaleCrop>false</ScaleCrop>
  <LinksUpToDate>false</LinksUpToDate>
  <CharactersWithSpaces>2224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2022-06-19T00:13:00Z</dcterms:created>
  <dc:creator>袁杰</dc:creator>
  <cp:lastModifiedBy>即兴判断</cp:lastModifiedBy>
  <cp:lastPrinted>2022-02-09T00:56:00Z</cp:lastPrinted>
  <dcterms:modified xsi:type="dcterms:W3CDTF">2023-05-29T06:53:30Z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3D69FC6C3EAA4850AF1447348485FF00_12</vt:lpwstr>
  </property>
</Properties>
</file>