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b/>
          <w:bCs/>
          <w:i w:val="0"/>
          <w:iCs w:val="0"/>
          <w:caps w:val="0"/>
          <w:color w:val="auto"/>
          <w:spacing w:val="0"/>
          <w:sz w:val="44"/>
          <w:szCs w:val="44"/>
          <w:shd w:val="clear" w:color="auto" w:fill="auto"/>
        </w:rPr>
      </w:pPr>
      <w:r>
        <w:rPr>
          <w:rFonts w:hint="eastAsia" w:ascii="宋体" w:hAnsi="宋体" w:eastAsia="宋体" w:cs="宋体"/>
          <w:b/>
          <w:bCs/>
          <w:i w:val="0"/>
          <w:iCs w:val="0"/>
          <w:caps w:val="0"/>
          <w:color w:val="auto"/>
          <w:spacing w:val="0"/>
          <w:sz w:val="44"/>
          <w:szCs w:val="44"/>
          <w:shd w:val="clear" w:color="auto" w:fill="auto"/>
        </w:rPr>
        <w:t>舒城县春秋乡</w:t>
      </w:r>
      <w:r>
        <w:rPr>
          <w:rFonts w:hint="eastAsia" w:cs="宋体"/>
          <w:b/>
          <w:bCs/>
          <w:i w:val="0"/>
          <w:iCs w:val="0"/>
          <w:caps w:val="0"/>
          <w:color w:val="auto"/>
          <w:spacing w:val="0"/>
          <w:sz w:val="44"/>
          <w:szCs w:val="44"/>
          <w:shd w:val="clear" w:color="auto" w:fill="auto"/>
          <w:lang w:eastAsia="zh-CN"/>
        </w:rPr>
        <w:t>人民政府</w:t>
      </w:r>
      <w:r>
        <w:rPr>
          <w:rFonts w:hint="eastAsia" w:ascii="宋体" w:hAnsi="宋体" w:eastAsia="宋体" w:cs="宋体"/>
          <w:b/>
          <w:bCs/>
          <w:i w:val="0"/>
          <w:iCs w:val="0"/>
          <w:caps w:val="0"/>
          <w:color w:val="auto"/>
          <w:spacing w:val="0"/>
          <w:sz w:val="44"/>
          <w:szCs w:val="44"/>
          <w:shd w:val="clear" w:color="auto" w:fill="auto"/>
        </w:rPr>
        <w:t>202</w:t>
      </w:r>
      <w:r>
        <w:rPr>
          <w:rFonts w:hint="eastAsia" w:cs="宋体"/>
          <w:b/>
          <w:bCs/>
          <w:i w:val="0"/>
          <w:iCs w:val="0"/>
          <w:caps w:val="0"/>
          <w:color w:val="auto"/>
          <w:spacing w:val="0"/>
          <w:sz w:val="44"/>
          <w:szCs w:val="44"/>
          <w:shd w:val="clear" w:color="auto" w:fill="auto"/>
          <w:lang w:val="en-US" w:eastAsia="zh-CN"/>
        </w:rPr>
        <w:t>1</w:t>
      </w:r>
      <w:r>
        <w:rPr>
          <w:rFonts w:hint="eastAsia" w:ascii="宋体" w:hAnsi="宋体" w:eastAsia="宋体" w:cs="宋体"/>
          <w:b/>
          <w:bCs/>
          <w:i w:val="0"/>
          <w:iCs w:val="0"/>
          <w:caps w:val="0"/>
          <w:color w:val="auto"/>
          <w:spacing w:val="0"/>
          <w:sz w:val="44"/>
          <w:szCs w:val="44"/>
          <w:shd w:val="clear" w:color="auto" w:fill="auto"/>
        </w:rPr>
        <w:t>年政府信息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hint="eastAsia" w:ascii="宋体" w:hAnsi="宋体" w:eastAsia="宋体" w:cs="宋体"/>
          <w:b w:val="0"/>
          <w:bCs w:val="0"/>
          <w:i w:val="0"/>
          <w:iCs w:val="0"/>
          <w:caps w:val="0"/>
          <w:color w:val="auto"/>
          <w:spacing w:val="0"/>
          <w:sz w:val="44"/>
          <w:szCs w:val="44"/>
          <w:shd w:val="clear" w:color="auto" w:fill="auto"/>
        </w:rPr>
      </w:pPr>
      <w:r>
        <w:rPr>
          <w:rFonts w:hint="eastAsia" w:ascii="宋体" w:hAnsi="宋体" w:eastAsia="宋体" w:cs="宋体"/>
          <w:b/>
          <w:bCs/>
          <w:i w:val="0"/>
          <w:iCs w:val="0"/>
          <w:caps w:val="0"/>
          <w:color w:val="auto"/>
          <w:spacing w:val="0"/>
          <w:sz w:val="44"/>
          <w:szCs w:val="44"/>
          <w:shd w:val="clear" w:color="auto" w:fill="auto"/>
        </w:rPr>
        <w:t>公开工作年度报告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883"/>
        <w:jc w:val="both"/>
        <w:rPr>
          <w:rFonts w:hint="eastAsia" w:ascii="宋体" w:hAnsi="宋体" w:eastAsia="宋体" w:cs="宋体"/>
          <w:i w:val="0"/>
          <w:iCs w:val="0"/>
          <w:caps w:val="0"/>
          <w:color w:val="auto"/>
          <w:spacing w:val="0"/>
          <w:sz w:val="32"/>
          <w:szCs w:val="32"/>
          <w:shd w:val="clear" w:color="auto" w:fill="auto"/>
        </w:rPr>
      </w:pPr>
      <w:r>
        <w:rPr>
          <w:rFonts w:hint="eastAsia" w:ascii="仿宋_GB2312" w:hAnsi="微软雅黑" w:eastAsia="仿宋_GB2312" w:cs="仿宋_GB2312"/>
          <w:b w:val="0"/>
          <w:bCs w:val="0"/>
          <w:i w:val="0"/>
          <w:iCs w:val="0"/>
          <w:caps w:val="0"/>
          <w:color w:val="auto"/>
          <w:spacing w:val="0"/>
          <w:kern w:val="0"/>
          <w:sz w:val="32"/>
          <w:szCs w:val="32"/>
          <w:shd w:val="clear" w:color="auto" w:fill="auto"/>
          <w:lang w:val="en-US" w:eastAsia="zh-CN" w:bidi="ar"/>
        </w:rPr>
        <w:t>根据新修订《中华人民共和国政府信息公开条例》（以下简称《条例》），结合上级有关文件精神等要求，编制2021年度舒城县春秋乡信息公开年度报告。全文包括总体情况、主动公开政府信息情况、收到和处理政府信息公开申请情况、政府信息公开行政复议行政诉讼情况、存在的主要问题和改进情况和其他需要报告的事项。本年度报告中使用数据统计期限为2021年1月1日至2021年12月31日，本年度报告电子版可在舒城县春秋乡信息公开平台下载。如对本报告有任何疑问，请与舒城县春秋乡人民政府联系（地址：春秋乡人民政府；邮编：231300；联系电话：0564—8191400）。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both"/>
        <w:rPr>
          <w:rFonts w:hint="default" w:ascii="仿宋_GB2312" w:hAnsi="微软雅黑" w:eastAsia="仿宋_GB2312" w:cs="仿宋_GB2312"/>
          <w:b w:val="0"/>
          <w:bCs w:val="0"/>
          <w:i w:val="0"/>
          <w:iCs w:val="0"/>
          <w:caps w:val="0"/>
          <w:color w:val="auto"/>
          <w:spacing w:val="0"/>
          <w:kern w:val="0"/>
          <w:sz w:val="32"/>
          <w:szCs w:val="32"/>
          <w:shd w:val="clear" w:color="auto" w:fill="auto"/>
          <w:lang w:val="en-US" w:eastAsia="zh-CN" w:bidi="ar"/>
        </w:rPr>
      </w:pPr>
      <w:r>
        <w:rPr>
          <w:rFonts w:hint="default" w:ascii="仿宋_GB2312" w:hAnsi="微软雅黑" w:eastAsia="仿宋_GB2312" w:cs="仿宋_GB2312"/>
          <w:b w:val="0"/>
          <w:bCs w:val="0"/>
          <w:i w:val="0"/>
          <w:iCs w:val="0"/>
          <w:caps w:val="0"/>
          <w:color w:val="auto"/>
          <w:spacing w:val="0"/>
          <w:kern w:val="0"/>
          <w:sz w:val="32"/>
          <w:szCs w:val="32"/>
          <w:shd w:val="clear" w:color="auto" w:fill="auto"/>
          <w:lang w:val="en-US" w:eastAsia="zh-CN" w:bidi="ar"/>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0"/>
        <w:jc w:val="both"/>
        <w:rPr>
          <w:rFonts w:hint="eastAsia" w:ascii="仿宋_GB2312" w:hAnsi="微软雅黑" w:eastAsia="仿宋_GB2312" w:cs="仿宋_GB2312"/>
          <w:b w:val="0"/>
          <w:bCs w:val="0"/>
          <w:i w:val="0"/>
          <w:iCs w:val="0"/>
          <w:caps w:val="0"/>
          <w:color w:val="auto"/>
          <w:spacing w:val="0"/>
          <w:kern w:val="0"/>
          <w:sz w:val="32"/>
          <w:szCs w:val="32"/>
          <w:shd w:val="clear" w:color="auto" w:fill="auto"/>
          <w:lang w:val="en-US" w:eastAsia="zh-CN" w:bidi="ar"/>
        </w:rPr>
      </w:pPr>
      <w:r>
        <w:rPr>
          <w:rFonts w:hint="default" w:ascii="仿宋_GB2312" w:hAnsi="微软雅黑" w:eastAsia="仿宋_GB2312" w:cs="仿宋_GB2312"/>
          <w:b w:val="0"/>
          <w:bCs w:val="0"/>
          <w:i w:val="0"/>
          <w:iCs w:val="0"/>
          <w:caps w:val="0"/>
          <w:color w:val="auto"/>
          <w:spacing w:val="0"/>
          <w:kern w:val="0"/>
          <w:sz w:val="32"/>
          <w:szCs w:val="32"/>
          <w:shd w:val="clear" w:color="auto" w:fill="auto"/>
          <w:lang w:val="en-US" w:eastAsia="zh-CN" w:bidi="ar"/>
        </w:rPr>
        <w:t>2021年，我乡根据《中华人民共和国政府信息公开条例》的规定，依据乡党委乡政府的重要指示，严格执行县政务公开办公室的要求，认真开展政务公开工作，不断深化信息公开工作。根据《舒城县人民政府办公室关于做好政府信息公开工作年度报告编制和发布工作的通知》的要求，现将年度报告汇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3"/>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b/>
          <w:bCs/>
          <w:i w:val="0"/>
          <w:iCs w:val="0"/>
          <w:caps w:val="0"/>
          <w:color w:val="auto"/>
          <w:spacing w:val="0"/>
          <w:kern w:val="0"/>
          <w:sz w:val="32"/>
          <w:szCs w:val="32"/>
          <w:shd w:val="clear" w:color="auto" w:fill="auto"/>
          <w:lang w:val="en-US" w:eastAsia="zh-CN" w:bidi="ar"/>
        </w:rPr>
        <w:t>（一）主动公开。</w:t>
      </w: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2021年，我乡把美丽乡村、公共卫生信息、环境保护等栏目作为重点，做好疫情防控、就业、旅游、教育、医疗、养老等切实关系到民众自身权益等栏目的信息公开工作，公开信息297条。扎实开展美丽乡村，推进“三冲环线”、文翁旅游小镇等景区的建设，公开乡村旅游信息41条。积极开展疫情防控工作，及时转发与疫情防控有关信息16条，保证民众及时了解疫情防控知识、提高应对能力。截止2021年12月31日，本年已公开信息数2101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3"/>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b/>
          <w:bCs/>
          <w:i w:val="0"/>
          <w:iCs w:val="0"/>
          <w:caps w:val="0"/>
          <w:color w:val="auto"/>
          <w:spacing w:val="0"/>
          <w:kern w:val="0"/>
          <w:sz w:val="32"/>
          <w:szCs w:val="32"/>
          <w:shd w:val="clear" w:color="auto" w:fill="auto"/>
          <w:lang w:val="en-US" w:eastAsia="zh-CN" w:bidi="ar"/>
        </w:rPr>
        <w:t>（二）依申请公开。</w:t>
      </w: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2021年我乡积极落实《舒城县人民政府办公室政府信息依申请公开办理规程》的要求，严格按照咨询和受理、领导批办、股室承办、审批流程、申请答复、行政复议与诉讼的工作流程，提升依申请办理的规范性。我乡今年收到依申请公开申请事项0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3"/>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b/>
          <w:bCs/>
          <w:i w:val="0"/>
          <w:iCs w:val="0"/>
          <w:caps w:val="0"/>
          <w:color w:val="auto"/>
          <w:spacing w:val="0"/>
          <w:kern w:val="0"/>
          <w:sz w:val="32"/>
          <w:szCs w:val="32"/>
          <w:shd w:val="clear" w:color="auto" w:fill="auto"/>
          <w:lang w:val="en-US" w:eastAsia="zh-CN" w:bidi="ar"/>
        </w:rPr>
        <w:t>（三）政府信息管理。</w:t>
      </w: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强化组织领导，调整政务公开领导小组，严格落实党委副书记分管、党政办主任负责、党政办工作人员经办的政务公开工作机制。严格落实“三审制”的要求，分级审核、先审后发，避免出现重大表述错误。</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3"/>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b/>
          <w:bCs/>
          <w:i w:val="0"/>
          <w:iCs w:val="0"/>
          <w:caps w:val="0"/>
          <w:color w:val="auto"/>
          <w:spacing w:val="0"/>
          <w:kern w:val="0"/>
          <w:sz w:val="32"/>
          <w:szCs w:val="32"/>
          <w:shd w:val="clear" w:color="auto" w:fill="auto"/>
          <w:lang w:val="en-US" w:eastAsia="zh-CN" w:bidi="ar"/>
        </w:rPr>
        <w:t>（四）政府信息公开平台建设。</w:t>
      </w: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我乡严格执行上级要求，按照《舒城县乡镇基层政务公开标准化规划化目录表》的规定，调整、补充和完善了政府信息公开目录。在回应关切专栏中公开了疫情防控、就业创业信息。定期开展平台维护工作，杜绝出现错链和空白栏目。定期抽查各村政务公开信息发布情况，发现问题责令其及时整改完善，保证村务公开的及时性、准确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left="0" w:right="0" w:firstLine="643"/>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b/>
          <w:bCs/>
          <w:i w:val="0"/>
          <w:iCs w:val="0"/>
          <w:caps w:val="0"/>
          <w:color w:val="auto"/>
          <w:spacing w:val="0"/>
          <w:kern w:val="0"/>
          <w:sz w:val="32"/>
          <w:szCs w:val="32"/>
          <w:shd w:val="clear" w:color="auto" w:fill="auto"/>
          <w:lang w:val="en-US" w:eastAsia="zh-CN" w:bidi="ar"/>
        </w:rPr>
        <w:t>（五）监督保障。</w:t>
      </w: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一是加强问题整改。我乡政务公开工作在政务公开领导小组的领导下稳步推进，对于上级测评反馈的问题，我乡按照上级要求及时整改到位，确保我乡政务公开规范、有序、真实、实效。</w:t>
      </w:r>
      <w:r>
        <w:rPr>
          <w:rFonts w:hint="eastAsia" w:ascii="仿宋_GB2312" w:hAnsi="微软雅黑" w:eastAsia="仿宋_GB2312" w:cs="仿宋_GB2312"/>
          <w:i w:val="0"/>
          <w:iCs w:val="0"/>
          <w:caps w:val="0"/>
          <w:color w:val="auto"/>
          <w:spacing w:val="0"/>
          <w:kern w:val="0"/>
          <w:sz w:val="32"/>
          <w:szCs w:val="32"/>
          <w:shd w:val="clear" w:color="auto" w:fill="auto"/>
          <w:lang w:val="en-US" w:eastAsia="zh-CN" w:bidi="ar"/>
        </w:rPr>
        <w:t>强化责任追究，责令问题单位现场整改。</w:t>
      </w: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二是严格考核机制。我乡建立完善政务公开工作考核制度，将各部门、各村政务公开工作纳入年终考评，监督各村做好基层政务公开工作。三是积极完善社会评议。不断完善社会评议制度，通过互联网、电话投诉等渠道，采纳群众建议、接受社会监督，提升政务公开工作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1"/>
          <w:szCs w:val="21"/>
          <w:shd w:val="clear" w:color="auto" w:fill="auto"/>
        </w:rPr>
      </w:pPr>
      <w:r>
        <w:rPr>
          <w:rFonts w:ascii="黑体" w:hAnsi="宋体" w:eastAsia="黑体" w:cs="黑体"/>
          <w:i w:val="0"/>
          <w:iCs w:val="0"/>
          <w:caps w:val="0"/>
          <w:color w:val="auto"/>
          <w:spacing w:val="0"/>
          <w:kern w:val="0"/>
          <w:sz w:val="32"/>
          <w:szCs w:val="32"/>
          <w:shd w:val="clear" w:color="auto" w:fill="auto"/>
          <w:lang w:val="en-US" w:eastAsia="zh-CN" w:bidi="ar"/>
        </w:rPr>
        <w:t>  二、主动公开政府信息情况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ascii="Calibri" w:hAnsi="Calibri" w:cs="Calibri" w:eastAsiaTheme="minorEastAsia"/>
                <w:color w:val="auto"/>
                <w:kern w:val="0"/>
                <w:sz w:val="21"/>
                <w:szCs w:val="21"/>
                <w:shd w:val="clear" w:color="auto" w:fill="auto"/>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Calibri" w:hAnsi="Calibri" w:cs="Calibri"/>
                <w:color w:val="auto"/>
                <w:kern w:val="0"/>
                <w:sz w:val="21"/>
                <w:szCs w:val="21"/>
                <w:shd w:val="clear" w:color="auto" w:fill="auto"/>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Calibri" w:hAnsi="Calibri" w:cs="Calibri"/>
                <w:color w:val="auto"/>
                <w:kern w:val="0"/>
                <w:sz w:val="21"/>
                <w:szCs w:val="21"/>
                <w:shd w:val="clear" w:color="auto" w:fill="auto"/>
                <w:lang w:val="en-US" w:eastAsia="zh-CN" w:bidi="ar"/>
              </w:rPr>
              <w:t>9</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rFonts w:hint="default"/>
                <w:color w:val="auto"/>
                <w:shd w:val="clear" w:color="auto" w:fill="auto"/>
                <w:lang w:val="en-US"/>
              </w:rPr>
            </w:pPr>
            <w:r>
              <w:rPr>
                <w:rFonts w:hint="eastAsia" w:ascii="Calibri" w:hAnsi="Calibri" w:cs="Calibri"/>
                <w:color w:val="auto"/>
                <w:kern w:val="0"/>
                <w:sz w:val="21"/>
                <w:szCs w:val="21"/>
                <w:shd w:val="clear" w:color="auto" w:fill="auto"/>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4"/>
                <w:szCs w:val="24"/>
                <w:shd w:val="clear" w:color="auto" w:fill="auto"/>
                <w:lang w:val="en-US" w:eastAsia="zh-CN" w:bidi="ar"/>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Calibri" w:hAnsi="Calibri" w:eastAsia="微软雅黑" w:cs="Calibri"/>
          <w:i w:val="0"/>
          <w:iCs w:val="0"/>
          <w:caps w:val="0"/>
          <w:color w:val="auto"/>
          <w:spacing w:val="0"/>
          <w:kern w:val="0"/>
          <w:sz w:val="21"/>
          <w:szCs w:val="21"/>
          <w:shd w:val="clear" w:color="auto" w:fill="auto"/>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default" w:ascii="黑体" w:hAnsi="宋体" w:eastAsia="黑体" w:cs="黑体"/>
          <w:i w:val="0"/>
          <w:iCs w:val="0"/>
          <w:caps w:val="0"/>
          <w:color w:val="auto"/>
          <w:spacing w:val="0"/>
          <w:kern w:val="0"/>
          <w:sz w:val="32"/>
          <w:szCs w:val="32"/>
          <w:shd w:val="clear" w:color="auto" w:fill="auto"/>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default" w:ascii="黑体" w:hAnsi="宋体" w:eastAsia="黑体" w:cs="黑体"/>
          <w:i w:val="0"/>
          <w:iCs w:val="0"/>
          <w:caps w:val="0"/>
          <w:color w:val="auto"/>
          <w:spacing w:val="0"/>
          <w:kern w:val="0"/>
          <w:sz w:val="32"/>
          <w:szCs w:val="32"/>
          <w:shd w:val="clear" w:color="auto" w:fill="auto"/>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default" w:ascii="黑体" w:hAnsi="宋体" w:eastAsia="黑体" w:cs="黑体"/>
          <w:i w:val="0"/>
          <w:iCs w:val="0"/>
          <w:caps w:val="0"/>
          <w:color w:val="auto"/>
          <w:spacing w:val="0"/>
          <w:kern w:val="0"/>
          <w:sz w:val="32"/>
          <w:szCs w:val="32"/>
          <w:shd w:val="clear" w:color="auto" w:fill="auto"/>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黑体" w:hAnsi="宋体" w:eastAsia="黑体" w:cs="黑体"/>
          <w:i w:val="0"/>
          <w:iCs w:val="0"/>
          <w:caps w:val="0"/>
          <w:color w:val="auto"/>
          <w:spacing w:val="0"/>
          <w:kern w:val="0"/>
          <w:sz w:val="32"/>
          <w:szCs w:val="32"/>
          <w:shd w:val="clear" w:color="auto" w:fill="auto"/>
          <w:lang w:val="en-US" w:eastAsia="zh-CN" w:bidi="ar"/>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color w:val="auto"/>
                <w:sz w:val="24"/>
                <w:szCs w:val="24"/>
                <w:shd w:val="clear" w:color="auto" w:fill="auto"/>
              </w:rPr>
            </w:pPr>
          </w:p>
        </w:tc>
        <w:tc>
          <w:tcPr>
            <w:tcW w:w="714"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color w:val="auto"/>
                <w:sz w:val="24"/>
                <w:szCs w:val="24"/>
                <w:shd w:val="clear" w:color="auto" w:fill="auto"/>
              </w:rPr>
            </w:pPr>
          </w:p>
        </w:tc>
        <w:tc>
          <w:tcPr>
            <w:tcW w:w="714"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企业</w:t>
            </w:r>
          </w:p>
        </w:tc>
        <w:tc>
          <w:tcPr>
            <w:tcW w:w="71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color w:val="auto"/>
                <w:sz w:val="24"/>
                <w:szCs w:val="24"/>
                <w:shd w:val="clear" w:color="auto" w:fill="auto"/>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（二）部分公开</w:t>
            </w:r>
            <w:r>
              <w:rPr>
                <w:rFonts w:ascii="楷体" w:hAnsi="楷体" w:eastAsia="楷体" w:cs="楷体"/>
                <w:color w:val="auto"/>
                <w:kern w:val="0"/>
                <w:sz w:val="20"/>
                <w:szCs w:val="20"/>
                <w:shd w:val="clear" w:color="auto" w:fill="auto"/>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3"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2.重复申请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3.其他</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shd w:val="clear"/>
              <w:rPr>
                <w:rFonts w:hint="eastAsia" w:ascii="宋体"/>
                <w:color w:val="auto"/>
                <w:sz w:val="24"/>
                <w:szCs w:val="24"/>
                <w:shd w:val="clear" w:color="auto" w:fill="auto"/>
              </w:rPr>
            </w:pP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（七）总计</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left"/>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hint="eastAsia" w:ascii="微软雅黑" w:hAnsi="微软雅黑" w:eastAsia="微软雅黑" w:cs="微软雅黑"/>
          <w:i w:val="0"/>
          <w:iCs w:val="0"/>
          <w:caps w:val="0"/>
          <w:color w:val="auto"/>
          <w:spacing w:val="0"/>
          <w:sz w:val="21"/>
          <w:szCs w:val="21"/>
          <w:shd w:val="clear" w:color="auto" w:fill="auto"/>
        </w:rPr>
      </w:pPr>
      <w:r>
        <w:rPr>
          <w:rFonts w:hint="eastAsia" w:ascii="宋体" w:hAnsi="宋体" w:eastAsia="宋体" w:cs="宋体"/>
          <w:i w:val="0"/>
          <w:iCs w:val="0"/>
          <w:caps w:val="0"/>
          <w:color w:val="auto"/>
          <w:spacing w:val="0"/>
          <w:kern w:val="0"/>
          <w:sz w:val="16"/>
          <w:szCs w:val="16"/>
          <w:shd w:val="clear" w:color="auto" w:fill="auto"/>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黑体" w:hAnsi="宋体" w:eastAsia="黑体" w:cs="黑体"/>
          <w:i w:val="0"/>
          <w:iCs w:val="0"/>
          <w:caps w:val="0"/>
          <w:color w:val="auto"/>
          <w:spacing w:val="0"/>
          <w:kern w:val="0"/>
          <w:sz w:val="32"/>
          <w:szCs w:val="32"/>
          <w:shd w:val="clear" w:color="auto" w:fill="auto"/>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黑体" w:hAnsi="宋体" w:eastAsia="黑体" w:cs="黑体"/>
          <w:i w:val="0"/>
          <w:iCs w:val="0"/>
          <w:caps w:val="0"/>
          <w:color w:val="auto"/>
          <w:spacing w:val="0"/>
          <w:kern w:val="0"/>
          <w:sz w:val="32"/>
          <w:szCs w:val="32"/>
          <w:shd w:val="clear" w:color="auto" w:fill="auto"/>
          <w:lang w:val="en-US" w:eastAsia="zh-CN" w:bidi="ar"/>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结果纠正</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其他结果</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尚未审结</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color w:val="auto"/>
                <w:sz w:val="24"/>
                <w:szCs w:val="24"/>
                <w:shd w:val="clear" w:color="auto" w:fill="auto"/>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color w:val="auto"/>
                <w:sz w:val="24"/>
                <w:szCs w:val="24"/>
                <w:shd w:val="clear" w:color="auto" w:fill="auto"/>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color w:val="auto"/>
                <w:sz w:val="24"/>
                <w:szCs w:val="24"/>
                <w:shd w:val="clear" w:color="auto" w:fill="auto"/>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color w:val="auto"/>
                <w:sz w:val="24"/>
                <w:szCs w:val="24"/>
                <w:shd w:val="clear" w:color="auto" w:fill="auto"/>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shd w:val="clear"/>
              <w:rPr>
                <w:rFonts w:hint="eastAsia" w:ascii="宋体"/>
                <w:color w:val="auto"/>
                <w:sz w:val="24"/>
                <w:szCs w:val="24"/>
                <w:shd w:val="clear" w:color="auto" w:fill="auto"/>
              </w:rPr>
            </w:pP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结果维持</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结果纠正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其他结果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尚未审结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结果维持</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结果纠正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其他结果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尚未审结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eastAsia" w:ascii="宋体" w:hAnsi="宋体" w:eastAsia="宋体" w:cs="宋体"/>
                <w:color w:val="auto"/>
                <w:kern w:val="0"/>
                <w:sz w:val="20"/>
                <w:szCs w:val="20"/>
                <w:shd w:val="clear" w:color="auto" w:fill="auto"/>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wordWrap w:val="0"/>
              <w:spacing w:before="0" w:beforeAutospacing="0" w:after="0" w:afterAutospacing="0"/>
              <w:ind w:left="0" w:right="0"/>
              <w:jc w:val="center"/>
              <w:rPr>
                <w:color w:val="auto"/>
                <w:shd w:val="clear" w:color="auto" w:fill="auto"/>
              </w:rPr>
            </w:pPr>
            <w:r>
              <w:rPr>
                <w:rFonts w:hint="default" w:ascii="Calibri" w:hAnsi="Calibri" w:cs="Calibri" w:eastAsiaTheme="minorEastAsia"/>
                <w:color w:val="auto"/>
                <w:kern w:val="0"/>
                <w:sz w:val="21"/>
                <w:szCs w:val="21"/>
                <w:shd w:val="clear" w:color="auto" w:fill="auto"/>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8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黑体" w:hAnsi="宋体" w:eastAsia="黑体" w:cs="黑体"/>
          <w:i w:val="0"/>
          <w:iCs w:val="0"/>
          <w:caps w:val="0"/>
          <w:color w:val="auto"/>
          <w:spacing w:val="0"/>
          <w:kern w:val="0"/>
          <w:sz w:val="32"/>
          <w:szCs w:val="32"/>
          <w:shd w:val="clear" w:color="auto" w:fill="auto"/>
          <w:lang w:val="en-US" w:eastAsia="zh-CN" w:bidi="ar"/>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82"/>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b/>
          <w:bCs/>
          <w:i w:val="0"/>
          <w:iCs w:val="0"/>
          <w:caps w:val="0"/>
          <w:color w:val="auto"/>
          <w:spacing w:val="0"/>
          <w:kern w:val="0"/>
          <w:sz w:val="32"/>
          <w:szCs w:val="32"/>
          <w:shd w:val="clear" w:color="auto" w:fill="auto"/>
          <w:lang w:val="en-US" w:eastAsia="zh-CN" w:bidi="ar"/>
        </w:rPr>
        <w:t>存在的问题：</w:t>
      </w: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一是本年度村务公开工作进度较缓慢。二是公开的信息内容不全面。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3"/>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b/>
          <w:bCs/>
          <w:i w:val="0"/>
          <w:iCs w:val="0"/>
          <w:caps w:val="0"/>
          <w:color w:val="auto"/>
          <w:spacing w:val="0"/>
          <w:kern w:val="0"/>
          <w:sz w:val="32"/>
          <w:szCs w:val="32"/>
          <w:shd w:val="clear" w:color="auto" w:fill="auto"/>
          <w:lang w:val="en-US" w:eastAsia="zh-CN" w:bidi="ar"/>
        </w:rPr>
        <w:t>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一是定期检查各村村务公开信息发布情况，不断完善村务公开考核机制，督促各村做好村务公开工作；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二是严格按照舒城县乡镇基层政务公开标准化规划化目录规范的要求，及时发布信息，保证信息公开内容的完整性、规范性。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黑体" w:hAnsi="宋体" w:eastAsia="黑体" w:cs="黑体"/>
          <w:i w:val="0"/>
          <w:iCs w:val="0"/>
          <w:caps w:val="0"/>
          <w:color w:val="auto"/>
          <w:spacing w:val="0"/>
          <w:kern w:val="0"/>
          <w:sz w:val="32"/>
          <w:szCs w:val="32"/>
          <w:shd w:val="clear" w:color="auto" w:fill="auto"/>
          <w:lang w:val="en-US" w:eastAsia="zh-CN" w:bidi="ar"/>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按照《国务院办公厅关于印发〈政府信息公开信息处理费管理办法〉的通知》（国办函〔2020〕109号）规定的按件、按量收费标准，本年度没有产生信息公开处理费。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640"/>
        <w:jc w:val="both"/>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640"/>
        <w:jc w:val="right"/>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舒城县春秋乡人民政府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5120"/>
        <w:jc w:val="right"/>
        <w:rPr>
          <w:rFonts w:hint="eastAsia" w:ascii="微软雅黑" w:hAnsi="微软雅黑" w:eastAsia="微软雅黑" w:cs="微软雅黑"/>
          <w:i w:val="0"/>
          <w:iCs w:val="0"/>
          <w:caps w:val="0"/>
          <w:color w:val="auto"/>
          <w:spacing w:val="0"/>
          <w:sz w:val="21"/>
          <w:szCs w:val="21"/>
          <w:shd w:val="clear" w:color="auto" w:fill="auto"/>
        </w:rPr>
      </w:pPr>
      <w:r>
        <w:rPr>
          <w:rFonts w:hint="default" w:ascii="仿宋_GB2312" w:hAnsi="微软雅黑" w:eastAsia="仿宋_GB2312" w:cs="仿宋_GB2312"/>
          <w:i w:val="0"/>
          <w:iCs w:val="0"/>
          <w:caps w:val="0"/>
          <w:color w:val="auto"/>
          <w:spacing w:val="0"/>
          <w:kern w:val="0"/>
          <w:sz w:val="32"/>
          <w:szCs w:val="32"/>
          <w:shd w:val="clear" w:color="auto" w:fill="auto"/>
          <w:lang w:val="en-US" w:eastAsia="zh-CN" w:bidi="ar"/>
        </w:rPr>
        <w:t>2022年1月20日 </w:t>
      </w:r>
    </w:p>
    <w:p>
      <w:pPr>
        <w:shd w:val="clear"/>
        <w:ind w:firstLine="640" w:firstLineChars="200"/>
        <w:rPr>
          <w:rFonts w:hint="eastAsia" w:ascii="宋体" w:hAnsi="宋体" w:eastAsia="宋体" w:cs="宋体"/>
          <w:i w:val="0"/>
          <w:iCs w:val="0"/>
          <w:caps w:val="0"/>
          <w:color w:val="auto"/>
          <w:spacing w:val="0"/>
          <w:kern w:val="0"/>
          <w:sz w:val="32"/>
          <w:szCs w:val="32"/>
          <w:shd w:val="clear" w:color="auto" w:fill="auto"/>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hYjM2ZmI5NTNkODIzZTZlZDRiNzI2YWVhN2NhMmIifQ=="/>
  </w:docVars>
  <w:rsids>
    <w:rsidRoot w:val="47EE2013"/>
    <w:rsid w:val="0282512E"/>
    <w:rsid w:val="041871BE"/>
    <w:rsid w:val="06DC5D25"/>
    <w:rsid w:val="07E672B3"/>
    <w:rsid w:val="088703A8"/>
    <w:rsid w:val="09B6A5D4"/>
    <w:rsid w:val="0B5A426E"/>
    <w:rsid w:val="0BEA55C0"/>
    <w:rsid w:val="0ED031A4"/>
    <w:rsid w:val="12BF3BCB"/>
    <w:rsid w:val="15C44EC6"/>
    <w:rsid w:val="17471B44"/>
    <w:rsid w:val="17C50E60"/>
    <w:rsid w:val="1976408A"/>
    <w:rsid w:val="23D74548"/>
    <w:rsid w:val="25CA3B84"/>
    <w:rsid w:val="2A8B0275"/>
    <w:rsid w:val="2F031213"/>
    <w:rsid w:val="36444970"/>
    <w:rsid w:val="3DD464FE"/>
    <w:rsid w:val="41B86E98"/>
    <w:rsid w:val="47EE2013"/>
    <w:rsid w:val="484902A1"/>
    <w:rsid w:val="4B390637"/>
    <w:rsid w:val="530C2C81"/>
    <w:rsid w:val="564753F9"/>
    <w:rsid w:val="59686B4C"/>
    <w:rsid w:val="5F7933BE"/>
    <w:rsid w:val="647E165C"/>
    <w:rsid w:val="64F26C78"/>
    <w:rsid w:val="6AC36043"/>
    <w:rsid w:val="72DD253E"/>
    <w:rsid w:val="73C67553"/>
    <w:rsid w:val="78A35275"/>
    <w:rsid w:val="7EBEFAB1"/>
    <w:rsid w:val="7EFB2BF7"/>
    <w:rsid w:val="7F792F33"/>
    <w:rsid w:val="7FFE4FEB"/>
    <w:rsid w:val="ABFFCE89"/>
    <w:rsid w:val="BED7B894"/>
    <w:rsid w:val="D7EFF763"/>
    <w:rsid w:val="DAFF4BBB"/>
    <w:rsid w:val="DFF50CF6"/>
    <w:rsid w:val="F3D7C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2370</Words>
  <Characters>2449</Characters>
  <Lines>0</Lines>
  <Paragraphs>0</Paragraphs>
  <TotalTime>56</TotalTime>
  <ScaleCrop>false</ScaleCrop>
  <LinksUpToDate>false</LinksUpToDate>
  <CharactersWithSpaces>2456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2022-01-11T10:22:00Z</dcterms:created>
  <dc:creator>WPS_1615096217</dc:creator>
  <cp:lastModifiedBy>椿野</cp:lastModifiedBy>
  <cp:lastPrinted>2022-01-20T16:26:00Z</cp:lastPrinted>
  <dcterms:modified xsi:type="dcterms:W3CDTF">2023-07-04T01:37:39Z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12E961E70E2F4E5E85C30D9E57B4276F_13</vt:lpwstr>
  </property>
</Properties>
</file>