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ascii="方正小标宋简体" w:eastAsia="方正小标宋简体"/>
          <w:spacing w:val="-8"/>
          <w:sz w:val="44"/>
          <w:szCs w:val="44"/>
        </w:rPr>
      </w:pPr>
      <w:r>
        <w:rPr>
          <w:rFonts w:hint="eastAsia" w:ascii="方正小标宋简体" w:eastAsia="方正小标宋简体"/>
          <w:spacing w:val="-8"/>
          <w:sz w:val="44"/>
          <w:szCs w:val="44"/>
        </w:rPr>
        <w:t>舒城县自然资源和规划局2022年政府</w:t>
      </w:r>
    </w:p>
    <w:p>
      <w:pPr>
        <w:pStyle w:val="4"/>
        <w:widowControl/>
        <w:shd w:val="clear" w:color="auto" w:fill="FFFFFF"/>
        <w:spacing w:beforeAutospacing="0" w:afterAutospacing="0" w:line="600" w:lineRule="exact"/>
        <w:jc w:val="center"/>
        <w:rPr>
          <w:rFonts w:hint="eastAsia" w:ascii="方正小标宋简体" w:eastAsia="方正小标宋简体"/>
          <w:spacing w:val="-8"/>
          <w:sz w:val="44"/>
          <w:szCs w:val="44"/>
        </w:rPr>
      </w:pPr>
      <w:r>
        <w:rPr>
          <w:rFonts w:hint="eastAsia" w:ascii="方正小标宋简体" w:eastAsia="方正小标宋简体"/>
          <w:spacing w:val="-8"/>
          <w:sz w:val="44"/>
          <w:szCs w:val="44"/>
        </w:rPr>
        <w:t>信息公开工作年度报告</w:t>
      </w:r>
    </w:p>
    <w:p>
      <w:pPr>
        <w:pStyle w:val="4"/>
        <w:widowControl/>
        <w:shd w:val="clear" w:color="auto" w:fill="FFFFFF"/>
        <w:spacing w:beforeAutospacing="0" w:afterAutospacing="0" w:line="600" w:lineRule="exact"/>
        <w:jc w:val="center"/>
        <w:rPr>
          <w:rFonts w:ascii="方正小标宋简体" w:eastAsia="方正小标宋简体"/>
          <w:spacing w:val="-8"/>
          <w:sz w:val="44"/>
          <w:szCs w:val="44"/>
        </w:rPr>
      </w:pP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本报告根据《中华人民共和国政府信息公开条例》（国务院令第711号）文件要求，结合我局政府信息公开工作有关统计数据撰写。报告全文主要包括：总体情况、主动公开政府信息情况、收到和处理政府信息公开申请情况、政府信息公开行政复议和行政诉讼情况、政府信息公开工作存在主要问题及改进情况和其他需要报告事项。本报告中使用数据统计期限为2022年1月1日至12月31日。本年度报告电子版年度报告可在舒城县人民政府官方网站及县自然资源局信息公开模块下载查阅。如有疑问，请与舒城县自然资源和规划局联系，联系方式：0564-8620867。现将2021年县自然资源局政府信息公开工作报告如下：</w:t>
      </w:r>
    </w:p>
    <w:p>
      <w:pPr>
        <w:pStyle w:val="4"/>
        <w:widowControl/>
        <w:shd w:val="clear" w:color="auto" w:fill="FFFFFF"/>
        <w:spacing w:beforeAutospacing="0" w:afterAutospacing="0" w:line="600" w:lineRule="exact"/>
        <w:ind w:firstLine="608" w:firstLineChars="200"/>
        <w:jc w:val="both"/>
        <w:rPr>
          <w:rFonts w:ascii="黑体" w:hAnsi="黑体" w:eastAsia="黑体" w:cs="宋体"/>
          <w:bCs/>
          <w:color w:val="333333"/>
          <w:spacing w:val="-8"/>
          <w:sz w:val="32"/>
          <w:szCs w:val="32"/>
          <w:shd w:val="clear" w:color="auto" w:fill="FFFFFF"/>
        </w:rPr>
      </w:pPr>
      <w:r>
        <w:rPr>
          <w:rFonts w:hint="eastAsia" w:ascii="黑体" w:hAnsi="黑体" w:eastAsia="黑体" w:cs="宋体"/>
          <w:bCs/>
          <w:color w:val="333333"/>
          <w:spacing w:val="-8"/>
          <w:sz w:val="32"/>
          <w:szCs w:val="32"/>
          <w:shd w:val="clear" w:color="auto" w:fill="FFFFFF"/>
        </w:rPr>
        <w:t>一、总体情况</w:t>
      </w: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2022年舒城县自然资源和规划局准确执行新修订的《中华人民共和国政府信息公开条例》，畅通信息公开渠道，不断规范政府信息公开内容，扎实推进政府信息公开工作。</w:t>
      </w:r>
    </w:p>
    <w:p>
      <w:pPr>
        <w:pStyle w:val="4"/>
        <w:widowControl/>
        <w:numPr>
          <w:ilvl w:val="0"/>
          <w:numId w:val="1"/>
        </w:numPr>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主动公开。2022年，舒城县自然资源和规划局主动公开部门工作动态，基本实现涉及领域全覆盖。依据政务公开工作要求，积极在政府网站公开各类政府信息1400条。其中：国家基层试点成果推广应用类151；重大决策预公开类3条；建议提案办理类8条；机构领导19条；机构设置24条；财政资金19条；行政权力运行类144条；重点领域公开类共295条；其他各类信息共计737条。并且按时完成本单位行政规范性文件格式统一规范工作。</w:t>
      </w:r>
    </w:p>
    <w:p>
      <w:pPr>
        <w:pStyle w:val="4"/>
        <w:widowControl/>
        <w:numPr>
          <w:ilvl w:val="0"/>
          <w:numId w:val="1"/>
        </w:numPr>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依申请公开。舒城县自然资源和规划局政府信息依申请公开渠道畅通，受理公众通过当面、网络、信件等方式提交政府信息公开申请，依法保障公民、法人和其他组织获取政府信息的权利。2022年县自然资源和规划局共办理依申请公开事项11件，均已按时办结，并以申请人要求的方式答复。全年本机关依申请提供政府信息，未收取任何费用。</w:t>
      </w:r>
    </w:p>
    <w:p>
      <w:pPr>
        <w:pStyle w:val="4"/>
        <w:widowControl/>
        <w:numPr>
          <w:ilvl w:val="0"/>
          <w:numId w:val="1"/>
        </w:numPr>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bookmarkStart w:id="0" w:name="_GoBack"/>
      <w:bookmarkEnd w:id="0"/>
      <w:r>
        <w:rPr>
          <w:rFonts w:hint="eastAsia" w:ascii="仿宋_GB2312" w:hAnsi="宋体" w:eastAsia="仿宋_GB2312" w:cs="宋体"/>
          <w:color w:val="333333"/>
          <w:spacing w:val="-8"/>
          <w:sz w:val="32"/>
          <w:szCs w:val="32"/>
          <w:shd w:val="clear" w:color="auto" w:fill="FFFFFF"/>
        </w:rPr>
        <w:t>政府信息管理。</w:t>
      </w: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1.明确职责。严格落实信息发布“三审制”，明确信息发布责任股室，对股室提供的信息严格审查，推动了信息公开工作制度化、规范化的工作机制，保障了政府信息公开各项工作按时间节点顺利推进。</w:t>
      </w: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2.整改反馈。</w:t>
      </w:r>
      <w:r>
        <w:rPr>
          <w:rFonts w:ascii="仿宋_GB2312" w:hAnsi="宋体" w:eastAsia="仿宋_GB2312" w:cs="宋体"/>
          <w:color w:val="333333"/>
          <w:spacing w:val="-8"/>
          <w:sz w:val="32"/>
          <w:szCs w:val="32"/>
          <w:shd w:val="clear" w:color="auto" w:fill="FFFFFF"/>
        </w:rPr>
        <w:t>结合日常巡查、互查、第三方检测，认真做好监测问题的反馈，对存在的问题及时提出解决办法，抓好反馈问题的整改落实，提升工作效果，推动政务公开工作落实到实处。202</w:t>
      </w:r>
      <w:r>
        <w:rPr>
          <w:rFonts w:hint="eastAsia" w:ascii="仿宋_GB2312" w:hAnsi="宋体" w:eastAsia="仿宋_GB2312" w:cs="宋体"/>
          <w:color w:val="333333"/>
          <w:spacing w:val="-8"/>
          <w:sz w:val="32"/>
          <w:szCs w:val="32"/>
          <w:shd w:val="clear" w:color="auto" w:fill="FFFFFF"/>
        </w:rPr>
        <w:t>2</w:t>
      </w:r>
      <w:r>
        <w:rPr>
          <w:rFonts w:ascii="仿宋_GB2312" w:hAnsi="宋体" w:eastAsia="仿宋_GB2312" w:cs="宋体"/>
          <w:color w:val="333333"/>
          <w:spacing w:val="-8"/>
          <w:sz w:val="32"/>
          <w:szCs w:val="32"/>
          <w:shd w:val="clear" w:color="auto" w:fill="FFFFFF"/>
        </w:rPr>
        <w:t>年全局共落实整改</w:t>
      </w:r>
      <w:r>
        <w:rPr>
          <w:rFonts w:hint="eastAsia" w:ascii="仿宋_GB2312" w:hAnsi="宋体" w:eastAsia="仿宋_GB2312" w:cs="宋体"/>
          <w:color w:val="333333"/>
          <w:spacing w:val="-8"/>
          <w:sz w:val="32"/>
          <w:szCs w:val="32"/>
          <w:shd w:val="clear" w:color="auto" w:fill="FFFFFF"/>
        </w:rPr>
        <w:t>4</w:t>
      </w:r>
      <w:r>
        <w:rPr>
          <w:rFonts w:ascii="仿宋_GB2312" w:hAnsi="宋体" w:eastAsia="仿宋_GB2312" w:cs="宋体"/>
          <w:color w:val="333333"/>
          <w:spacing w:val="-8"/>
          <w:sz w:val="32"/>
          <w:szCs w:val="32"/>
          <w:shd w:val="clear" w:color="auto" w:fill="FFFFFF"/>
        </w:rPr>
        <w:t>次，并撰写相应整改报告；完成历年来规范性文件</w:t>
      </w:r>
      <w:r>
        <w:rPr>
          <w:rFonts w:hint="eastAsia" w:ascii="仿宋_GB2312" w:hAnsi="宋体" w:eastAsia="仿宋_GB2312" w:cs="宋体"/>
          <w:spacing w:val="-8"/>
          <w:sz w:val="32"/>
          <w:szCs w:val="32"/>
          <w:shd w:val="clear" w:color="auto" w:fill="FFFFFF"/>
        </w:rPr>
        <w:t>格式调整、</w:t>
      </w:r>
      <w:r>
        <w:rPr>
          <w:rFonts w:hint="eastAsia" w:ascii="仿宋_GB2312" w:hAnsi="宋体" w:eastAsia="仿宋_GB2312" w:cs="宋体"/>
          <w:color w:val="333333"/>
          <w:spacing w:val="-8"/>
          <w:sz w:val="32"/>
          <w:szCs w:val="32"/>
          <w:shd w:val="clear" w:color="auto" w:fill="FFFFFF"/>
        </w:rPr>
        <w:t>权责清单调整等工作</w:t>
      </w:r>
      <w:r>
        <w:rPr>
          <w:rFonts w:ascii="仿宋_GB2312" w:hAnsi="宋体" w:eastAsia="仿宋_GB2312" w:cs="宋体"/>
          <w:color w:val="333333"/>
          <w:spacing w:val="-8"/>
          <w:sz w:val="32"/>
          <w:szCs w:val="32"/>
          <w:shd w:val="clear" w:color="auto" w:fill="FFFFFF"/>
        </w:rPr>
        <w:t>。</w:t>
      </w: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四）政府信息公开平台建设。为规范政府信息公开平台，按照上级部门要求并结合县自然资源局实际情况，2022年持续优化信息公开平台栏目设置，调整相关栏目设置，做好对新增栏目的信息维护，对自然资源信息栏目进一步细化，便于公众查阅。</w:t>
      </w:r>
    </w:p>
    <w:p>
      <w:pPr>
        <w:pStyle w:val="4"/>
        <w:widowControl/>
        <w:shd w:val="clear" w:color="auto" w:fill="FFFFFF"/>
        <w:spacing w:beforeAutospacing="0" w:afterAutospacing="0" w:line="560" w:lineRule="exact"/>
        <w:ind w:firstLine="608" w:firstLineChars="200"/>
        <w:jc w:val="both"/>
        <w:rPr>
          <w:rFonts w:ascii="仿宋_GB2312" w:hAnsi="宋体" w:eastAsia="仿宋_GB2312" w:cs="宋体"/>
          <w:color w:val="333333"/>
          <w:spacing w:val="-8"/>
          <w:sz w:val="32"/>
          <w:szCs w:val="32"/>
          <w:shd w:val="clear" w:color="auto" w:fill="FFFFFF"/>
        </w:rPr>
      </w:pPr>
      <w:r>
        <w:rPr>
          <w:rFonts w:hint="eastAsia" w:ascii="仿宋_GB2312" w:hAnsi="宋体" w:eastAsia="仿宋_GB2312" w:cs="宋体"/>
          <w:color w:val="333333"/>
          <w:spacing w:val="-8"/>
          <w:sz w:val="32"/>
          <w:szCs w:val="32"/>
          <w:shd w:val="clear" w:color="auto" w:fill="FFFFFF"/>
        </w:rPr>
        <w:t>（五）监督保障。成立以主要领导牵头，分管领导负责，业务股室配合，经办人具体经办的工作班子，认真做好各级检查反馈和自查发现问题的整改工作,对于检查反馈和自查发现的问题及时梳理，对照测评指标严格落实整改，扎实推进政府信息公开工作落到实处。</w:t>
      </w:r>
      <w:r>
        <w:rPr>
          <w:rFonts w:ascii="仿宋_GB2312" w:hAnsi="宋体" w:eastAsia="仿宋_GB2312" w:cs="仿宋_GB2312"/>
          <w:i w:val="0"/>
          <w:iCs w:val="0"/>
          <w:caps w:val="0"/>
          <w:color w:val="333333"/>
          <w:spacing w:val="0"/>
          <w:sz w:val="32"/>
          <w:szCs w:val="32"/>
          <w:shd w:val="clear" w:fill="FFFFFF"/>
        </w:rPr>
        <w:t>严格落实工作考核、社会评议和责任追究制度</w:t>
      </w:r>
      <w:r>
        <w:rPr>
          <w:rFonts w:hint="eastAsia" w:ascii="仿宋_GB2312" w:hAnsi="宋体" w:eastAsia="仿宋_GB2312" w:cs="仿宋_GB2312"/>
          <w:i w:val="0"/>
          <w:iCs w:val="0"/>
          <w:caps w:val="0"/>
          <w:color w:val="333333"/>
          <w:spacing w:val="0"/>
          <w:sz w:val="32"/>
          <w:szCs w:val="32"/>
          <w:shd w:val="clear" w:fill="FFFFFF"/>
          <w:lang w:eastAsia="zh-CN"/>
        </w:rPr>
        <w:t>，</w:t>
      </w:r>
      <w:r>
        <w:rPr>
          <w:rFonts w:hint="eastAsia" w:ascii="仿宋_GB2312" w:hAnsi="宋体" w:eastAsia="仿宋_GB2312" w:cs="宋体"/>
          <w:color w:val="333333"/>
          <w:spacing w:val="-8"/>
          <w:sz w:val="32"/>
          <w:szCs w:val="32"/>
          <w:shd w:val="clear" w:color="auto" w:fill="FFFFFF"/>
        </w:rPr>
        <w:t>2022年度</w:t>
      </w:r>
      <w:r>
        <w:rPr>
          <w:rFonts w:hint="eastAsia" w:ascii="仿宋_GB2312" w:hAnsi="宋体" w:eastAsia="仿宋_GB2312" w:cs="宋体"/>
          <w:color w:val="333333"/>
          <w:spacing w:val="-8"/>
          <w:sz w:val="32"/>
          <w:szCs w:val="32"/>
          <w:shd w:val="clear" w:color="auto" w:fill="FFFFFF"/>
          <w:lang w:eastAsia="zh-CN"/>
        </w:rPr>
        <w:t>舒城县自然资源和规划局在</w:t>
      </w:r>
      <w:r>
        <w:rPr>
          <w:rFonts w:hint="eastAsia" w:ascii="仿宋_GB2312" w:hAnsi="宋体" w:eastAsia="仿宋_GB2312" w:cs="宋体"/>
          <w:color w:val="333333"/>
          <w:spacing w:val="-8"/>
          <w:sz w:val="32"/>
          <w:szCs w:val="32"/>
          <w:shd w:val="clear" w:color="auto" w:fill="FFFFFF"/>
        </w:rPr>
        <w:t>全县信息公开工作</w:t>
      </w:r>
      <w:r>
        <w:rPr>
          <w:rFonts w:hint="eastAsia" w:ascii="仿宋_GB2312" w:hAnsi="宋体" w:eastAsia="仿宋_GB2312" w:cs="宋体"/>
          <w:color w:val="333333"/>
          <w:spacing w:val="-8"/>
          <w:sz w:val="32"/>
          <w:szCs w:val="32"/>
          <w:shd w:val="clear" w:color="auto" w:fill="FFFFFF"/>
          <w:lang w:eastAsia="zh-CN"/>
        </w:rPr>
        <w:t>各季度</w:t>
      </w:r>
      <w:r>
        <w:rPr>
          <w:rFonts w:hint="eastAsia" w:ascii="仿宋_GB2312" w:hAnsi="宋体" w:eastAsia="仿宋_GB2312" w:cs="宋体"/>
          <w:color w:val="333333"/>
          <w:spacing w:val="-8"/>
          <w:sz w:val="32"/>
          <w:szCs w:val="32"/>
          <w:shd w:val="clear" w:color="auto" w:fill="FFFFFF"/>
        </w:rPr>
        <w:t>考核中</w:t>
      </w:r>
      <w:r>
        <w:rPr>
          <w:rFonts w:hint="eastAsia" w:ascii="仿宋_GB2312" w:hAnsi="宋体" w:eastAsia="仿宋_GB2312" w:cs="宋体"/>
          <w:color w:val="333333"/>
          <w:spacing w:val="-8"/>
          <w:sz w:val="32"/>
          <w:szCs w:val="32"/>
          <w:shd w:val="clear" w:color="auto" w:fill="FFFFFF"/>
          <w:lang w:eastAsia="zh-CN"/>
        </w:rPr>
        <w:t>等次较好，</w:t>
      </w:r>
      <w:r>
        <w:rPr>
          <w:rFonts w:hint="eastAsia" w:ascii="仿宋_GB2312" w:hAnsi="宋体" w:eastAsia="仿宋_GB2312" w:cs="宋体"/>
          <w:color w:val="333333"/>
          <w:spacing w:val="-8"/>
          <w:sz w:val="32"/>
          <w:szCs w:val="32"/>
          <w:shd w:val="clear" w:color="auto" w:fill="FFFFFF"/>
        </w:rPr>
        <w:t>自觉接受各单位和群众的社会监督、社会评议。全年未发生政务公开责任追究情况。</w:t>
      </w:r>
    </w:p>
    <w:p>
      <w:pPr>
        <w:pStyle w:val="4"/>
        <w:widowControl/>
        <w:shd w:val="clear" w:color="auto" w:fill="FFFFFF"/>
        <w:spacing w:beforeAutospacing="0" w:afterAutospacing="0" w:line="600" w:lineRule="exact"/>
        <w:ind w:firstLine="420"/>
        <w:jc w:val="center"/>
        <w:rPr>
          <w:rFonts w:ascii="黑体" w:hAnsi="黑体" w:eastAsia="黑体" w:cs="宋体"/>
          <w:bCs/>
          <w:color w:val="333333"/>
          <w:spacing w:val="-8"/>
          <w:sz w:val="32"/>
          <w:szCs w:val="32"/>
          <w:shd w:val="clear" w:color="auto" w:fill="FFFFFF"/>
        </w:rPr>
      </w:pPr>
      <w:r>
        <w:rPr>
          <w:rFonts w:hint="eastAsia" w:ascii="黑体" w:hAnsi="黑体" w:eastAsia="黑体" w:cs="宋体"/>
          <w:bCs/>
          <w:color w:val="333333"/>
          <w:spacing w:val="-8"/>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本年</w:t>
            </w:r>
            <w:r>
              <w:rPr>
                <w:rFonts w:hint="eastAsia" w:ascii="宋体" w:hAnsi="宋体" w:eastAsia="宋体" w:cs="宋体"/>
                <w:spacing w:val="-8"/>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现行有效件</w:t>
            </w:r>
            <w:r>
              <w:rPr>
                <w:rFonts w:hint="eastAsia" w:ascii="宋体" w:hAnsi="宋体" w:eastAsia="宋体" w:cs="宋体"/>
                <w:spacing w:val="-8"/>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color w:val="000000"/>
                <w:spacing w:val="-8"/>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color w:val="000000"/>
                <w:spacing w:val="-8"/>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本年处理决定数量</w:t>
            </w:r>
          </w:p>
        </w:tc>
      </w:tr>
      <w:tr>
        <w:tblPrEx>
          <w:tblCellMar>
            <w:top w:w="0" w:type="dxa"/>
            <w:left w:w="0" w:type="dxa"/>
            <w:bottom w:w="0" w:type="dxa"/>
            <w:right w:w="0" w:type="dxa"/>
          </w:tblCellMar>
        </w:tblPrEx>
        <w:trPr>
          <w:trHeight w:val="31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144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color w:val="000000"/>
                <w:spacing w:val="-8"/>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color w:val="000000"/>
                <w:spacing w:val="-8"/>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color w:val="000000"/>
                <w:spacing w:val="-8"/>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pacing w:line="600" w:lineRule="exact"/>
              <w:jc w:val="center"/>
              <w:rPr>
                <w:rFonts w:ascii="宋体"/>
                <w:spacing w:val="-8"/>
                <w:sz w:val="24"/>
              </w:rPr>
            </w:pPr>
            <w:r>
              <w:rPr>
                <w:rFonts w:hint="eastAsia" w:ascii="宋体"/>
                <w:spacing w:val="-8"/>
                <w:sz w:val="24"/>
              </w:rPr>
              <w:t>410.045201</w:t>
            </w:r>
          </w:p>
        </w:tc>
      </w:tr>
    </w:tbl>
    <w:p>
      <w:pPr>
        <w:widowControl/>
        <w:spacing w:line="600" w:lineRule="exact"/>
        <w:jc w:val="left"/>
        <w:rPr>
          <w:spacing w:val="-8"/>
        </w:rPr>
      </w:pPr>
    </w:p>
    <w:p>
      <w:pPr>
        <w:pStyle w:val="4"/>
        <w:widowControl/>
        <w:shd w:val="clear" w:color="auto" w:fill="FFFFFF"/>
        <w:spacing w:beforeAutospacing="0" w:afterAutospacing="0" w:line="600" w:lineRule="exact"/>
        <w:ind w:firstLine="420"/>
        <w:jc w:val="both"/>
        <w:rPr>
          <w:rFonts w:ascii="黑体" w:hAnsi="黑体" w:eastAsia="黑体" w:cs="宋体"/>
          <w:bCs/>
          <w:color w:val="333333"/>
          <w:spacing w:val="-8"/>
          <w:sz w:val="32"/>
          <w:szCs w:val="32"/>
          <w:shd w:val="clear" w:color="auto" w:fill="FFFFFF"/>
        </w:rPr>
      </w:pPr>
      <w:r>
        <w:rPr>
          <w:rFonts w:hint="eastAsia" w:ascii="黑体" w:hAnsi="黑体" w:eastAsia="黑体" w:cs="宋体"/>
          <w:bCs/>
          <w:color w:val="333333"/>
          <w:spacing w:val="-8"/>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4"/>
        <w:gridCol w:w="939"/>
        <w:gridCol w:w="3205"/>
        <w:gridCol w:w="686"/>
        <w:gridCol w:w="692"/>
        <w:gridCol w:w="692"/>
        <w:gridCol w:w="692"/>
        <w:gridCol w:w="692"/>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600" w:lineRule="exact"/>
              <w:jc w:val="left"/>
              <w:rPr>
                <w:spacing w:val="-8"/>
              </w:rPr>
            </w:pPr>
            <w:r>
              <w:rPr>
                <w:rFonts w:ascii="宋体" w:hAnsi="宋体" w:eastAsia="宋体" w:cs="宋体"/>
                <w:spacing w:val="-8"/>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商业</w:t>
            </w:r>
          </w:p>
          <w:p>
            <w:pPr>
              <w:widowControl/>
              <w:spacing w:line="600" w:lineRule="exact"/>
              <w:jc w:val="center"/>
              <w:rPr>
                <w:spacing w:val="-8"/>
              </w:rPr>
            </w:pPr>
            <w:r>
              <w:rPr>
                <w:rFonts w:hint="eastAsia" w:ascii="宋体" w:hAnsi="宋体" w:eastAsia="宋体" w:cs="宋体"/>
                <w:spacing w:val="-8"/>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科研</w:t>
            </w:r>
          </w:p>
          <w:p>
            <w:pPr>
              <w:widowControl/>
              <w:spacing w:line="600" w:lineRule="exact"/>
              <w:jc w:val="center"/>
              <w:rPr>
                <w:spacing w:val="-8"/>
              </w:rPr>
            </w:pPr>
            <w:r>
              <w:rPr>
                <w:rFonts w:hint="eastAsia" w:ascii="宋体" w:hAnsi="宋体" w:eastAsia="宋体" w:cs="宋体"/>
                <w:spacing w:val="-8"/>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eastAsia" w:eastAsiaTheme="minorEastAsia"/>
                <w:spacing w:val="-8"/>
                <w:lang w:val="en-US" w:eastAsia="zh-CN"/>
              </w:rPr>
            </w:pPr>
            <w:r>
              <w:rPr>
                <w:rFonts w:hint="eastAsia"/>
                <w:spacing w:val="-8"/>
              </w:rPr>
              <w:t>1</w:t>
            </w:r>
            <w:r>
              <w:rPr>
                <w:rFonts w:hint="eastAsia"/>
                <w:spacing w:val="-8"/>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eastAsiaTheme="minorEastAsia"/>
                <w:spacing w:val="-8"/>
                <w:lang w:val="en-US" w:eastAsia="zh-CN"/>
              </w:rPr>
            </w:pPr>
            <w:r>
              <w:rPr>
                <w:rFonts w:hint="eastAsia"/>
                <w:spacing w:val="-8"/>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3</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eastAsiaTheme="minorEastAsia"/>
                <w:spacing w:val="-8"/>
                <w:lang w:val="en-US" w:eastAsia="zh-CN"/>
              </w:rPr>
            </w:pPr>
            <w:r>
              <w:rPr>
                <w:rFonts w:hint="eastAsia"/>
                <w:spacing w:val="-8"/>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（二）部分公开</w:t>
            </w:r>
            <w:r>
              <w:rPr>
                <w:rFonts w:hint="eastAsia" w:ascii="楷体" w:hAnsi="楷体" w:eastAsia="楷体" w:cs="楷体"/>
                <w:spacing w:val="-8"/>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7</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eastAsiaTheme="minorEastAsia"/>
                <w:spacing w:val="-8"/>
                <w:lang w:val="en-US" w:eastAsia="zh-CN"/>
              </w:rPr>
            </w:pPr>
            <w:r>
              <w:rPr>
                <w:rFonts w:hint="eastAsia"/>
                <w:spacing w:val="-8"/>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eastAsiaTheme="minorEastAsia"/>
                <w:spacing w:val="-8"/>
                <w:lang w:val="en-US" w:eastAsia="zh-CN"/>
              </w:rPr>
            </w:pPr>
            <w:r>
              <w:rPr>
                <w:rFonts w:hint="eastAsia"/>
                <w:spacing w:val="-8"/>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eastAsia" w:eastAsiaTheme="minorEastAsia"/>
                <w:spacing w:val="-8"/>
                <w:lang w:val="en-US" w:eastAsia="zh-CN"/>
              </w:rPr>
            </w:pPr>
            <w:r>
              <w:rPr>
                <w:rFonts w:hint="eastAsia"/>
                <w:spacing w:val="-8"/>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left"/>
              <w:rPr>
                <w:spacing w:val="-8"/>
              </w:rPr>
            </w:pPr>
            <w:r>
              <w:rPr>
                <w:rFonts w:hint="eastAsia" w:ascii="宋体" w:hAnsi="宋体" w:eastAsia="宋体" w:cs="宋体"/>
                <w:spacing w:val="-8"/>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rPr>
                <w:spacing w:val="-8"/>
              </w:rPr>
            </w:pPr>
            <w:r>
              <w:rPr>
                <w:rFonts w:hint="eastAsia" w:ascii="宋体" w:hAnsi="宋体" w:eastAsia="宋体" w:cs="宋体"/>
                <w:spacing w:val="-8"/>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rPr>
                <w:spacing w:val="-8"/>
              </w:rPr>
            </w:pPr>
            <w:r>
              <w:rPr>
                <w:rFonts w:hint="eastAsia" w:ascii="宋体" w:hAnsi="宋体" w:eastAsia="宋体" w:cs="宋体"/>
                <w:spacing w:val="-8"/>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rPr>
                <w:spacing w:val="-8"/>
              </w:rPr>
            </w:pPr>
            <w:r>
              <w:rPr>
                <w:rFonts w:hint="eastAsia" w:ascii="宋体" w:hAnsi="宋体" w:eastAsia="宋体" w:cs="宋体"/>
                <w:spacing w:val="-8"/>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p>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spacing w:val="-8"/>
              </w:rPr>
            </w:pPr>
            <w:r>
              <w:rPr>
                <w:rFonts w:hint="eastAsia"/>
                <w:spacing w:val="-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600" w:lineRule="exact"/>
              <w:rPr>
                <w:rFonts w:ascii="宋体"/>
                <w:spacing w:val="-8"/>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rFonts w:hint="default" w:eastAsiaTheme="minorEastAsia"/>
                <w:spacing w:val="-8"/>
                <w:lang w:val="en-US" w:eastAsia="zh-CN"/>
              </w:rPr>
            </w:pPr>
            <w:r>
              <w:rPr>
                <w:rFonts w:hint="eastAsia"/>
                <w:spacing w:val="-8"/>
                <w:lang w:val="en-US" w:eastAsia="zh-CN"/>
              </w:rPr>
              <w:t>11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600" w:lineRule="exact"/>
              <w:jc w:val="center"/>
              <w:rPr>
                <w:rFonts w:hint="default" w:eastAsiaTheme="minorEastAsia"/>
                <w:spacing w:val="-8"/>
                <w:lang w:val="en-US" w:eastAsia="zh-CN"/>
              </w:rPr>
            </w:pPr>
            <w:r>
              <w:rPr>
                <w:rFonts w:hint="eastAsia"/>
                <w:spacing w:val="-8"/>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600" w:lineRule="exact"/>
              <w:jc w:val="left"/>
              <w:rPr>
                <w:spacing w:val="-8"/>
              </w:rPr>
            </w:pPr>
            <w:r>
              <w:rPr>
                <w:rFonts w:hint="eastAsia" w:ascii="宋体" w:hAnsi="宋体" w:eastAsia="宋体" w:cs="宋体"/>
                <w:spacing w:val="-8"/>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600" w:lineRule="exact"/>
              <w:jc w:val="center"/>
              <w:rPr>
                <w:spacing w:val="-8"/>
              </w:rPr>
            </w:pPr>
            <w:r>
              <w:rPr>
                <w:rFonts w:hint="eastAsia"/>
                <w:spacing w:val="-8"/>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spacing w:line="600" w:lineRule="exact"/>
              <w:jc w:val="center"/>
              <w:rPr>
                <w:rFonts w:ascii="宋体"/>
                <w:spacing w:val="-8"/>
                <w:sz w:val="24"/>
              </w:rPr>
            </w:pPr>
            <w:r>
              <w:rPr>
                <w:rFonts w:hint="eastAsia" w:ascii="宋体"/>
                <w:spacing w:val="-8"/>
                <w:sz w:val="24"/>
              </w:rPr>
              <w:t>0</w:t>
            </w:r>
          </w:p>
        </w:tc>
      </w:tr>
    </w:tbl>
    <w:p>
      <w:pPr>
        <w:widowControl/>
        <w:shd w:val="clear" w:color="auto" w:fill="FFFFFF"/>
        <w:spacing w:line="600" w:lineRule="exact"/>
        <w:rPr>
          <w:rFonts w:hint="eastAsia" w:ascii="宋体" w:hAnsi="宋体" w:eastAsia="宋体" w:cs="宋体"/>
          <w:color w:val="333333"/>
          <w:spacing w:val="-8"/>
          <w:sz w:val="16"/>
          <w:szCs w:val="16"/>
        </w:rPr>
      </w:pPr>
    </w:p>
    <w:p>
      <w:pPr>
        <w:widowControl/>
        <w:shd w:val="clear" w:color="auto" w:fill="FFFFFF"/>
        <w:spacing w:line="600" w:lineRule="exact"/>
        <w:rPr>
          <w:rFonts w:hint="eastAsia" w:ascii="宋体" w:hAnsi="宋体" w:eastAsia="宋体" w:cs="宋体"/>
          <w:color w:val="333333"/>
          <w:spacing w:val="-8"/>
          <w:sz w:val="16"/>
          <w:szCs w:val="16"/>
        </w:rPr>
      </w:pPr>
    </w:p>
    <w:p>
      <w:pPr>
        <w:widowControl/>
        <w:shd w:val="clear" w:color="auto" w:fill="FFFFFF"/>
        <w:spacing w:line="600" w:lineRule="exact"/>
        <w:rPr>
          <w:rFonts w:ascii="宋体" w:hAnsi="宋体" w:eastAsia="宋体" w:cs="宋体"/>
          <w:color w:val="333333"/>
          <w:spacing w:val="-8"/>
          <w:sz w:val="16"/>
          <w:szCs w:val="16"/>
        </w:rPr>
      </w:pPr>
    </w:p>
    <w:p>
      <w:pPr>
        <w:pStyle w:val="4"/>
        <w:widowControl/>
        <w:shd w:val="clear" w:color="auto" w:fill="FFFFFF"/>
        <w:spacing w:beforeAutospacing="0" w:afterAutospacing="0" w:line="600" w:lineRule="exact"/>
        <w:ind w:firstLine="420"/>
        <w:jc w:val="both"/>
        <w:rPr>
          <w:rFonts w:ascii="黑体" w:hAnsi="黑体" w:eastAsia="黑体" w:cs="宋体"/>
          <w:bCs/>
          <w:color w:val="333333"/>
          <w:spacing w:val="-8"/>
          <w:sz w:val="32"/>
          <w:szCs w:val="32"/>
          <w:shd w:val="clear" w:color="auto" w:fill="FFFFFF"/>
        </w:rPr>
      </w:pPr>
      <w:r>
        <w:rPr>
          <w:rFonts w:hint="eastAsia" w:ascii="黑体" w:hAnsi="黑体" w:eastAsia="黑体" w:cs="宋体"/>
          <w:bCs/>
          <w:color w:val="333333"/>
          <w:spacing w:val="-8"/>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pacing w:val="-8"/>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spacing w:val="-8"/>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ascii="宋体" w:hAnsi="宋体" w:eastAsia="宋体" w:cs="宋体"/>
                <w:color w:val="000000"/>
                <w:spacing w:val="-8"/>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rPr>
                <w:spacing w:val="-8"/>
              </w:rPr>
            </w:pPr>
            <w:r>
              <w:rPr>
                <w:rFonts w:hint="eastAsia"/>
                <w:spacing w:val="-8"/>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jc w:val="center"/>
              <w:rPr>
                <w:rFonts w:hint="eastAsia" w:ascii="宋体" w:eastAsiaTheme="minorEastAsia"/>
                <w:spacing w:val="-8"/>
                <w:sz w:val="24"/>
                <w:lang w:val="en-US" w:eastAsia="zh-CN"/>
              </w:rPr>
            </w:pPr>
            <w:r>
              <w:rPr>
                <w:rFonts w:hint="eastAsia" w:ascii="宋体"/>
                <w:spacing w:val="-8"/>
                <w:sz w:val="24"/>
                <w:lang w:val="en-US" w:eastAsia="zh-CN"/>
              </w:rPr>
              <w:t>0</w:t>
            </w:r>
          </w:p>
        </w:tc>
      </w:tr>
    </w:tbl>
    <w:p>
      <w:pPr>
        <w:widowControl/>
        <w:spacing w:line="600" w:lineRule="exact"/>
        <w:jc w:val="left"/>
        <w:rPr>
          <w:spacing w:val="-8"/>
        </w:rPr>
      </w:pPr>
    </w:p>
    <w:p>
      <w:pPr>
        <w:pStyle w:val="4"/>
        <w:widowControl/>
        <w:shd w:val="clear" w:color="auto" w:fill="FFFFFF"/>
        <w:spacing w:beforeAutospacing="0" w:afterAutospacing="0" w:line="600" w:lineRule="exact"/>
        <w:ind w:firstLine="420"/>
        <w:jc w:val="both"/>
        <w:rPr>
          <w:rFonts w:ascii="黑体" w:hAnsi="黑体" w:eastAsia="黑体" w:cs="宋体"/>
          <w:bCs/>
          <w:color w:val="333333"/>
          <w:spacing w:val="-8"/>
          <w:sz w:val="32"/>
          <w:szCs w:val="32"/>
          <w:shd w:val="clear" w:color="auto" w:fill="FFFFFF"/>
        </w:rPr>
      </w:pPr>
      <w:r>
        <w:rPr>
          <w:rFonts w:hint="eastAsia" w:ascii="黑体" w:hAnsi="黑体" w:eastAsia="黑体" w:cs="宋体"/>
          <w:bCs/>
          <w:color w:val="333333"/>
          <w:spacing w:val="-8"/>
          <w:sz w:val="32"/>
          <w:szCs w:val="32"/>
          <w:shd w:val="clear" w:color="auto" w:fill="FFFFFF"/>
        </w:rPr>
        <w:t>五、存在的主要问题及改进情况</w:t>
      </w: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bCs/>
          <w:color w:val="333333"/>
          <w:spacing w:val="-8"/>
          <w:sz w:val="32"/>
          <w:szCs w:val="32"/>
          <w:shd w:val="clear" w:color="auto" w:fill="FFFFFF"/>
        </w:rPr>
      </w:pPr>
      <w:r>
        <w:rPr>
          <w:rFonts w:hint="eastAsia" w:ascii="仿宋_GB2312" w:hAnsi="宋体" w:eastAsia="仿宋_GB2312" w:cs="宋体"/>
          <w:bCs/>
          <w:color w:val="333333"/>
          <w:spacing w:val="-8"/>
          <w:sz w:val="32"/>
          <w:szCs w:val="32"/>
          <w:shd w:val="clear" w:color="auto" w:fill="FFFFFF"/>
        </w:rPr>
        <w:t>县自然资源部门政府信息公开工作虽然取得了一些成效，但还存在一定的问题，一是政策解读和回应群众关切需要进一步加强，少数政策解读主体和解读形式较单一；二是政务公开的队伍需要进一步充实，工作人员的政府信息公开的思想认识有待提高。</w:t>
      </w:r>
    </w:p>
    <w:p>
      <w:pPr>
        <w:pStyle w:val="4"/>
        <w:widowControl/>
        <w:shd w:val="clear" w:color="auto" w:fill="FFFFFF"/>
        <w:spacing w:beforeAutospacing="0" w:afterAutospacing="0" w:line="600" w:lineRule="exact"/>
        <w:ind w:firstLine="608" w:firstLineChars="200"/>
        <w:jc w:val="both"/>
        <w:rPr>
          <w:rFonts w:ascii="仿宋_GB2312" w:hAnsi="宋体" w:eastAsia="仿宋_GB2312" w:cs="宋体"/>
          <w:bCs/>
          <w:color w:val="333333"/>
          <w:spacing w:val="-8"/>
          <w:sz w:val="32"/>
          <w:szCs w:val="32"/>
          <w:shd w:val="clear" w:color="auto" w:fill="FFFFFF"/>
        </w:rPr>
      </w:pPr>
      <w:r>
        <w:rPr>
          <w:rFonts w:hint="eastAsia" w:ascii="仿宋_GB2312" w:hAnsi="宋体" w:eastAsia="仿宋_GB2312" w:cs="宋体"/>
          <w:bCs/>
          <w:color w:val="333333"/>
          <w:spacing w:val="-8"/>
          <w:sz w:val="32"/>
          <w:szCs w:val="32"/>
          <w:shd w:val="clear" w:color="auto" w:fill="FFFFFF"/>
        </w:rPr>
        <w:t>针对上述问题，将从以下方面积极改进：一是以政策解读为着力点持续发力。坚持解读材料与政策文件同步，通过政府网站等渠道和图表图解等形式开展政策解读，及时提供政策服务咨询，主动回应社会关切。二是加强业务培训，对单位经办人员进行政府信息公开工作培训，切实增强工作人员对信息公开工作重要性的认识，提升对信息公开工作的处理能力。</w:t>
      </w:r>
    </w:p>
    <w:p>
      <w:pPr>
        <w:pStyle w:val="4"/>
        <w:widowControl/>
        <w:shd w:val="clear" w:color="auto" w:fill="FFFFFF"/>
        <w:spacing w:beforeAutospacing="0" w:afterAutospacing="0" w:line="600" w:lineRule="exact"/>
        <w:ind w:firstLine="420"/>
        <w:jc w:val="both"/>
        <w:rPr>
          <w:rFonts w:ascii="黑体" w:hAnsi="黑体" w:eastAsia="黑体" w:cs="宋体"/>
          <w:bCs/>
          <w:color w:val="333333"/>
          <w:spacing w:val="-8"/>
          <w:sz w:val="32"/>
          <w:szCs w:val="32"/>
          <w:shd w:val="clear" w:color="auto" w:fill="FFFFFF"/>
        </w:rPr>
      </w:pPr>
      <w:r>
        <w:rPr>
          <w:rFonts w:hint="eastAsia" w:ascii="黑体" w:hAnsi="黑体" w:eastAsia="黑体" w:cs="宋体"/>
          <w:bCs/>
          <w:color w:val="333333"/>
          <w:spacing w:val="-8"/>
          <w:sz w:val="32"/>
          <w:szCs w:val="32"/>
          <w:shd w:val="clear" w:color="auto" w:fill="FFFFFF"/>
        </w:rPr>
        <w:t>六、其他需要报告的事项</w:t>
      </w:r>
    </w:p>
    <w:p>
      <w:pPr>
        <w:pStyle w:val="4"/>
        <w:widowControl/>
        <w:shd w:val="clear" w:color="auto" w:fill="FFFFFF"/>
        <w:spacing w:beforeAutospacing="0" w:afterAutospacing="0" w:line="600" w:lineRule="exact"/>
        <w:ind w:firstLine="608" w:firstLineChars="200"/>
        <w:jc w:val="both"/>
        <w:rPr>
          <w:rFonts w:hint="eastAsia" w:ascii="仿宋_GB2312" w:hAnsi="宋体" w:eastAsia="仿宋_GB2312" w:cs="宋体"/>
          <w:bCs/>
          <w:color w:val="333333"/>
          <w:spacing w:val="-8"/>
          <w:sz w:val="32"/>
          <w:szCs w:val="32"/>
          <w:shd w:val="clear" w:color="auto" w:fill="FFFFFF"/>
        </w:rPr>
      </w:pPr>
      <w:r>
        <w:rPr>
          <w:rFonts w:hint="eastAsia" w:ascii="仿宋_GB2312" w:hAnsi="宋体" w:eastAsia="仿宋_GB2312" w:cs="宋体"/>
          <w:bCs/>
          <w:color w:val="333333"/>
          <w:spacing w:val="-8"/>
          <w:sz w:val="32"/>
          <w:szCs w:val="32"/>
          <w:shd w:val="clear" w:color="auto" w:fill="FFFFFF"/>
        </w:rPr>
        <w:t>按照《国务院办公厅关于印发</w:t>
      </w:r>
      <w:r>
        <w:rPr>
          <w:rFonts w:hint="eastAsia" w:ascii="楷体_GB2312" w:hAnsi="楷体_GB2312" w:eastAsia="楷体_GB2312" w:cs="楷体_GB2312"/>
          <w:bCs/>
          <w:color w:val="333333"/>
          <w:spacing w:val="-8"/>
          <w:sz w:val="32"/>
          <w:szCs w:val="32"/>
          <w:shd w:val="clear" w:color="auto" w:fill="FFFFFF"/>
        </w:rPr>
        <w:t>&lt;</w:t>
      </w:r>
      <w:r>
        <w:rPr>
          <w:rFonts w:hint="eastAsia" w:ascii="仿宋_GB2312" w:hAnsi="仿宋_GB2312" w:eastAsia="仿宋_GB2312" w:cs="仿宋_GB2312"/>
          <w:bCs/>
          <w:color w:val="333333"/>
          <w:spacing w:val="-8"/>
          <w:sz w:val="32"/>
          <w:szCs w:val="32"/>
          <w:shd w:val="clear" w:color="auto" w:fill="FFFFFF"/>
        </w:rPr>
        <w:t>政府信息公开信息处理费管理办法</w:t>
      </w:r>
      <w:r>
        <w:rPr>
          <w:rFonts w:hint="eastAsia" w:ascii="楷体_GB2312" w:hAnsi="楷体_GB2312" w:eastAsia="楷体_GB2312" w:cs="楷体_GB2312"/>
          <w:bCs/>
          <w:color w:val="333333"/>
          <w:spacing w:val="-8"/>
          <w:sz w:val="32"/>
          <w:szCs w:val="32"/>
          <w:shd w:val="clear" w:color="auto" w:fill="FFFFFF"/>
        </w:rPr>
        <w:t>&gt;</w:t>
      </w:r>
      <w:r>
        <w:rPr>
          <w:rFonts w:hint="eastAsia" w:ascii="仿宋_GB2312" w:hAnsi="仿宋_GB2312" w:eastAsia="仿宋_GB2312" w:cs="仿宋_GB2312"/>
          <w:bCs/>
          <w:color w:val="333333"/>
          <w:spacing w:val="-8"/>
          <w:sz w:val="32"/>
          <w:szCs w:val="32"/>
          <w:shd w:val="clear" w:color="auto" w:fill="FFFFFF"/>
        </w:rPr>
        <w:t>的通知</w:t>
      </w:r>
      <w:r>
        <w:rPr>
          <w:rFonts w:hint="eastAsia" w:ascii="仿宋_GB2312" w:hAnsi="宋体" w:eastAsia="仿宋_GB2312" w:cs="宋体"/>
          <w:bCs/>
          <w:color w:val="333333"/>
          <w:spacing w:val="-8"/>
          <w:sz w:val="32"/>
          <w:szCs w:val="32"/>
          <w:shd w:val="clear" w:color="auto" w:fill="FFFFFF"/>
        </w:rPr>
        <w:t>》（国办函〔2020〕109号）规定的按件、按量收费标准，本年度没有产生信息公开处理费。</w:t>
      </w:r>
    </w:p>
    <w:p>
      <w:pPr>
        <w:pStyle w:val="4"/>
        <w:widowControl/>
        <w:shd w:val="clear" w:color="auto" w:fill="FFFFFF"/>
        <w:spacing w:beforeAutospacing="0" w:afterAutospacing="0" w:line="600" w:lineRule="exact"/>
        <w:ind w:firstLine="608" w:firstLineChars="200"/>
        <w:jc w:val="both"/>
        <w:rPr>
          <w:rFonts w:hint="eastAsia" w:ascii="仿宋_GB2312" w:hAnsi="宋体" w:eastAsia="仿宋_GB2312" w:cs="宋体"/>
          <w:bCs/>
          <w:color w:val="333333"/>
          <w:spacing w:val="-8"/>
          <w:sz w:val="32"/>
          <w:szCs w:val="32"/>
          <w:shd w:val="clear" w:color="auto" w:fill="FFFFFF"/>
        </w:rPr>
      </w:pPr>
    </w:p>
    <w:p>
      <w:pPr>
        <w:pStyle w:val="4"/>
        <w:widowControl/>
        <w:shd w:val="clear" w:color="auto" w:fill="FFFFFF"/>
        <w:wordWrap w:val="0"/>
        <w:spacing w:beforeAutospacing="0" w:afterAutospacing="0" w:line="600" w:lineRule="exact"/>
        <w:ind w:firstLine="608" w:firstLineChars="200"/>
        <w:jc w:val="right"/>
        <w:rPr>
          <w:rFonts w:hint="default" w:ascii="仿宋_GB2312" w:hAnsi="宋体" w:eastAsia="仿宋_GB2312" w:cs="宋体"/>
          <w:bCs/>
          <w:color w:val="333333"/>
          <w:spacing w:val="-8"/>
          <w:sz w:val="32"/>
          <w:szCs w:val="32"/>
          <w:shd w:val="clear" w:color="auto" w:fill="FFFFFF"/>
          <w:lang w:val="en-US" w:eastAsia="zh-CN"/>
        </w:rPr>
      </w:pPr>
      <w:r>
        <w:rPr>
          <w:rFonts w:hint="eastAsia" w:ascii="仿宋_GB2312" w:hAnsi="宋体" w:eastAsia="仿宋_GB2312" w:cs="宋体"/>
          <w:bCs/>
          <w:color w:val="333333"/>
          <w:spacing w:val="-8"/>
          <w:sz w:val="32"/>
          <w:szCs w:val="32"/>
          <w:shd w:val="clear" w:color="auto" w:fill="FFFFFF"/>
          <w:lang w:val="en-US" w:eastAsia="zh-CN"/>
        </w:rPr>
        <w:t xml:space="preserve">2023年1月12日        </w:t>
      </w:r>
    </w:p>
    <w:sectPr>
      <w:headerReference r:id="rId5" w:type="first"/>
      <w:footerReference r:id="rId8" w:type="first"/>
      <w:headerReference r:id="rId3" w:type="default"/>
      <w:footerReference r:id="rId6" w:type="default"/>
      <w:headerReference r:id="rId4" w:type="even"/>
      <w:footerReference r:id="rId7" w:type="even"/>
      <w:pgSz w:w="11906" w:h="16838"/>
      <w:pgMar w:top="215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6CA6C"/>
    <w:multiLevelType w:val="singleLevel"/>
    <w:tmpl w:val="9466CA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2UyMmEzZWJhYzc1ODNjM2M2ODgwN2E1MWM0MjMifQ=="/>
  </w:docVars>
  <w:rsids>
    <w:rsidRoot w:val="009A54A0"/>
    <w:rsid w:val="00940040"/>
    <w:rsid w:val="009A54A0"/>
    <w:rsid w:val="00B238F8"/>
    <w:rsid w:val="00B85D85"/>
    <w:rsid w:val="00CF388C"/>
    <w:rsid w:val="00D24FF0"/>
    <w:rsid w:val="0248481F"/>
    <w:rsid w:val="05D949F4"/>
    <w:rsid w:val="07C84A57"/>
    <w:rsid w:val="07EF6488"/>
    <w:rsid w:val="08D42DE2"/>
    <w:rsid w:val="0EC341CA"/>
    <w:rsid w:val="13082AF4"/>
    <w:rsid w:val="195A1806"/>
    <w:rsid w:val="1A655410"/>
    <w:rsid w:val="1AB772D9"/>
    <w:rsid w:val="1CBB2985"/>
    <w:rsid w:val="1D6F55A4"/>
    <w:rsid w:val="219E7091"/>
    <w:rsid w:val="26CD39E1"/>
    <w:rsid w:val="28C42F3B"/>
    <w:rsid w:val="34402563"/>
    <w:rsid w:val="379F0A81"/>
    <w:rsid w:val="38C70A71"/>
    <w:rsid w:val="38EC7CF6"/>
    <w:rsid w:val="3B91372E"/>
    <w:rsid w:val="3D7604D6"/>
    <w:rsid w:val="3DEA2EDC"/>
    <w:rsid w:val="43811C6D"/>
    <w:rsid w:val="47B60AAF"/>
    <w:rsid w:val="4E6F0D56"/>
    <w:rsid w:val="516C77CE"/>
    <w:rsid w:val="537A44F5"/>
    <w:rsid w:val="564A58C0"/>
    <w:rsid w:val="592A4D4B"/>
    <w:rsid w:val="5E4A70E9"/>
    <w:rsid w:val="5F5F7D54"/>
    <w:rsid w:val="63C37B16"/>
    <w:rsid w:val="64961BD8"/>
    <w:rsid w:val="66EC0D55"/>
    <w:rsid w:val="686F716C"/>
    <w:rsid w:val="6A9F6B82"/>
    <w:rsid w:val="71D05B42"/>
    <w:rsid w:val="78461E4F"/>
    <w:rsid w:val="7A04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2456</Words>
  <Characters>2555</Characters>
  <Lines>20</Lines>
  <Paragraphs>5</Paragraphs>
  <TotalTime>46</TotalTime>
  <ScaleCrop>false</ScaleCrop>
  <LinksUpToDate>false</LinksUpToDate>
  <CharactersWithSpaces>2563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古色古香的楼台</cp:lastModifiedBy>
  <cp:lastPrinted>2023-01-13T08:04:00Z</cp:lastPrinted>
  <dcterms:modified xsi:type="dcterms:W3CDTF">2023-07-05T00:34:27Z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A4C5753FA2EA4167B25FEDF64895B8D3</vt:lpwstr>
  </property>
</Properties>
</file>