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eastAsia="仿宋_GB2312" w:cs="Times New Roman"/>
          <w:color w:val="000000"/>
          <w:kern w:val="0"/>
          <w:sz w:val="36"/>
          <w:szCs w:val="36"/>
          <w:lang w:val="en-US" w:eastAsia="zh-CN" w:bidi="ar"/>
        </w:rPr>
      </w:pPr>
      <w:r>
        <w:rPr>
          <w:rFonts w:hint="eastAsia" w:ascii="仿宋_GB2312" w:eastAsia="仿宋_GB2312" w:cs="Times New Roman"/>
          <w:color w:val="000000"/>
          <w:kern w:val="0"/>
          <w:sz w:val="36"/>
          <w:szCs w:val="36"/>
          <w:lang w:val="en-US" w:eastAsia="zh-CN" w:bidi="ar"/>
        </w:rPr>
        <w:t>杭埠镇</w:t>
      </w:r>
      <w:bookmarkStart w:id="0" w:name="_GoBack"/>
      <w:bookmarkEnd w:id="0"/>
      <w:r>
        <w:rPr>
          <w:rFonts w:hint="eastAsia" w:ascii="仿宋_GB2312" w:eastAsia="仿宋_GB2312" w:cs="Times New Roman"/>
          <w:color w:val="000000"/>
          <w:kern w:val="0"/>
          <w:sz w:val="36"/>
          <w:szCs w:val="36"/>
          <w:lang w:val="en-US" w:eastAsia="zh-CN" w:bidi="ar"/>
        </w:rPr>
        <w:t>第一次过程性测评的问题清单</w:t>
      </w:r>
    </w:p>
    <w:p>
      <w:pPr>
        <w:numPr>
          <w:ilvl w:val="0"/>
          <w:numId w:val="0"/>
        </w:numPr>
        <w:rPr>
          <w:rFonts w:hint="eastAsia" w:ascii="仿宋_GB2312" w:eastAsia="仿宋_GB2312" w:cs="Times New Roman"/>
          <w:color w:val="000000"/>
          <w:kern w:val="0"/>
          <w:sz w:val="32"/>
          <w:szCs w:val="32"/>
          <w:lang w:val="en-US" w:eastAsia="zh-CN" w:bidi="ar"/>
        </w:rPr>
      </w:pPr>
      <w:r>
        <w:rPr>
          <w:rFonts w:hint="eastAsia" w:ascii="仿宋_GB2312" w:eastAsia="仿宋_GB2312" w:cs="Times New Roman"/>
          <w:color w:val="000000"/>
          <w:kern w:val="0"/>
          <w:sz w:val="32"/>
          <w:szCs w:val="32"/>
          <w:lang w:val="en-US" w:eastAsia="zh-CN" w:bidi="ar"/>
        </w:rPr>
        <w:t>一、两化方面：</w:t>
      </w:r>
    </w:p>
    <w:p>
      <w:pPr>
        <w:numPr>
          <w:ilvl w:val="0"/>
          <w:numId w:val="1"/>
        </w:numPr>
        <w:rPr>
          <w:rFonts w:hint="eastAsia" w:ascii="仿宋_GB2312" w:eastAsia="仿宋_GB2312" w:cs="Times New Roman"/>
          <w:color w:val="000000"/>
          <w:kern w:val="0"/>
          <w:sz w:val="32"/>
          <w:szCs w:val="32"/>
          <w:lang w:val="en-US" w:eastAsia="zh-CN" w:bidi="ar"/>
        </w:rPr>
      </w:pPr>
      <w:r>
        <w:rPr>
          <w:rFonts w:hint="eastAsia" w:ascii="仿宋_GB2312" w:eastAsia="仿宋_GB2312" w:cs="Times New Roman"/>
          <w:color w:val="000000"/>
          <w:kern w:val="0"/>
          <w:sz w:val="32"/>
          <w:szCs w:val="32"/>
          <w:lang w:val="en-US" w:eastAsia="zh-CN" w:bidi="ar"/>
        </w:rPr>
        <w:t>自然资源领域未设置详细规划（城镇开发边界内）栏目；农村集体土地征收存在失效链接；</w:t>
      </w:r>
    </w:p>
    <w:p>
      <w:pPr>
        <w:numPr>
          <w:ilvl w:val="0"/>
          <w:numId w:val="1"/>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农村危房改造</w:t>
      </w:r>
      <w:r>
        <w:rPr>
          <w:rFonts w:hint="eastAsia" w:ascii="仿宋_GB2312" w:eastAsia="仿宋_GB2312" w:cs="Times New Roman"/>
          <w:color w:val="000000"/>
          <w:kern w:val="0"/>
          <w:sz w:val="32"/>
          <w:szCs w:val="32"/>
          <w:lang w:val="en-US" w:eastAsia="zh-CN" w:bidi="ar"/>
        </w:rPr>
        <w:t>领域本地区农村危房改造年度计划无信息且无说明；</w:t>
      </w:r>
    </w:p>
    <w:p>
      <w:pPr>
        <w:numPr>
          <w:ilvl w:val="0"/>
          <w:numId w:val="1"/>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扶贫领域未公开行业扶贫相关财政资金和县域结对帮扶财政支援资金使用情况</w:t>
      </w:r>
      <w:r>
        <w:rPr>
          <w:rFonts w:hint="eastAsia" w:ascii="仿宋_GB2312" w:eastAsia="仿宋_GB2312" w:cs="Times New Roman"/>
          <w:color w:val="000000"/>
          <w:kern w:val="0"/>
          <w:sz w:val="32"/>
          <w:szCs w:val="32"/>
          <w:lang w:val="en-US" w:eastAsia="zh-CN" w:bidi="ar"/>
        </w:rPr>
        <w:t>；</w:t>
      </w:r>
    </w:p>
    <w:p>
      <w:pPr>
        <w:numPr>
          <w:ilvl w:val="0"/>
          <w:numId w:val="1"/>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救灾</w:t>
      </w:r>
      <w:r>
        <w:rPr>
          <w:rFonts w:hint="eastAsia" w:ascii="仿宋_GB2312" w:eastAsia="仿宋_GB2312" w:cs="Times New Roman"/>
          <w:color w:val="000000"/>
          <w:kern w:val="0"/>
          <w:sz w:val="32"/>
          <w:szCs w:val="32"/>
          <w:lang w:val="en-US" w:eastAsia="zh-CN" w:bidi="ar"/>
        </w:rPr>
        <w:t>领域款物管理存在失效链接；</w:t>
      </w:r>
    </w:p>
    <w:p>
      <w:pPr>
        <w:numPr>
          <w:ilvl w:val="0"/>
          <w:numId w:val="1"/>
        </w:numPr>
        <w:rPr>
          <w:rFonts w:hint="default" w:ascii="仿宋_GB2312" w:eastAsia="仿宋_GB2312" w:cs="Times New Roman"/>
          <w:color w:val="000000"/>
          <w:kern w:val="0"/>
          <w:sz w:val="32"/>
          <w:szCs w:val="32"/>
          <w:lang w:val="en-US" w:eastAsia="zh-CN" w:bidi="ar"/>
        </w:rPr>
      </w:pPr>
      <w:r>
        <w:rPr>
          <w:rFonts w:hint="eastAsia" w:ascii="仿宋_GB2312" w:eastAsia="仿宋_GB2312" w:cs="Times New Roman"/>
          <w:color w:val="000000"/>
          <w:kern w:val="0"/>
          <w:sz w:val="32"/>
          <w:szCs w:val="32"/>
          <w:lang w:val="en-US" w:eastAsia="zh-CN" w:bidi="ar"/>
        </w:rPr>
        <w:t>义务教育领域学生管理、教师管理、重要政策执行情况未公开组织机构和职责；未公开举报电话、信箱或电子邮箱；</w:t>
      </w:r>
    </w:p>
    <w:p>
      <w:pPr>
        <w:numPr>
          <w:ilvl w:val="0"/>
          <w:numId w:val="1"/>
        </w:numPr>
        <w:rPr>
          <w:rFonts w:hint="default" w:ascii="仿宋_GB2312" w:eastAsia="仿宋_GB2312" w:cs="Times New Roman"/>
          <w:color w:val="000000"/>
          <w:kern w:val="0"/>
          <w:sz w:val="32"/>
          <w:szCs w:val="32"/>
          <w:lang w:val="en-US" w:eastAsia="zh-CN" w:bidi="ar"/>
        </w:rPr>
      </w:pPr>
      <w:r>
        <w:rPr>
          <w:rFonts w:hint="eastAsia" w:ascii="仿宋_GB2312" w:eastAsia="仿宋_GB2312" w:cs="Times New Roman"/>
          <w:color w:val="000000"/>
          <w:kern w:val="0"/>
          <w:sz w:val="32"/>
          <w:szCs w:val="32"/>
          <w:lang w:val="en-US" w:eastAsia="zh-CN" w:bidi="ar"/>
        </w:rPr>
        <w:t>乡村振兴四好农村路，本年度未公开农村公路质量安全和养护管理信息；</w:t>
      </w:r>
    </w:p>
    <w:p>
      <w:pPr>
        <w:numPr>
          <w:ilvl w:val="0"/>
          <w:numId w:val="1"/>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学前教育招生管理</w:t>
      </w:r>
      <w:r>
        <w:rPr>
          <w:rFonts w:hint="eastAsia" w:ascii="仿宋_GB2312" w:eastAsia="仿宋_GB2312" w:cs="Times New Roman"/>
          <w:color w:val="000000"/>
          <w:kern w:val="0"/>
          <w:sz w:val="32"/>
          <w:szCs w:val="32"/>
          <w:lang w:val="en-US" w:eastAsia="zh-CN" w:bidi="ar"/>
        </w:rPr>
        <w:t>领域学前教育学校介绍缺少联系电话。</w:t>
      </w:r>
    </w:p>
    <w:p>
      <w:pPr>
        <w:numPr>
          <w:ilvl w:val="0"/>
          <w:numId w:val="2"/>
        </w:numPr>
        <w:rPr>
          <w:rFonts w:hint="eastAsia" w:ascii="仿宋_GB2312" w:eastAsia="仿宋_GB2312" w:cs="Times New Roman"/>
          <w:color w:val="000000"/>
          <w:kern w:val="0"/>
          <w:sz w:val="32"/>
          <w:szCs w:val="32"/>
          <w:lang w:val="en-US" w:eastAsia="zh-CN" w:bidi="ar"/>
        </w:rPr>
      </w:pPr>
      <w:r>
        <w:rPr>
          <w:rFonts w:hint="eastAsia" w:ascii="仿宋_GB2312" w:eastAsia="仿宋_GB2312" w:cs="Times New Roman"/>
          <w:color w:val="000000"/>
          <w:kern w:val="0"/>
          <w:sz w:val="32"/>
          <w:szCs w:val="32"/>
          <w:lang w:val="en-US" w:eastAsia="zh-CN" w:bidi="ar"/>
        </w:rPr>
        <w:t>基础方面：</w:t>
      </w:r>
    </w:p>
    <w:p>
      <w:pPr>
        <w:numPr>
          <w:ilvl w:val="0"/>
          <w:numId w:val="3"/>
        </w:numPr>
        <w:rPr>
          <w:rFonts w:hint="eastAsia" w:ascii="仿宋_GB2312" w:eastAsia="仿宋_GB2312" w:cs="Times New Roman"/>
          <w:color w:val="000000"/>
          <w:kern w:val="0"/>
          <w:sz w:val="32"/>
          <w:szCs w:val="32"/>
          <w:lang w:val="en-US" w:eastAsia="zh-CN" w:bidi="ar"/>
        </w:rPr>
      </w:pPr>
      <w:r>
        <w:rPr>
          <w:rFonts w:hint="eastAsia" w:ascii="仿宋_GB2312" w:eastAsia="仿宋_GB2312" w:cs="Times New Roman"/>
          <w:color w:val="000000"/>
          <w:kern w:val="0"/>
          <w:sz w:val="32"/>
          <w:szCs w:val="32"/>
          <w:lang w:val="en-US" w:eastAsia="zh-CN" w:bidi="ar"/>
        </w:rPr>
        <w:t>政策文件方面“关于印发杭埠镇建立群众参与农村公路管理长效机制实施方案的通知”缺少文号；“关于印发《杭埠镇农机安全监管网格化实施方案》的通知”、“关于印发杭埠镇推进农业生产“大托管”示范工作实施方案的通知”未提供下载版本；重大决策预公开意见征集与意见反馈不对应；</w:t>
      </w:r>
    </w:p>
    <w:p>
      <w:pPr>
        <w:numPr>
          <w:ilvl w:val="0"/>
          <w:numId w:val="3"/>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财政专项资金清单缺少金额；部分栏目未说明类信息；“城乡居民基本养老保险资金”未及时按月公开；</w:t>
      </w:r>
    </w:p>
    <w:p>
      <w:pPr>
        <w:numPr>
          <w:ilvl w:val="0"/>
          <w:numId w:val="3"/>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重点领域信息公开</w:t>
      </w:r>
      <w:r>
        <w:rPr>
          <w:rFonts w:hint="eastAsia" w:ascii="仿宋_GB2312" w:eastAsia="仿宋_GB2312" w:cs="Times New Roman"/>
          <w:color w:val="000000"/>
          <w:kern w:val="0"/>
          <w:sz w:val="32"/>
          <w:szCs w:val="32"/>
          <w:lang w:val="en-US" w:eastAsia="zh-CN" w:bidi="ar"/>
        </w:rPr>
        <w:t>领域未公开本地区农村土地承包经营权流转政策；农村土地承包经营权推进情况、农村土地承包经营权流转奖励结果；</w:t>
      </w:r>
    </w:p>
    <w:p>
      <w:pPr>
        <w:numPr>
          <w:ilvl w:val="0"/>
          <w:numId w:val="3"/>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政策解读</w:t>
      </w:r>
      <w:r>
        <w:rPr>
          <w:rFonts w:hint="eastAsia" w:ascii="仿宋_GB2312" w:eastAsia="仿宋_GB2312" w:cs="Times New Roman"/>
          <w:color w:val="000000"/>
          <w:kern w:val="0"/>
          <w:sz w:val="32"/>
          <w:szCs w:val="32"/>
          <w:lang w:val="en-US" w:eastAsia="zh-CN" w:bidi="ar"/>
        </w:rPr>
        <w:t>方面未提供解读人；</w:t>
      </w:r>
    </w:p>
    <w:p>
      <w:pPr>
        <w:numPr>
          <w:ilvl w:val="0"/>
          <w:numId w:val="3"/>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回应关切</w:t>
      </w:r>
      <w:r>
        <w:rPr>
          <w:rFonts w:hint="eastAsia" w:ascii="仿宋_GB2312" w:eastAsia="仿宋_GB2312" w:cs="Times New Roman"/>
          <w:color w:val="000000"/>
          <w:kern w:val="0"/>
          <w:sz w:val="32"/>
          <w:szCs w:val="32"/>
          <w:lang w:val="en-US" w:eastAsia="zh-CN" w:bidi="ar"/>
        </w:rPr>
        <w:t>方面未及时、全面公开主动回应，回应较少；</w:t>
      </w:r>
    </w:p>
    <w:p>
      <w:pPr>
        <w:numPr>
          <w:ilvl w:val="0"/>
          <w:numId w:val="3"/>
        </w:numPr>
        <w:rPr>
          <w:rFonts w:hint="default" w:ascii="仿宋_GB2312" w:eastAsia="仿宋_GB2312" w:cs="Times New Roman"/>
          <w:color w:val="000000"/>
          <w:kern w:val="0"/>
          <w:sz w:val="32"/>
          <w:szCs w:val="32"/>
          <w:lang w:val="en-US" w:eastAsia="zh-CN" w:bidi="ar"/>
        </w:rPr>
      </w:pPr>
      <w:r>
        <w:rPr>
          <w:rFonts w:hint="default" w:ascii="仿宋_GB2312" w:eastAsia="仿宋_GB2312" w:cs="Times New Roman"/>
          <w:color w:val="000000"/>
          <w:kern w:val="0"/>
          <w:sz w:val="32"/>
          <w:szCs w:val="32"/>
          <w:lang w:val="en-US" w:eastAsia="zh-CN" w:bidi="ar"/>
        </w:rPr>
        <w:t>监督保障工作推进</w:t>
      </w:r>
      <w:r>
        <w:rPr>
          <w:rFonts w:hint="eastAsia" w:ascii="仿宋_GB2312" w:eastAsia="仿宋_GB2312" w:cs="Times New Roman"/>
          <w:color w:val="000000"/>
          <w:kern w:val="0"/>
          <w:sz w:val="32"/>
          <w:szCs w:val="32"/>
          <w:lang w:val="en-US" w:eastAsia="zh-CN" w:bidi="ar"/>
        </w:rPr>
        <w:t>领域本年度未开展培训会、调度会、推进会等。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89D49"/>
    <w:multiLevelType w:val="singleLevel"/>
    <w:tmpl w:val="AA689D49"/>
    <w:lvl w:ilvl="0" w:tentative="0">
      <w:start w:val="1"/>
      <w:numFmt w:val="decimal"/>
      <w:suff w:val="nothing"/>
      <w:lvlText w:val="%1、"/>
      <w:lvlJc w:val="left"/>
    </w:lvl>
  </w:abstractNum>
  <w:abstractNum w:abstractNumId="1">
    <w:nsid w:val="5239265F"/>
    <w:multiLevelType w:val="singleLevel"/>
    <w:tmpl w:val="5239265F"/>
    <w:lvl w:ilvl="0" w:tentative="0">
      <w:start w:val="1"/>
      <w:numFmt w:val="decimal"/>
      <w:suff w:val="nothing"/>
      <w:lvlText w:val="%1、"/>
      <w:lvlJc w:val="left"/>
    </w:lvl>
  </w:abstractNum>
  <w:abstractNum w:abstractNumId="2">
    <w:nsid w:val="7625376B"/>
    <w:multiLevelType w:val="singleLevel"/>
    <w:tmpl w:val="7625376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MGI5MDk4ZDMzNTI1ZmRiYmEzNTQ4MGY0MWUyZDYifQ=="/>
  </w:docVars>
  <w:rsids>
    <w:rsidRoot w:val="00000000"/>
    <w:rsid w:val="257D487A"/>
    <w:rsid w:val="7D08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558</Words>
  <Characters>558</Characters>
  <Lines>0</Lines>
  <Paragraphs>0</Paragraphs>
  <TotalTime>4</TotalTime>
  <ScaleCrop>false</ScaleCrop>
  <LinksUpToDate>false</LinksUpToDate>
  <CharactersWithSpaces>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2023-06-29T02:50:00Z</dcterms:created>
  <dc:creator>Lenovo</dc:creator>
  <cp:lastModifiedBy>Lenovo</cp:lastModifiedBy>
  <dcterms:modified xsi:type="dcterms:W3CDTF">2023-06-29T03:27:54Z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11C885E8B6704E499BEEFBDD893A5E1C_12</vt:lpwstr>
  </property>
</Properties>
</file>