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jc w:val="center"/>
      </w:pPr>
      <w:r>
        <w:rPr>
          <w:rFonts w:ascii="方正小标宋简体" w:hAnsi="方正小标宋简体" w:eastAsia="方正小标宋简体" w:cs="方正小标宋简体"/>
          <w:kern w:val="2"/>
          <w:sz w:val="52"/>
          <w:szCs w:val="52"/>
          <w:lang w:val="en-US" w:eastAsia="zh-CN" w:bidi="ar"/>
        </w:rPr>
        <w:t>舒城县</w:t>
      </w:r>
      <w:r>
        <w:rPr>
          <w:rFonts w:hint="eastAsia" w:ascii="方正小标宋简体" w:hAnsi="方正小标宋简体" w:eastAsia="方正小标宋简体" w:cs="方正小标宋简体"/>
          <w:kern w:val="2"/>
          <w:sz w:val="52"/>
          <w:szCs w:val="52"/>
          <w:lang w:val="en-US" w:eastAsia="zh-CN" w:bidi="ar"/>
        </w:rPr>
        <w:t>柏林乡人民政府2021年政府信息公开工作年度报告</w:t>
      </w:r>
    </w:p>
    <w:p>
      <w:pPr>
        <w:keepNext w:val="0"/>
        <w:keepLines w:val="0"/>
        <w:widowControl/>
        <w:suppressLineNumbers w:val="0"/>
        <w:spacing w:before="0" w:beforeAutospacing="1" w:after="0" w:afterAutospacing="1"/>
        <w:ind w:left="0" w:right="0" w:firstLine="640" w:firstLineChars="200"/>
        <w:jc w:val="both"/>
      </w:pPr>
      <w:r>
        <w:rPr>
          <w:rFonts w:ascii="仿宋_GB2312" w:hAnsi="微软雅黑" w:eastAsia="仿宋_GB2312" w:cs="仿宋_GB2312"/>
          <w:i w:val="0"/>
          <w:iCs w:val="0"/>
          <w:caps w:val="0"/>
          <w:color w:val="333333"/>
          <w:spacing w:val="0"/>
          <w:kern w:val="2"/>
          <w:sz w:val="32"/>
          <w:szCs w:val="32"/>
          <w:shd w:val="clear" w:fill="FFFFFF"/>
          <w:lang w:val="en-US" w:eastAsia="zh-CN" w:bidi="ar"/>
        </w:rPr>
        <w:t xml:space="preserve"> </w:t>
      </w:r>
    </w:p>
    <w:p>
      <w:pPr>
        <w:keepNext w:val="0"/>
        <w:keepLines w:val="0"/>
        <w:widowControl/>
        <w:suppressLineNumbers w:val="0"/>
        <w:spacing w:before="0" w:beforeAutospacing="1" w:after="0" w:afterAutospacing="1"/>
        <w:ind w:left="0" w:right="0" w:firstLine="640" w:firstLineChars="200"/>
        <w:jc w:val="both"/>
      </w:pPr>
      <w:r>
        <w:rPr>
          <w:rFonts w:hint="eastAsia" w:ascii="仿宋_GB2312" w:hAnsi="微软雅黑" w:eastAsia="仿宋_GB2312" w:cs="仿宋_GB2312"/>
          <w:i w:val="0"/>
          <w:iCs w:val="0"/>
          <w:caps w:val="0"/>
          <w:color w:val="333333"/>
          <w:spacing w:val="0"/>
          <w:kern w:val="2"/>
          <w:sz w:val="32"/>
          <w:szCs w:val="32"/>
          <w:shd w:val="clear" w:fill="FFFFFF"/>
          <w:lang w:val="en-US" w:eastAsia="zh-CN" w:bidi="ar"/>
        </w:rPr>
        <w:t>本报告根据《国务院办公厅政府信息与政务公开办公室关于印发&lt;中华人民共和国政府信息公开工作年度报告格式&gt;的通知》（国办公开办函〔2021〕30 号，以下简称《通知》）、《安徽省政务公开办公室关于做好2021年度政府信息公开工作年度报告编制和发布工作的通知》（皖政务办秘〔2021〕37号）和《六安市人民政府办公室关于做好政府信息公开工作年度报告编制和发布工作的通知》（六政办秘〔2021〕37号）以及《舒城县人民政府办公室关于做好政府信息公开年度报告编制和发布工作的通知》要求编制而成。报告主要包括：总体情况、主动公开政府信息情况、收到和处理政府信息公开申请情况、政府信息公开行政复议和行政诉讼情况、政府信息公开工作存在主要问题及改进情况和其他需要报告事项。本年度报告中使用数据统计期限为2021年1月1日至2021年12月31日，本年度报告电子版可在六安市舒城县柏林乡信息公开平台下载。如对本报告有任何疑问，请与六安市舒城县柏林乡政府联系</w:t>
      </w:r>
      <w:r>
        <w:rPr>
          <w:rFonts w:ascii="仿宋" w:hAnsi="仿宋" w:eastAsia="仿宋" w:cs="仿宋"/>
          <w:i w:val="0"/>
          <w:iCs w:val="0"/>
          <w:caps w:val="0"/>
          <w:color w:val="000000"/>
          <w:spacing w:val="0"/>
          <w:kern w:val="2"/>
          <w:sz w:val="32"/>
          <w:szCs w:val="32"/>
          <w:shd w:val="clear" w:fill="FFFFFF"/>
          <w:lang w:val="en-US" w:eastAsia="zh-CN" w:bidi="ar"/>
        </w:rPr>
        <w:t>（地址：</w:t>
      </w:r>
      <w:r>
        <w:rPr>
          <w:rFonts w:hint="eastAsia" w:ascii="仿宋" w:hAnsi="仿宋" w:eastAsia="仿宋" w:cs="仿宋"/>
          <w:i w:val="0"/>
          <w:iCs w:val="0"/>
          <w:caps w:val="0"/>
          <w:color w:val="000000"/>
          <w:spacing w:val="0"/>
          <w:kern w:val="2"/>
          <w:sz w:val="32"/>
          <w:szCs w:val="32"/>
          <w:shd w:val="clear" w:fill="FFFFFF"/>
          <w:lang w:val="en-US" w:eastAsia="zh-CN" w:bidi="ar"/>
        </w:rPr>
        <w:t>柏林乡秦桥街道；邮编：231382；联系电话：0564-8958368）。</w:t>
      </w:r>
    </w:p>
    <w:p>
      <w:pPr>
        <w:pStyle w:val="2"/>
        <w:keepNext w:val="0"/>
        <w:keepLines w:val="0"/>
        <w:widowControl/>
        <w:suppressLineNumbers w:val="0"/>
        <w:shd w:val="clear" w:fill="FFFFFF"/>
        <w:spacing w:before="0" w:beforeAutospacing="1" w:after="0" w:afterAutospacing="1"/>
        <w:ind w:left="0" w:right="0"/>
        <w:jc w:val="both"/>
      </w:pPr>
      <w:r>
        <w:rPr>
          <w:rFonts w:hint="eastAsia" w:ascii="宋体" w:hAnsi="宋体" w:eastAsia="宋体" w:cs="宋体"/>
          <w:b/>
          <w:bCs/>
          <w:i w:val="0"/>
          <w:iCs w:val="0"/>
          <w:caps w:val="0"/>
          <w:color w:val="000000"/>
          <w:spacing w:val="0"/>
          <w:kern w:val="2"/>
          <w:sz w:val="32"/>
          <w:szCs w:val="32"/>
          <w:shd w:val="clear" w:fill="FFFFFF"/>
          <w:lang w:val="en-US" w:eastAsia="zh-CN" w:bidi="ar"/>
        </w:rPr>
        <w:t xml:space="preserve"> </w:t>
      </w:r>
    </w:p>
    <w:p>
      <w:pPr>
        <w:pStyle w:val="2"/>
        <w:keepNext w:val="0"/>
        <w:keepLines w:val="0"/>
        <w:widowControl/>
        <w:numPr>
          <w:ilvl w:val="0"/>
          <w:numId w:val="0"/>
        </w:numPr>
        <w:suppressLineNumbers w:val="0"/>
        <w:shd w:val="clear" w:fill="FFFFFF"/>
        <w:spacing w:before="0" w:beforeAutospacing="1" w:after="0" w:afterAutospacing="1"/>
        <w:ind w:left="0" w:right="0" w:firstLine="420"/>
        <w:jc w:val="both"/>
      </w:pPr>
      <w:r>
        <w:rPr>
          <w:rFonts w:hint="eastAsia" w:ascii="宋体" w:hAnsi="宋体" w:eastAsia="宋体" w:cs="宋体"/>
          <w:b/>
          <w:bCs/>
          <w:i w:val="0"/>
          <w:iCs w:val="0"/>
          <w:caps w:val="0"/>
          <w:color w:val="000000"/>
          <w:spacing w:val="0"/>
          <w:kern w:val="2"/>
          <w:sz w:val="32"/>
          <w:szCs w:val="32"/>
          <w:shd w:val="clear" w:fill="FFFFFF"/>
          <w:lang w:val="en-US" w:eastAsia="zh-CN" w:bidi="ar"/>
        </w:rPr>
        <w:t>一、总体情况</w:t>
      </w:r>
    </w:p>
    <w:p>
      <w:pPr>
        <w:keepNext w:val="0"/>
        <w:keepLines w:val="0"/>
        <w:widowControl/>
        <w:numPr>
          <w:ilvl w:val="0"/>
          <w:numId w:val="0"/>
        </w:numPr>
        <w:suppressLineNumbers w:val="0"/>
        <w:spacing w:before="0" w:beforeAutospacing="1" w:after="0" w:afterAutospacing="1"/>
        <w:ind w:left="30" w:leftChars="0" w:right="0" w:firstLine="600" w:firstLineChars="0"/>
        <w:jc w:val="left"/>
      </w:pPr>
      <w:r>
        <w:rPr>
          <w:rFonts w:hint="eastAsia" w:ascii="仿宋_GB2312" w:eastAsia="仿宋_GB2312" w:cs="仿宋_GB2312" w:hAnsiTheme="minorHAnsi"/>
          <w:b/>
          <w:bCs/>
          <w:kern w:val="2"/>
          <w:sz w:val="32"/>
          <w:szCs w:val="32"/>
          <w:lang w:val="en-US" w:eastAsia="zh-CN" w:bidi="ar"/>
        </w:rPr>
        <w:t>（一）主动公开</w:t>
      </w:r>
    </w:p>
    <w:p>
      <w:pPr>
        <w:keepNext w:val="0"/>
        <w:keepLines w:val="0"/>
        <w:widowControl/>
        <w:suppressLineNumbers w:val="0"/>
        <w:spacing w:before="0" w:beforeAutospacing="1" w:after="0" w:afterAutospacing="1"/>
        <w:ind w:left="0" w:right="0" w:firstLine="640" w:firstLineChars="200"/>
        <w:jc w:val="left"/>
      </w:pPr>
      <w:r>
        <w:rPr>
          <w:rFonts w:hint="eastAsia" w:ascii="仿宋_GB2312" w:eastAsia="仿宋_GB2312" w:cs="仿宋_GB2312" w:hAnsiTheme="minorHAnsi"/>
          <w:kern w:val="2"/>
          <w:sz w:val="32"/>
          <w:szCs w:val="32"/>
          <w:lang w:val="en-US" w:eastAsia="zh-CN" w:bidi="ar"/>
        </w:rPr>
        <w:t>2021年，全乡围绕大局，积极贯彻省、市、县各级部署，突出工作重点，全力抓整改促提升。在认真抓好信息审查审核的基础上，做到应公开尽公开。全年共发布主动公开信息799条，公开财政专项资金267条，及时回应社会关切23件 , 向社会公开征求意见并采纳信息10条。年度主动公开内容主要涵盖疫情防控、社会热点民生、财政资金拨付以及经济发展等多个方面，及时有效的向社会公布了政府工作动态，让群众第一时间掌握政策资讯，充分发挥了信息公开作用。</w:t>
      </w:r>
    </w:p>
    <w:p>
      <w:pPr>
        <w:keepNext w:val="0"/>
        <w:keepLines w:val="0"/>
        <w:widowControl/>
        <w:numPr>
          <w:ilvl w:val="0"/>
          <w:numId w:val="0"/>
        </w:numPr>
        <w:suppressLineNumbers w:val="0"/>
        <w:spacing w:before="0" w:beforeAutospacing="1" w:after="0" w:afterAutospacing="1"/>
        <w:ind w:left="30" w:leftChars="0" w:right="0" w:firstLine="600" w:firstLineChars="0"/>
        <w:jc w:val="left"/>
      </w:pPr>
      <w:r>
        <w:rPr>
          <w:rFonts w:hint="eastAsia" w:ascii="仿宋_GB2312" w:eastAsia="仿宋_GB2312" w:cs="仿宋_GB2312" w:hAnsiTheme="minorHAnsi"/>
          <w:b/>
          <w:bCs/>
          <w:kern w:val="2"/>
          <w:sz w:val="32"/>
          <w:szCs w:val="32"/>
          <w:lang w:val="en-US" w:eastAsia="zh-CN" w:bidi="ar"/>
        </w:rPr>
        <w:t>（二）依申请公开</w:t>
      </w:r>
    </w:p>
    <w:p>
      <w:pPr>
        <w:keepNext w:val="0"/>
        <w:keepLines w:val="0"/>
        <w:widowControl/>
        <w:suppressLineNumbers w:val="0"/>
        <w:spacing w:before="0" w:beforeAutospacing="1" w:after="0" w:afterAutospacing="1"/>
        <w:ind w:left="0" w:right="0" w:firstLine="640" w:firstLineChars="200"/>
        <w:jc w:val="left"/>
      </w:pPr>
      <w:r>
        <w:rPr>
          <w:rFonts w:hint="eastAsia" w:ascii="仿宋_GB2312" w:eastAsia="仿宋_GB2312" w:cs="仿宋_GB2312" w:hAnsiTheme="minorHAnsi"/>
          <w:kern w:val="2"/>
          <w:sz w:val="32"/>
          <w:szCs w:val="32"/>
          <w:lang w:val="en-US" w:eastAsia="zh-CN" w:bidi="ar"/>
        </w:rPr>
        <w:t>2021年，我乡认真贯彻《国务院办公厅关于做好政府信息依申请公开工作的意见》，严格落实政府信息公开条例精神，认真落实依申请各项制度规定，积极稳妥做好依申请工作，并严格按照文件规定的收费标准，截至2021年12月31日，未产生信息公开处理费。</w:t>
      </w:r>
      <w:r>
        <w:rPr>
          <w:rFonts w:hint="eastAsia" w:ascii="仿宋_GB2312" w:hAnsi="微软雅黑" w:eastAsia="仿宋_GB2312" w:cs="仿宋_GB2312"/>
          <w:i w:val="0"/>
          <w:iCs w:val="0"/>
          <w:caps w:val="0"/>
          <w:color w:val="333333"/>
          <w:spacing w:val="0"/>
          <w:kern w:val="0"/>
          <w:sz w:val="32"/>
          <w:szCs w:val="32"/>
          <w:shd w:val="clear" w:fill="FFFFFF"/>
          <w:lang w:val="en-US" w:eastAsia="zh-CN" w:bidi="ar"/>
        </w:rPr>
        <w:t>不断完善依申请公开平台。</w:t>
      </w:r>
      <w:r>
        <w:rPr>
          <w:rFonts w:hint="eastAsia" w:ascii="仿宋" w:hAnsi="仿宋" w:eastAsia="仿宋" w:cs="仿宋"/>
          <w:i w:val="0"/>
          <w:iCs w:val="0"/>
          <w:caps w:val="0"/>
          <w:color w:val="333333"/>
          <w:spacing w:val="0"/>
          <w:kern w:val="0"/>
          <w:sz w:val="32"/>
          <w:szCs w:val="32"/>
          <w:shd w:val="clear" w:fill="FFFFFF"/>
          <w:lang w:val="en-US" w:eastAsia="zh-CN" w:bidi="ar"/>
        </w:rPr>
        <w:t>本年度未收到公民、法人或者其他组织要求公开政府信息的申请。</w:t>
      </w:r>
    </w:p>
    <w:p>
      <w:pPr>
        <w:keepNext w:val="0"/>
        <w:keepLines w:val="0"/>
        <w:widowControl/>
        <w:numPr>
          <w:ilvl w:val="0"/>
          <w:numId w:val="0"/>
        </w:numPr>
        <w:suppressLineNumbers w:val="0"/>
        <w:spacing w:before="0" w:beforeAutospacing="1" w:after="0" w:afterAutospacing="1"/>
        <w:ind w:left="30" w:leftChars="0" w:right="0" w:firstLine="600" w:firstLineChars="0"/>
        <w:jc w:val="left"/>
      </w:pPr>
      <w:r>
        <w:rPr>
          <w:rFonts w:hint="eastAsia" w:ascii="仿宋_GB2312" w:eastAsia="仿宋_GB2312" w:cs="仿宋_GB2312" w:hAnsiTheme="minorHAnsi"/>
          <w:b/>
          <w:bCs/>
          <w:kern w:val="2"/>
          <w:sz w:val="32"/>
          <w:szCs w:val="32"/>
          <w:lang w:val="en-US" w:eastAsia="zh-CN" w:bidi="ar"/>
        </w:rPr>
        <w:t>（三）政府信息管理</w:t>
      </w:r>
    </w:p>
    <w:p>
      <w:pPr>
        <w:keepNext w:val="0"/>
        <w:keepLines w:val="0"/>
        <w:widowControl/>
        <w:suppressLineNumbers w:val="0"/>
        <w:spacing w:before="0" w:beforeAutospacing="1" w:after="0" w:afterAutospacing="1"/>
        <w:ind w:left="0" w:right="0" w:firstLine="640" w:firstLineChars="200"/>
        <w:jc w:val="left"/>
      </w:pPr>
      <w:r>
        <w:rPr>
          <w:rFonts w:hint="eastAsia" w:ascii="仿宋_GB2312" w:eastAsia="仿宋_GB2312" w:cs="仿宋_GB2312" w:hAnsiTheme="minorHAnsi"/>
          <w:kern w:val="2"/>
          <w:sz w:val="32"/>
          <w:szCs w:val="32"/>
          <w:lang w:val="en-US" w:eastAsia="zh-CN" w:bidi="ar"/>
        </w:rPr>
        <w:t>为进一步规范政府信息公开内容，提升我乡政府信息公开工作水平，主要做法：一、完善政府信息制作和审查发布流程，加强对文件公开选项的审核，加强规范性文件管理，对不予公开的政府信息定期进行审查评估。二、明确专人负责，强化工作落实，由信息公开工作分管领导和专门人员负责政府信息公开工作，针对发布要求和群众需求，不断优化信息发布质量。</w:t>
      </w:r>
    </w:p>
    <w:p>
      <w:pPr>
        <w:keepNext w:val="0"/>
        <w:keepLines w:val="0"/>
        <w:widowControl/>
        <w:suppressLineNumbers w:val="0"/>
        <w:spacing w:before="0" w:beforeAutospacing="1" w:after="0" w:afterAutospacing="1"/>
        <w:ind w:left="0" w:right="0" w:firstLine="321" w:firstLineChars="100"/>
        <w:jc w:val="left"/>
      </w:pPr>
      <w:r>
        <w:rPr>
          <w:rFonts w:hint="eastAsia" w:ascii="仿宋_GB2312" w:eastAsia="仿宋_GB2312" w:cs="仿宋_GB2312" w:hAnsiTheme="minorHAnsi"/>
          <w:b/>
          <w:bCs/>
          <w:kern w:val="2"/>
          <w:sz w:val="32"/>
          <w:szCs w:val="32"/>
          <w:lang w:val="en-US" w:eastAsia="zh-CN" w:bidi="ar"/>
        </w:rPr>
        <w:t>（四）政府信息公开平台建设</w:t>
      </w:r>
    </w:p>
    <w:p>
      <w:pPr>
        <w:keepNext w:val="0"/>
        <w:keepLines w:val="0"/>
        <w:widowControl/>
        <w:suppressLineNumbers w:val="0"/>
        <w:spacing w:before="0" w:beforeAutospacing="1" w:after="0" w:afterAutospacing="1"/>
        <w:ind w:left="0" w:right="0" w:firstLine="640" w:firstLineChars="200"/>
        <w:jc w:val="left"/>
      </w:pPr>
      <w:r>
        <w:rPr>
          <w:rFonts w:hint="eastAsia" w:ascii="仿宋_GB2312" w:eastAsia="仿宋_GB2312" w:cs="仿宋_GB2312" w:hAnsiTheme="minorHAnsi"/>
          <w:kern w:val="2"/>
          <w:sz w:val="32"/>
          <w:szCs w:val="32"/>
          <w:lang w:val="en-US" w:eastAsia="zh-CN" w:bidi="ar"/>
        </w:rPr>
        <w:t>2021年，对乡镇公开平台进一步进行了优化设置，并增设了“两化”专题。我乡及时组织力量，按时完成了新增“两化”栏目建设任务。及时完成我乡平台调整后信息迁移工作。进一步完善乡政务公开栏、便民查阅点建设，督促指导23个村完善公开栏建设，及时更新村务公开栏内容。</w:t>
      </w:r>
    </w:p>
    <w:p>
      <w:pPr>
        <w:keepNext w:val="0"/>
        <w:keepLines w:val="0"/>
        <w:widowControl/>
        <w:suppressLineNumbers w:val="0"/>
        <w:spacing w:before="0" w:beforeAutospacing="1" w:after="0" w:afterAutospacing="1"/>
        <w:ind w:left="0" w:right="0" w:firstLine="321" w:firstLineChars="100"/>
        <w:jc w:val="left"/>
      </w:pPr>
      <w:r>
        <w:rPr>
          <w:rFonts w:hint="eastAsia" w:ascii="仿宋_GB2312" w:eastAsia="仿宋_GB2312" w:cs="仿宋_GB2312" w:hAnsiTheme="minorHAnsi"/>
          <w:b/>
          <w:bCs/>
          <w:kern w:val="2"/>
          <w:sz w:val="32"/>
          <w:szCs w:val="32"/>
          <w:lang w:val="en-US" w:eastAsia="zh-CN" w:bidi="ar"/>
        </w:rPr>
        <w:t>（五）监督保障</w:t>
      </w:r>
    </w:p>
    <w:p>
      <w:pPr>
        <w:keepNext w:val="0"/>
        <w:keepLines w:val="0"/>
        <w:widowControl/>
        <w:suppressLineNumbers w:val="0"/>
        <w:spacing w:before="0" w:beforeAutospacing="1" w:after="0" w:afterAutospacing="1"/>
        <w:ind w:left="0" w:right="0" w:firstLine="640" w:firstLineChars="200"/>
        <w:jc w:val="left"/>
      </w:pPr>
      <w:r>
        <w:rPr>
          <w:rFonts w:hint="eastAsia" w:ascii="仿宋_GB2312" w:eastAsia="仿宋_GB2312" w:cs="仿宋_GB2312" w:hAnsiTheme="minorHAnsi"/>
          <w:kern w:val="2"/>
          <w:sz w:val="32"/>
          <w:szCs w:val="32"/>
          <w:lang w:val="en-US" w:eastAsia="zh-CN" w:bidi="ar"/>
        </w:rPr>
        <w:t>一是领导重视，高位推进。成立了乡政务公开工作小组，召开许乡乡政务公开工作推进会。二是压实责任，强化保障。严格落实把政务公开纳入政府绩效考核体系。将2021年政务公开工作要点，逐项分解到各个部门，明确责任内容和完成时限，紧盯目标任务，狠抓工作落实。三、强化责任追究，责令立即整改。根据各级测评反馈问题清单，将问题逐一整</w:t>
      </w:r>
      <w:bookmarkStart w:id="0" w:name="_GoBack"/>
      <w:r>
        <w:rPr>
          <w:rFonts w:hint="eastAsia" w:ascii="仿宋_GB2312" w:eastAsia="仿宋_GB2312" w:cs="仿宋_GB2312" w:hAnsiTheme="minorHAnsi"/>
          <w:kern w:val="2"/>
          <w:sz w:val="32"/>
          <w:szCs w:val="32"/>
          <w:lang w:val="en-US" w:eastAsia="zh-CN" w:bidi="ar"/>
        </w:rPr>
        <w:t>改，同时做好日常隐私排查和涉密工作排查。 四是开展社会评议、强化追究责任。定期开展对政府信息公开工作社会评议，合理运用评议结果，作为年度政务公开考核的重要依据。2021年底对23个村开展社会评议，评议结果为“好”6个村，“较好”17个村。对违反政府信息相关规定的部门、单位或者个人，将追究相关责任，责令立即整改。</w:t>
      </w:r>
      <w:bookmarkEnd w:id="0"/>
    </w:p>
    <w:p>
      <w:pPr>
        <w:pStyle w:val="2"/>
        <w:keepNext w:val="0"/>
        <w:keepLines w:val="0"/>
        <w:widowControl/>
        <w:suppressLineNumbers w:val="0"/>
        <w:shd w:val="clear" w:fill="FFFFFF"/>
        <w:spacing w:before="0" w:beforeAutospacing="1" w:after="0" w:afterAutospacing="1"/>
        <w:ind w:left="0" w:right="0"/>
        <w:jc w:val="both"/>
      </w:pPr>
      <w:r>
        <w:rPr>
          <w:rFonts w:hint="eastAsia" w:ascii="宋体" w:hAnsi="宋体" w:eastAsia="宋体" w:cs="宋体"/>
          <w:b/>
          <w:bCs/>
          <w:i w:val="0"/>
          <w:iCs w:val="0"/>
          <w:caps w:val="0"/>
          <w:color w:val="000000"/>
          <w:spacing w:val="0"/>
          <w:kern w:val="2"/>
          <w:sz w:val="32"/>
          <w:szCs w:val="32"/>
          <w:shd w:val="clear" w:fill="FFFFFF"/>
          <w:lang w:val="en-US" w:eastAsia="zh-CN" w:bidi="ar"/>
        </w:rPr>
        <w:t xml:space="preserve"> </w:t>
      </w:r>
    </w:p>
    <w:p>
      <w:pPr>
        <w:pStyle w:val="2"/>
        <w:keepNext w:val="0"/>
        <w:keepLines w:val="0"/>
        <w:widowControl/>
        <w:numPr>
          <w:ilvl w:val="0"/>
          <w:numId w:val="0"/>
        </w:numPr>
        <w:suppressLineNumbers w:val="0"/>
        <w:shd w:val="clear" w:fill="FFFFFF"/>
        <w:spacing w:before="0" w:beforeAutospacing="1" w:after="0" w:afterAutospacing="1"/>
        <w:ind w:left="0" w:right="0" w:firstLine="420"/>
        <w:jc w:val="both"/>
      </w:pPr>
      <w:r>
        <w:rPr>
          <w:rFonts w:hint="eastAsia" w:ascii="宋体" w:hAnsi="宋体" w:eastAsia="宋体" w:cs="宋体"/>
          <w:b/>
          <w:bCs/>
          <w:i w:val="0"/>
          <w:iCs w:val="0"/>
          <w:caps w:val="0"/>
          <w:color w:val="000000"/>
          <w:spacing w:val="0"/>
          <w:kern w:val="2"/>
          <w:sz w:val="32"/>
          <w:szCs w:val="32"/>
          <w:shd w:val="clear" w:fill="FFFFFF"/>
          <w:lang w:val="en-US" w:eastAsia="zh-CN" w:bidi="ar"/>
        </w:rPr>
        <w:t>二、主动公开政府信息情况</w:t>
      </w:r>
    </w:p>
    <w:tbl>
      <w:tblPr>
        <w:tblStyle w:val="3"/>
        <w:tblW w:w="8145" w:type="dxa"/>
        <w:tblInd w:w="3"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3114"/>
        <w:gridCol w:w="1709"/>
        <w:gridCol w:w="1439"/>
        <w:gridCol w:w="1883"/>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95" w:hRule="atLeast"/>
        </w:trPr>
        <w:tc>
          <w:tcPr>
            <w:tcW w:w="8145" w:type="dxa"/>
            <w:gridSpan w:val="4"/>
            <w:tcBorders>
              <w:bottom w:val="single" w:color="auto" w:sz="6" w:space="0"/>
            </w:tcBorders>
            <w:shd w:val="clear" w:color="auto" w:fill="C6D9F1"/>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第二十条第（一）项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30" w:hRule="atLeast"/>
        </w:trPr>
        <w:tc>
          <w:tcPr>
            <w:tcW w:w="3114" w:type="dxa"/>
            <w:tcBorders>
              <w:top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信息内容</w:t>
            </w:r>
          </w:p>
        </w:tc>
        <w:tc>
          <w:tcPr>
            <w:tcW w:w="1709"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本年新</w:t>
            </w:r>
            <w:r>
              <w:rPr>
                <w:rFonts w:hint="eastAsia" w:ascii="宋体" w:hAnsi="宋体" w:eastAsia="宋体" w:cs="宋体"/>
                <w:kern w:val="0"/>
                <w:sz w:val="20"/>
                <w:szCs w:val="20"/>
                <w:lang w:val="en-US" w:eastAsia="zh-CN" w:bidi="ar"/>
              </w:rPr>
              <w:t>制发件数</w:t>
            </w:r>
          </w:p>
        </w:tc>
        <w:tc>
          <w:tcPr>
            <w:tcW w:w="14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本年废止</w:t>
            </w:r>
            <w:r>
              <w:rPr>
                <w:rFonts w:hint="eastAsia" w:ascii="宋体" w:hAnsi="宋体" w:eastAsia="宋体" w:cs="宋体"/>
                <w:kern w:val="0"/>
                <w:sz w:val="20"/>
                <w:szCs w:val="20"/>
                <w:lang w:val="en-US" w:eastAsia="zh-CN" w:bidi="ar"/>
              </w:rPr>
              <w:t>件数</w:t>
            </w:r>
          </w:p>
        </w:tc>
        <w:tc>
          <w:tcPr>
            <w:tcW w:w="1883" w:type="dxa"/>
            <w:tcBorders>
              <w:top w:val="nil"/>
              <w:left w:val="nil"/>
              <w:bottom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现行有效件数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05" w:hRule="atLeast"/>
        </w:trPr>
        <w:tc>
          <w:tcPr>
            <w:tcW w:w="3114" w:type="dxa"/>
            <w:tcBorders>
              <w:top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规章</w:t>
            </w:r>
          </w:p>
        </w:tc>
        <w:tc>
          <w:tcPr>
            <w:tcW w:w="1709"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14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c>
          <w:tcPr>
            <w:tcW w:w="1883" w:type="dxa"/>
            <w:tcBorders>
              <w:top w:val="nil"/>
              <w:left w:val="nil"/>
              <w:bottom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75" w:hRule="atLeast"/>
        </w:trPr>
        <w:tc>
          <w:tcPr>
            <w:tcW w:w="3114" w:type="dxa"/>
            <w:tcBorders>
              <w:top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规范性文件</w:t>
            </w:r>
          </w:p>
        </w:tc>
        <w:tc>
          <w:tcPr>
            <w:tcW w:w="1709" w:type="dxa"/>
            <w:tcBorders>
              <w:top w:val="nil"/>
              <w:left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微软雅黑" w:hAnsi="微软雅黑" w:eastAsia="微软雅黑" w:cs="微软雅黑"/>
                <w:color w:val="333333"/>
                <w:kern w:val="2"/>
                <w:sz w:val="21"/>
                <w:szCs w:val="21"/>
                <w:lang w:val="en-US" w:eastAsia="zh-CN" w:bidi="ar"/>
              </w:rPr>
              <w:t>0</w:t>
            </w:r>
          </w:p>
        </w:tc>
        <w:tc>
          <w:tcPr>
            <w:tcW w:w="14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微软雅黑" w:hAnsi="微软雅黑" w:eastAsia="微软雅黑" w:cs="微软雅黑"/>
                <w:color w:val="333333"/>
                <w:kern w:val="2"/>
                <w:sz w:val="21"/>
                <w:szCs w:val="21"/>
                <w:lang w:val="en-US" w:eastAsia="zh-CN" w:bidi="ar"/>
              </w:rPr>
              <w:t>0</w:t>
            </w:r>
          </w:p>
        </w:tc>
        <w:tc>
          <w:tcPr>
            <w:tcW w:w="1883" w:type="dxa"/>
            <w:tcBorders>
              <w:top w:val="nil"/>
              <w:left w:val="nil"/>
              <w:bottom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微软雅黑" w:hAnsi="微软雅黑" w:eastAsia="微软雅黑" w:cs="微软雅黑"/>
                <w:color w:val="333333"/>
                <w:kern w:val="2"/>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80" w:hRule="atLeast"/>
        </w:trPr>
        <w:tc>
          <w:tcPr>
            <w:tcW w:w="8145" w:type="dxa"/>
            <w:gridSpan w:val="4"/>
            <w:tcBorders>
              <w:top w:val="nil"/>
              <w:bottom w:val="single" w:color="auto" w:sz="6" w:space="0"/>
            </w:tcBorders>
            <w:shd w:val="clear" w:color="auto" w:fill="C6D9F1"/>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第二十条第（五）项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75" w:hRule="atLeast"/>
        </w:trPr>
        <w:tc>
          <w:tcPr>
            <w:tcW w:w="3114" w:type="dxa"/>
            <w:tcBorders>
              <w:top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信息内容</w:t>
            </w:r>
          </w:p>
        </w:tc>
        <w:tc>
          <w:tcPr>
            <w:tcW w:w="5031" w:type="dxa"/>
            <w:gridSpan w:val="3"/>
            <w:tcBorders>
              <w:top w:val="nil"/>
              <w:left w:val="nil"/>
              <w:bottom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本年处理决定数量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05" w:hRule="atLeast"/>
        </w:trPr>
        <w:tc>
          <w:tcPr>
            <w:tcW w:w="3114" w:type="dxa"/>
            <w:tcBorders>
              <w:top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行政许可</w:t>
            </w:r>
          </w:p>
        </w:tc>
        <w:tc>
          <w:tcPr>
            <w:tcW w:w="5031" w:type="dxa"/>
            <w:gridSpan w:val="3"/>
            <w:tcBorders>
              <w:top w:val="nil"/>
              <w:left w:val="nil"/>
              <w:bottom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微软雅黑" w:hAnsi="微软雅黑" w:eastAsia="微软雅黑" w:cs="微软雅黑"/>
                <w:color w:val="333333"/>
                <w:kern w:val="2"/>
                <w:sz w:val="21"/>
                <w:szCs w:val="21"/>
                <w:lang w:val="en-US" w:eastAsia="zh-CN" w:bidi="ar"/>
              </w:rPr>
              <w:t>89</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60" w:hRule="atLeast"/>
        </w:trPr>
        <w:tc>
          <w:tcPr>
            <w:tcW w:w="8145" w:type="dxa"/>
            <w:gridSpan w:val="4"/>
            <w:tcBorders>
              <w:top w:val="nil"/>
              <w:bottom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第二十条第（六）项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05" w:hRule="atLeast"/>
        </w:trPr>
        <w:tc>
          <w:tcPr>
            <w:tcW w:w="3114" w:type="dxa"/>
            <w:tcBorders>
              <w:top w:val="nil"/>
              <w:bottom w:val="single" w:color="auto" w:sz="6" w:space="0"/>
              <w:right w:val="single" w:color="auto" w:sz="6" w:space="0"/>
            </w:tcBorders>
            <w:shd w:val="clear" w:color="auto" w:fill="C6D9F1"/>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信息内容</w:t>
            </w:r>
          </w:p>
        </w:tc>
        <w:tc>
          <w:tcPr>
            <w:tcW w:w="5031" w:type="dxa"/>
            <w:gridSpan w:val="3"/>
            <w:tcBorders>
              <w:top w:val="nil"/>
              <w:left w:val="nil"/>
              <w:bottom w:val="single" w:color="auto" w:sz="6" w:space="0"/>
            </w:tcBorders>
            <w:shd w:val="clear" w:color="auto" w:fill="C6D9F1"/>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本年处理决定数量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95" w:hRule="atLeast"/>
        </w:trPr>
        <w:tc>
          <w:tcPr>
            <w:tcW w:w="3114" w:type="dxa"/>
            <w:tcBorders>
              <w:top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行政处罚</w:t>
            </w:r>
          </w:p>
        </w:tc>
        <w:tc>
          <w:tcPr>
            <w:tcW w:w="5031" w:type="dxa"/>
            <w:gridSpan w:val="3"/>
            <w:tcBorders>
              <w:top w:val="nil"/>
              <w:left w:val="nil"/>
              <w:bottom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微软雅黑" w:hAnsi="微软雅黑" w:eastAsia="微软雅黑" w:cs="微软雅黑"/>
                <w:color w:val="333333"/>
                <w:kern w:val="2"/>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95" w:hRule="atLeast"/>
        </w:trPr>
        <w:tc>
          <w:tcPr>
            <w:tcW w:w="3114" w:type="dxa"/>
            <w:tcBorders>
              <w:top w:val="nil"/>
              <w:bottom w:val="single" w:color="auto" w:sz="6" w:space="0"/>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行政强制</w:t>
            </w:r>
          </w:p>
        </w:tc>
        <w:tc>
          <w:tcPr>
            <w:tcW w:w="5031" w:type="dxa"/>
            <w:gridSpan w:val="3"/>
            <w:tcBorders>
              <w:top w:val="nil"/>
              <w:left w:val="nil"/>
              <w:bottom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微软雅黑" w:hAnsi="微软雅黑" w:eastAsia="微软雅黑" w:cs="微软雅黑"/>
                <w:color w:val="333333"/>
                <w:kern w:val="2"/>
                <w:sz w:val="21"/>
                <w:szCs w:val="21"/>
                <w:lang w:val="en-US" w:eastAsia="zh-CN" w:bidi="ar"/>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0" w:hRule="atLeast"/>
        </w:trPr>
        <w:tc>
          <w:tcPr>
            <w:tcW w:w="8145" w:type="dxa"/>
            <w:gridSpan w:val="4"/>
            <w:tcBorders>
              <w:top w:val="nil"/>
              <w:bottom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第二十条第（八）项</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80" w:hRule="atLeast"/>
        </w:trPr>
        <w:tc>
          <w:tcPr>
            <w:tcW w:w="3114" w:type="dxa"/>
            <w:tcBorders>
              <w:top w:val="nil"/>
              <w:bottom w:val="single" w:color="auto" w:sz="6" w:space="0"/>
              <w:right w:val="single" w:color="auto" w:sz="6" w:space="0"/>
            </w:tcBorders>
            <w:shd w:val="clear" w:color="auto" w:fill="C6D9F1"/>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信息内容</w:t>
            </w:r>
          </w:p>
        </w:tc>
        <w:tc>
          <w:tcPr>
            <w:tcW w:w="5031" w:type="dxa"/>
            <w:gridSpan w:val="3"/>
            <w:tcBorders>
              <w:top w:val="nil"/>
              <w:left w:val="nil"/>
              <w:bottom w:val="single" w:color="auto" w:sz="6" w:space="0"/>
            </w:tcBorders>
            <w:shd w:val="clear" w:color="auto" w:fill="C6D9F1"/>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70" w:hRule="atLeast"/>
        </w:trPr>
        <w:tc>
          <w:tcPr>
            <w:tcW w:w="3114" w:type="dxa"/>
            <w:tcBorders>
              <w:top w:val="nil"/>
              <w:right w:val="single" w:color="auto" w:sz="6" w:space="0"/>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行政事业性收费</w:t>
            </w:r>
          </w:p>
        </w:tc>
        <w:tc>
          <w:tcPr>
            <w:tcW w:w="5031" w:type="dxa"/>
            <w:gridSpan w:val="3"/>
            <w:tcBorders>
              <w:top w:val="nil"/>
              <w:left w:val="nil"/>
            </w:tcBorders>
            <w:shd w:val="clear" w:color="auto" w:fill="FFFFFF"/>
            <w:noWrap/>
            <w:tcMar>
              <w:top w:w="0" w:type="dxa"/>
              <w:left w:w="105" w:type="dxa"/>
              <w:bottom w:w="0" w:type="dxa"/>
              <w:right w:w="105" w:type="dxa"/>
            </w:tcMar>
            <w:vAlign w:val="center"/>
          </w:tcPr>
          <w:p>
            <w:pPr>
              <w:keepNext w:val="0"/>
              <w:keepLines w:val="0"/>
              <w:widowControl/>
              <w:suppressLineNumbers w:val="0"/>
              <w:spacing w:before="0" w:beforeAutospacing="0" w:after="0" w:afterAutospacing="0"/>
              <w:ind w:left="0" w:leftChars="0" w:right="0" w:rightChars="0"/>
              <w:jc w:val="center"/>
            </w:pPr>
            <w:r>
              <w:rPr>
                <w:rFonts w:hint="eastAsia" w:ascii="宋体" w:hAnsi="宋体" w:eastAsia="宋体" w:cs="宋体"/>
                <w:color w:val="000000"/>
                <w:kern w:val="0"/>
                <w:sz w:val="20"/>
                <w:szCs w:val="20"/>
                <w:lang w:val="en-US" w:eastAsia="zh-CN" w:bidi="ar"/>
              </w:rPr>
              <w:t>0</w:t>
            </w:r>
          </w:p>
        </w:tc>
      </w:tr>
    </w:tbl>
    <w:p>
      <w:pPr>
        <w:pStyle w:val="2"/>
        <w:keepNext w:val="0"/>
        <w:keepLines w:val="0"/>
        <w:widowControl/>
        <w:suppressLineNumbers w:val="0"/>
        <w:shd w:val="clear" w:fill="FFFFFF"/>
        <w:spacing w:before="0" w:beforeAutospacing="1" w:after="0" w:afterAutospacing="1"/>
        <w:ind w:left="0" w:right="0"/>
        <w:jc w:val="both"/>
      </w:pPr>
      <w:r>
        <w:rPr>
          <w:rFonts w:hint="eastAsia" w:ascii="宋体" w:hAnsi="宋体" w:eastAsia="宋体" w:cs="宋体"/>
          <w:b/>
          <w:bCs/>
          <w:i w:val="0"/>
          <w:iCs w:val="0"/>
          <w:caps w:val="0"/>
          <w:color w:val="000000"/>
          <w:spacing w:val="0"/>
          <w:kern w:val="2"/>
          <w:sz w:val="32"/>
          <w:szCs w:val="32"/>
          <w:shd w:val="clear" w:fill="FFFFFF"/>
          <w:lang w:val="en-US" w:eastAsia="zh-CN" w:bidi="ar"/>
        </w:rPr>
        <w:t xml:space="preserve"> </w:t>
      </w:r>
    </w:p>
    <w:p>
      <w:pPr>
        <w:pStyle w:val="2"/>
        <w:keepNext w:val="0"/>
        <w:keepLines w:val="0"/>
        <w:widowControl/>
        <w:numPr>
          <w:ilvl w:val="0"/>
          <w:numId w:val="0"/>
        </w:numPr>
        <w:suppressLineNumbers w:val="0"/>
        <w:shd w:val="clear" w:fill="FFFFFF"/>
        <w:spacing w:before="0" w:beforeAutospacing="1" w:after="0" w:afterAutospacing="1"/>
        <w:ind w:left="0" w:right="0" w:firstLine="420"/>
        <w:jc w:val="both"/>
      </w:pPr>
      <w:r>
        <w:rPr>
          <w:rFonts w:hint="eastAsia" w:ascii="宋体" w:hAnsi="宋体" w:eastAsia="宋体" w:cs="宋体"/>
          <w:b/>
          <w:bCs/>
          <w:i w:val="0"/>
          <w:iCs w:val="0"/>
          <w:caps w:val="0"/>
          <w:color w:val="000000"/>
          <w:spacing w:val="0"/>
          <w:kern w:val="2"/>
          <w:sz w:val="32"/>
          <w:szCs w:val="32"/>
          <w:shd w:val="clear" w:fill="FFFFFF"/>
          <w:lang w:val="en-US" w:eastAsia="zh-CN" w:bidi="ar"/>
        </w:rPr>
        <w:t>三、收到和处理政府信息公开申请情况</w:t>
      </w:r>
    </w:p>
    <w:tbl>
      <w:tblPr>
        <w:tblStyle w:val="3"/>
        <w:tblW w:w="9075" w:type="dxa"/>
        <w:tblInd w:w="3"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13"/>
        <w:gridCol w:w="780"/>
        <w:gridCol w:w="2696"/>
        <w:gridCol w:w="516"/>
        <w:gridCol w:w="712"/>
        <w:gridCol w:w="712"/>
        <w:gridCol w:w="768"/>
        <w:gridCol w:w="908"/>
        <w:gridCol w:w="685"/>
        <w:gridCol w:w="68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15" w:type="dxa"/>
            <w:left w:w="15" w:type="dxa"/>
            <w:bottom w:w="15" w:type="dxa"/>
            <w:right w:w="15" w:type="dxa"/>
          </w:tblCellMar>
        </w:tblPrEx>
        <w:tc>
          <w:tcPr>
            <w:tcW w:w="4089" w:type="dxa"/>
            <w:gridSpan w:val="3"/>
            <w:vMerge w:val="restart"/>
            <w:tcBorders>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（本列数据的勾稽关系为：第一项加第二项之和，等于第三项加第四项之和）</w:t>
            </w:r>
          </w:p>
        </w:tc>
        <w:tc>
          <w:tcPr>
            <w:tcW w:w="4986" w:type="dxa"/>
            <w:gridSpan w:val="7"/>
            <w:tcBorders>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申请人情况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4089" w:type="dxa"/>
            <w:gridSpan w:val="3"/>
            <w:vMerge w:val="continue"/>
            <w:tcBorders>
              <w:top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516"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自然人</w:t>
            </w:r>
          </w:p>
        </w:tc>
        <w:tc>
          <w:tcPr>
            <w:tcW w:w="3785"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法人或其他组织</w:t>
            </w:r>
          </w:p>
        </w:tc>
        <w:tc>
          <w:tcPr>
            <w:tcW w:w="685" w:type="dxa"/>
            <w:vMerge w:val="restart"/>
            <w:tcBorders>
              <w:top w:val="nil"/>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总计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4089" w:type="dxa"/>
            <w:gridSpan w:val="3"/>
            <w:vMerge w:val="continue"/>
            <w:tcBorders>
              <w:top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516"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商业企业</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科研机构</w:t>
            </w:r>
          </w:p>
        </w:tc>
        <w:tc>
          <w:tcPr>
            <w:tcW w:w="7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社会公益组织</w:t>
            </w:r>
          </w:p>
        </w:tc>
        <w:tc>
          <w:tcPr>
            <w:tcW w:w="9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法律服务机构</w:t>
            </w: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其他</w:t>
            </w:r>
          </w:p>
        </w:tc>
        <w:tc>
          <w:tcPr>
            <w:tcW w:w="685" w:type="dxa"/>
            <w:vMerge w:val="continue"/>
            <w:tcBorders>
              <w:top w:val="nil"/>
              <w:left w:val="nil"/>
              <w:bottom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65" w:hRule="atLeast"/>
        </w:trPr>
        <w:tc>
          <w:tcPr>
            <w:tcW w:w="4089" w:type="dxa"/>
            <w:gridSpan w:val="3"/>
            <w:tcBorders>
              <w:top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宋体" w:hAnsi="宋体" w:eastAsia="宋体" w:cs="宋体"/>
                <w:i w:val="0"/>
                <w:iCs w:val="0"/>
                <w:caps w:val="0"/>
                <w:color w:val="333333"/>
                <w:spacing w:val="0"/>
                <w:kern w:val="0"/>
                <w:sz w:val="19"/>
                <w:szCs w:val="19"/>
                <w:lang w:val="en-US" w:eastAsia="zh-CN" w:bidi="ar"/>
              </w:rPr>
              <w:t>一、本年新收政府信息公开申请数量</w:t>
            </w:r>
          </w:p>
        </w:tc>
        <w:tc>
          <w:tcPr>
            <w:tcW w:w="5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9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0" w:hRule="atLeast"/>
        </w:trPr>
        <w:tc>
          <w:tcPr>
            <w:tcW w:w="4089" w:type="dxa"/>
            <w:gridSpan w:val="3"/>
            <w:tcBorders>
              <w:top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宋体" w:hAnsi="宋体" w:eastAsia="宋体" w:cs="宋体"/>
                <w:i w:val="0"/>
                <w:iCs w:val="0"/>
                <w:caps w:val="0"/>
                <w:color w:val="333333"/>
                <w:spacing w:val="0"/>
                <w:kern w:val="0"/>
                <w:sz w:val="19"/>
                <w:szCs w:val="19"/>
                <w:lang w:val="en-US" w:eastAsia="zh-CN" w:bidi="ar"/>
              </w:rPr>
              <w:t>二、上年结转政府信息公开申请数量</w:t>
            </w:r>
          </w:p>
        </w:tc>
        <w:tc>
          <w:tcPr>
            <w:tcW w:w="5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9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90" w:hRule="atLeast"/>
        </w:trPr>
        <w:tc>
          <w:tcPr>
            <w:tcW w:w="613" w:type="dxa"/>
            <w:vMerge w:val="restart"/>
            <w:tcBorders>
              <w:top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三、本年度办理结果</w:t>
            </w:r>
          </w:p>
        </w:tc>
        <w:tc>
          <w:tcPr>
            <w:tcW w:w="3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ascii="楷体" w:hAnsi="楷体" w:eastAsia="楷体" w:cs="楷体"/>
                <w:i w:val="0"/>
                <w:iCs w:val="0"/>
                <w:caps w:val="0"/>
                <w:color w:val="333333"/>
                <w:spacing w:val="0"/>
                <w:kern w:val="0"/>
                <w:sz w:val="19"/>
                <w:szCs w:val="19"/>
                <w:lang w:val="en-US" w:eastAsia="zh-CN" w:bidi="ar"/>
              </w:rPr>
              <w:t>（一）予以公开</w:t>
            </w:r>
          </w:p>
        </w:tc>
        <w:tc>
          <w:tcPr>
            <w:tcW w:w="5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9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613" w:type="dxa"/>
            <w:vMerge w:val="continue"/>
            <w:tcBorders>
              <w:top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3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楷体" w:hAnsi="楷体" w:eastAsia="楷体" w:cs="楷体"/>
                <w:i w:val="0"/>
                <w:iCs w:val="0"/>
                <w:caps w:val="0"/>
                <w:color w:val="333333"/>
                <w:spacing w:val="0"/>
                <w:kern w:val="0"/>
                <w:sz w:val="19"/>
                <w:szCs w:val="19"/>
                <w:lang w:val="en-US" w:eastAsia="zh-CN" w:bidi="ar"/>
              </w:rPr>
              <w:t>（二）部分公开（区分处理的，只计这一情形，不计其他情形）</w:t>
            </w:r>
          </w:p>
        </w:tc>
        <w:tc>
          <w:tcPr>
            <w:tcW w:w="5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9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65" w:hRule="atLeast"/>
        </w:trPr>
        <w:tc>
          <w:tcPr>
            <w:tcW w:w="613" w:type="dxa"/>
            <w:vMerge w:val="continue"/>
            <w:tcBorders>
              <w:top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78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楷体" w:hAnsi="楷体" w:eastAsia="楷体" w:cs="楷体"/>
                <w:i w:val="0"/>
                <w:iCs w:val="0"/>
                <w:caps w:val="0"/>
                <w:color w:val="333333"/>
                <w:spacing w:val="0"/>
                <w:kern w:val="0"/>
                <w:sz w:val="19"/>
                <w:szCs w:val="19"/>
                <w:lang w:val="en-US" w:eastAsia="zh-CN" w:bidi="ar"/>
              </w:rPr>
              <w:t>（三）不予公开</w:t>
            </w:r>
          </w:p>
        </w:tc>
        <w:tc>
          <w:tcPr>
            <w:tcW w:w="269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楷体" w:hAnsi="楷体" w:eastAsia="楷体" w:cs="楷体"/>
                <w:i w:val="0"/>
                <w:iCs w:val="0"/>
                <w:caps w:val="0"/>
                <w:color w:val="333333"/>
                <w:spacing w:val="0"/>
                <w:kern w:val="0"/>
                <w:sz w:val="19"/>
                <w:szCs w:val="19"/>
                <w:lang w:val="en-US" w:eastAsia="zh-CN" w:bidi="ar"/>
              </w:rPr>
              <w:t>1.属于国家秘密</w:t>
            </w:r>
          </w:p>
        </w:tc>
        <w:tc>
          <w:tcPr>
            <w:tcW w:w="5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9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613" w:type="dxa"/>
            <w:vMerge w:val="continue"/>
            <w:tcBorders>
              <w:top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69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楷体" w:hAnsi="楷体" w:eastAsia="楷体" w:cs="楷体"/>
                <w:i w:val="0"/>
                <w:iCs w:val="0"/>
                <w:caps w:val="0"/>
                <w:color w:val="333333"/>
                <w:spacing w:val="0"/>
                <w:kern w:val="0"/>
                <w:sz w:val="19"/>
                <w:szCs w:val="19"/>
                <w:lang w:val="en-US" w:eastAsia="zh-CN" w:bidi="ar"/>
              </w:rPr>
              <w:t>2.其他法律行政法规禁止公开</w:t>
            </w:r>
          </w:p>
        </w:tc>
        <w:tc>
          <w:tcPr>
            <w:tcW w:w="5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9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613" w:type="dxa"/>
            <w:vMerge w:val="continue"/>
            <w:tcBorders>
              <w:top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69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楷体" w:hAnsi="楷体" w:eastAsia="楷体" w:cs="楷体"/>
                <w:i w:val="0"/>
                <w:iCs w:val="0"/>
                <w:caps w:val="0"/>
                <w:color w:val="333333"/>
                <w:spacing w:val="0"/>
                <w:kern w:val="0"/>
                <w:sz w:val="19"/>
                <w:szCs w:val="19"/>
                <w:lang w:val="en-US" w:eastAsia="zh-CN" w:bidi="ar"/>
              </w:rPr>
              <w:t>3.危及“三安全一稳定”</w:t>
            </w:r>
          </w:p>
        </w:tc>
        <w:tc>
          <w:tcPr>
            <w:tcW w:w="5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9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613" w:type="dxa"/>
            <w:vMerge w:val="continue"/>
            <w:tcBorders>
              <w:top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69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楷体" w:hAnsi="楷体" w:eastAsia="楷体" w:cs="楷体"/>
                <w:i w:val="0"/>
                <w:iCs w:val="0"/>
                <w:caps w:val="0"/>
                <w:color w:val="333333"/>
                <w:spacing w:val="0"/>
                <w:kern w:val="0"/>
                <w:sz w:val="19"/>
                <w:szCs w:val="19"/>
                <w:lang w:val="en-US" w:eastAsia="zh-CN" w:bidi="ar"/>
              </w:rPr>
              <w:t>4.保护第三方合法权益</w:t>
            </w:r>
          </w:p>
        </w:tc>
        <w:tc>
          <w:tcPr>
            <w:tcW w:w="5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9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613" w:type="dxa"/>
            <w:vMerge w:val="continue"/>
            <w:tcBorders>
              <w:top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69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楷体" w:hAnsi="楷体" w:eastAsia="楷体" w:cs="楷体"/>
                <w:i w:val="0"/>
                <w:iCs w:val="0"/>
                <w:caps w:val="0"/>
                <w:color w:val="333333"/>
                <w:spacing w:val="0"/>
                <w:kern w:val="0"/>
                <w:sz w:val="19"/>
                <w:szCs w:val="19"/>
                <w:lang w:val="en-US" w:eastAsia="zh-CN" w:bidi="ar"/>
              </w:rPr>
              <w:t>5.属于三类内部事务信息</w:t>
            </w:r>
          </w:p>
        </w:tc>
        <w:tc>
          <w:tcPr>
            <w:tcW w:w="5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9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613" w:type="dxa"/>
            <w:vMerge w:val="continue"/>
            <w:tcBorders>
              <w:top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69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楷体" w:hAnsi="楷体" w:eastAsia="楷体" w:cs="楷体"/>
                <w:i w:val="0"/>
                <w:iCs w:val="0"/>
                <w:caps w:val="0"/>
                <w:color w:val="333333"/>
                <w:spacing w:val="0"/>
                <w:kern w:val="0"/>
                <w:sz w:val="19"/>
                <w:szCs w:val="19"/>
                <w:lang w:val="en-US" w:eastAsia="zh-CN" w:bidi="ar"/>
              </w:rPr>
              <w:t>6.属于四类过程性信息</w:t>
            </w:r>
          </w:p>
        </w:tc>
        <w:tc>
          <w:tcPr>
            <w:tcW w:w="5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9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613" w:type="dxa"/>
            <w:vMerge w:val="continue"/>
            <w:tcBorders>
              <w:top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69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楷体" w:hAnsi="楷体" w:eastAsia="楷体" w:cs="楷体"/>
                <w:i w:val="0"/>
                <w:iCs w:val="0"/>
                <w:caps w:val="0"/>
                <w:color w:val="333333"/>
                <w:spacing w:val="0"/>
                <w:kern w:val="0"/>
                <w:sz w:val="19"/>
                <w:szCs w:val="19"/>
                <w:lang w:val="en-US" w:eastAsia="zh-CN" w:bidi="ar"/>
              </w:rPr>
              <w:t>7.属于行政执法案卷</w:t>
            </w:r>
          </w:p>
        </w:tc>
        <w:tc>
          <w:tcPr>
            <w:tcW w:w="5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9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613" w:type="dxa"/>
            <w:vMerge w:val="continue"/>
            <w:tcBorders>
              <w:top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69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楷体" w:hAnsi="楷体" w:eastAsia="楷体" w:cs="楷体"/>
                <w:i w:val="0"/>
                <w:iCs w:val="0"/>
                <w:caps w:val="0"/>
                <w:color w:val="333333"/>
                <w:spacing w:val="0"/>
                <w:kern w:val="0"/>
                <w:sz w:val="19"/>
                <w:szCs w:val="19"/>
                <w:lang w:val="en-US" w:eastAsia="zh-CN" w:bidi="ar"/>
              </w:rPr>
              <w:t>8.属于行政查询事项</w:t>
            </w:r>
          </w:p>
        </w:tc>
        <w:tc>
          <w:tcPr>
            <w:tcW w:w="5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9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613" w:type="dxa"/>
            <w:vMerge w:val="continue"/>
            <w:tcBorders>
              <w:top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78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楷体" w:hAnsi="楷体" w:eastAsia="楷体" w:cs="楷体"/>
                <w:i w:val="0"/>
                <w:iCs w:val="0"/>
                <w:caps w:val="0"/>
                <w:color w:val="333333"/>
                <w:spacing w:val="0"/>
                <w:kern w:val="0"/>
                <w:sz w:val="19"/>
                <w:szCs w:val="19"/>
                <w:lang w:val="en-US" w:eastAsia="zh-CN" w:bidi="ar"/>
              </w:rPr>
              <w:t>（四）无法提供</w:t>
            </w:r>
          </w:p>
        </w:tc>
        <w:tc>
          <w:tcPr>
            <w:tcW w:w="269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楷体" w:hAnsi="楷体" w:eastAsia="楷体" w:cs="楷体"/>
                <w:i w:val="0"/>
                <w:iCs w:val="0"/>
                <w:caps w:val="0"/>
                <w:color w:val="333333"/>
                <w:spacing w:val="0"/>
                <w:kern w:val="0"/>
                <w:sz w:val="19"/>
                <w:szCs w:val="19"/>
                <w:lang w:val="en-US" w:eastAsia="zh-CN" w:bidi="ar"/>
              </w:rPr>
              <w:t>1.本机关不掌握相关政府信息</w:t>
            </w:r>
          </w:p>
        </w:tc>
        <w:tc>
          <w:tcPr>
            <w:tcW w:w="5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9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613" w:type="dxa"/>
            <w:vMerge w:val="continue"/>
            <w:tcBorders>
              <w:top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69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楷体" w:hAnsi="楷体" w:eastAsia="楷体" w:cs="楷体"/>
                <w:i w:val="0"/>
                <w:iCs w:val="0"/>
                <w:caps w:val="0"/>
                <w:color w:val="333333"/>
                <w:spacing w:val="0"/>
                <w:kern w:val="0"/>
                <w:sz w:val="19"/>
                <w:szCs w:val="19"/>
                <w:lang w:val="en-US" w:eastAsia="zh-CN" w:bidi="ar"/>
              </w:rPr>
              <w:t>2.没有现成信息需要另行制作</w:t>
            </w:r>
          </w:p>
        </w:tc>
        <w:tc>
          <w:tcPr>
            <w:tcW w:w="5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9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613" w:type="dxa"/>
            <w:vMerge w:val="continue"/>
            <w:tcBorders>
              <w:top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69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楷体" w:hAnsi="楷体" w:eastAsia="楷体" w:cs="楷体"/>
                <w:i w:val="0"/>
                <w:iCs w:val="0"/>
                <w:caps w:val="0"/>
                <w:color w:val="333333"/>
                <w:spacing w:val="0"/>
                <w:kern w:val="0"/>
                <w:sz w:val="19"/>
                <w:szCs w:val="19"/>
                <w:lang w:val="en-US" w:eastAsia="zh-CN" w:bidi="ar"/>
              </w:rPr>
              <w:t>3.补正后申请内容仍不明确</w:t>
            </w:r>
          </w:p>
        </w:tc>
        <w:tc>
          <w:tcPr>
            <w:tcW w:w="5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9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613" w:type="dxa"/>
            <w:vMerge w:val="continue"/>
            <w:tcBorders>
              <w:top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78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楷体" w:hAnsi="楷体" w:eastAsia="楷体" w:cs="楷体"/>
                <w:i w:val="0"/>
                <w:iCs w:val="0"/>
                <w:caps w:val="0"/>
                <w:color w:val="333333"/>
                <w:spacing w:val="0"/>
                <w:kern w:val="0"/>
                <w:sz w:val="19"/>
                <w:szCs w:val="19"/>
                <w:lang w:val="en-US" w:eastAsia="zh-CN" w:bidi="ar"/>
              </w:rPr>
              <w:t>（五）不予处理</w:t>
            </w:r>
          </w:p>
        </w:tc>
        <w:tc>
          <w:tcPr>
            <w:tcW w:w="269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楷体" w:hAnsi="楷体" w:eastAsia="楷体" w:cs="楷体"/>
                <w:i w:val="0"/>
                <w:iCs w:val="0"/>
                <w:caps w:val="0"/>
                <w:color w:val="333333"/>
                <w:spacing w:val="0"/>
                <w:kern w:val="0"/>
                <w:sz w:val="19"/>
                <w:szCs w:val="19"/>
                <w:lang w:val="en-US" w:eastAsia="zh-CN" w:bidi="ar"/>
              </w:rPr>
              <w:t>1.信访举报投诉类申请</w:t>
            </w:r>
          </w:p>
        </w:tc>
        <w:tc>
          <w:tcPr>
            <w:tcW w:w="5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0</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9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613" w:type="dxa"/>
            <w:vMerge w:val="continue"/>
            <w:tcBorders>
              <w:top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69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楷体" w:hAnsi="楷体" w:eastAsia="楷体" w:cs="楷体"/>
                <w:i w:val="0"/>
                <w:iCs w:val="0"/>
                <w:caps w:val="0"/>
                <w:color w:val="333333"/>
                <w:spacing w:val="0"/>
                <w:kern w:val="0"/>
                <w:sz w:val="19"/>
                <w:szCs w:val="19"/>
                <w:lang w:val="en-US" w:eastAsia="zh-CN" w:bidi="ar"/>
              </w:rPr>
              <w:t>2.重复申请</w:t>
            </w:r>
          </w:p>
        </w:tc>
        <w:tc>
          <w:tcPr>
            <w:tcW w:w="5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9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613" w:type="dxa"/>
            <w:vMerge w:val="continue"/>
            <w:tcBorders>
              <w:top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69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楷体" w:hAnsi="楷体" w:eastAsia="楷体" w:cs="楷体"/>
                <w:i w:val="0"/>
                <w:iCs w:val="0"/>
                <w:caps w:val="0"/>
                <w:color w:val="333333"/>
                <w:spacing w:val="0"/>
                <w:kern w:val="0"/>
                <w:sz w:val="19"/>
                <w:szCs w:val="19"/>
                <w:lang w:val="en-US" w:eastAsia="zh-CN" w:bidi="ar"/>
              </w:rPr>
              <w:t>3.要求提供公开出版物</w:t>
            </w:r>
          </w:p>
        </w:tc>
        <w:tc>
          <w:tcPr>
            <w:tcW w:w="5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9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613" w:type="dxa"/>
            <w:vMerge w:val="continue"/>
            <w:tcBorders>
              <w:top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69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楷体" w:hAnsi="楷体" w:eastAsia="楷体" w:cs="楷体"/>
                <w:i w:val="0"/>
                <w:iCs w:val="0"/>
                <w:caps w:val="0"/>
                <w:color w:val="333333"/>
                <w:spacing w:val="0"/>
                <w:kern w:val="0"/>
                <w:sz w:val="19"/>
                <w:szCs w:val="19"/>
                <w:lang w:val="en-US" w:eastAsia="zh-CN" w:bidi="ar"/>
              </w:rPr>
              <w:t>4.无正当理由大量反复申请</w:t>
            </w:r>
          </w:p>
        </w:tc>
        <w:tc>
          <w:tcPr>
            <w:tcW w:w="5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9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613" w:type="dxa"/>
            <w:vMerge w:val="continue"/>
            <w:tcBorders>
              <w:top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69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楷体" w:hAnsi="楷体" w:eastAsia="楷体" w:cs="楷体"/>
                <w:i w:val="0"/>
                <w:iCs w:val="0"/>
                <w:caps w:val="0"/>
                <w:color w:val="333333"/>
                <w:spacing w:val="0"/>
                <w:kern w:val="0"/>
                <w:sz w:val="19"/>
                <w:szCs w:val="19"/>
                <w:lang w:val="en-US" w:eastAsia="zh-CN" w:bidi="ar"/>
              </w:rPr>
              <w:t>5.要求行政机关确认或重新出具已获取信息</w:t>
            </w:r>
          </w:p>
        </w:tc>
        <w:tc>
          <w:tcPr>
            <w:tcW w:w="5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9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95" w:hRule="atLeast"/>
        </w:trPr>
        <w:tc>
          <w:tcPr>
            <w:tcW w:w="613" w:type="dxa"/>
            <w:vMerge w:val="continue"/>
            <w:tcBorders>
              <w:top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780" w:type="dxa"/>
            <w:vMerge w:val="restart"/>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微软雅黑" w:hAnsi="微软雅黑" w:eastAsia="微软雅黑" w:cs="微软雅黑"/>
                <w:color w:val="333333"/>
                <w:kern w:val="0"/>
                <w:sz w:val="24"/>
                <w:szCs w:val="24"/>
                <w:lang w:val="en-US" w:eastAsia="zh-CN" w:bidi="ar"/>
              </w:rPr>
              <w:t>（</w:t>
            </w:r>
            <w:r>
              <w:rPr>
                <w:rFonts w:hint="eastAsia" w:ascii="楷体" w:hAnsi="楷体" w:eastAsia="楷体" w:cs="楷体"/>
                <w:i w:val="0"/>
                <w:iCs w:val="0"/>
                <w:caps w:val="0"/>
                <w:color w:val="333333"/>
                <w:spacing w:val="0"/>
                <w:kern w:val="0"/>
                <w:sz w:val="19"/>
                <w:szCs w:val="19"/>
                <w:lang w:val="en-US" w:eastAsia="zh-CN" w:bidi="ar"/>
              </w:rPr>
              <w:t>6）其他处理</w:t>
            </w:r>
          </w:p>
        </w:tc>
        <w:tc>
          <w:tcPr>
            <w:tcW w:w="269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楷体" w:hAnsi="楷体" w:eastAsia="楷体" w:cs="楷体"/>
                <w:i w:val="0"/>
                <w:iCs w:val="0"/>
                <w:caps w:val="0"/>
                <w:color w:val="333333"/>
                <w:spacing w:val="0"/>
                <w:kern w:val="0"/>
                <w:sz w:val="19"/>
                <w:szCs w:val="19"/>
                <w:lang w:val="en-US" w:eastAsia="zh-CN" w:bidi="ar"/>
              </w:rPr>
              <w:t>1.申请人无正当理由逾期不补正、行政机关不再处理其政府信息公开申请</w:t>
            </w:r>
          </w:p>
        </w:tc>
        <w:tc>
          <w:tcPr>
            <w:tcW w:w="5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9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95" w:hRule="atLeast"/>
        </w:trPr>
        <w:tc>
          <w:tcPr>
            <w:tcW w:w="613" w:type="dxa"/>
            <w:vMerge w:val="continue"/>
            <w:tcBorders>
              <w:top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69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楷体" w:hAnsi="楷体" w:eastAsia="楷体" w:cs="楷体"/>
                <w:i w:val="0"/>
                <w:iCs w:val="0"/>
                <w:caps w:val="0"/>
                <w:color w:val="333333"/>
                <w:spacing w:val="0"/>
                <w:kern w:val="0"/>
                <w:sz w:val="19"/>
                <w:szCs w:val="19"/>
                <w:lang w:val="en-US" w:eastAsia="zh-CN" w:bidi="ar"/>
              </w:rPr>
              <w:t>2.申请人逾期未按收费通知要求缴纳费用、行政机关不再处理其政府信息公开申请</w:t>
            </w:r>
          </w:p>
        </w:tc>
        <w:tc>
          <w:tcPr>
            <w:tcW w:w="5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0</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0</w:t>
            </w:r>
          </w:p>
        </w:tc>
        <w:tc>
          <w:tcPr>
            <w:tcW w:w="7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p>
        </w:tc>
        <w:tc>
          <w:tcPr>
            <w:tcW w:w="9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0</w:t>
            </w: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0</w:t>
            </w:r>
          </w:p>
        </w:tc>
        <w:tc>
          <w:tcPr>
            <w:tcW w:w="685" w:type="dxa"/>
            <w:tcBorders>
              <w:top w:val="nil"/>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95" w:hRule="atLeast"/>
        </w:trPr>
        <w:tc>
          <w:tcPr>
            <w:tcW w:w="613" w:type="dxa"/>
            <w:vMerge w:val="continue"/>
            <w:tcBorders>
              <w:top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780" w:type="dxa"/>
            <w:vMerge w:val="continue"/>
            <w:tcBorders>
              <w:top w:val="nil"/>
              <w:left w:val="nil"/>
              <w:bottom w:val="nil"/>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269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楷体" w:hAnsi="楷体" w:eastAsia="楷体" w:cs="楷体"/>
                <w:i w:val="0"/>
                <w:iCs w:val="0"/>
                <w:caps w:val="0"/>
                <w:color w:val="333333"/>
                <w:spacing w:val="0"/>
                <w:kern w:val="0"/>
                <w:sz w:val="19"/>
                <w:szCs w:val="19"/>
                <w:lang w:val="en-US" w:eastAsia="zh-CN" w:bidi="ar"/>
              </w:rPr>
              <w:t>3.其他</w:t>
            </w:r>
          </w:p>
        </w:tc>
        <w:tc>
          <w:tcPr>
            <w:tcW w:w="5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0</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0</w:t>
            </w:r>
          </w:p>
        </w:tc>
        <w:tc>
          <w:tcPr>
            <w:tcW w:w="7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p>
        </w:tc>
        <w:tc>
          <w:tcPr>
            <w:tcW w:w="9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0</w:t>
            </w: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0</w:t>
            </w:r>
          </w:p>
        </w:tc>
        <w:tc>
          <w:tcPr>
            <w:tcW w:w="685" w:type="dxa"/>
            <w:tcBorders>
              <w:top w:val="nil"/>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20" w:hRule="atLeast"/>
        </w:trPr>
        <w:tc>
          <w:tcPr>
            <w:tcW w:w="613" w:type="dxa"/>
            <w:vMerge w:val="continue"/>
            <w:tcBorders>
              <w:top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3476" w:type="dxa"/>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楷体" w:hAnsi="楷体" w:eastAsia="楷体" w:cs="楷体"/>
                <w:i w:val="0"/>
                <w:iCs w:val="0"/>
                <w:caps w:val="0"/>
                <w:color w:val="333333"/>
                <w:spacing w:val="0"/>
                <w:kern w:val="0"/>
                <w:sz w:val="19"/>
                <w:szCs w:val="19"/>
                <w:lang w:val="en-US" w:eastAsia="zh-CN" w:bidi="ar"/>
              </w:rPr>
              <w:t>（七）总计</w:t>
            </w:r>
          </w:p>
        </w:tc>
        <w:tc>
          <w:tcPr>
            <w:tcW w:w="51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7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6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90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45" w:hRule="atLeast"/>
        </w:trPr>
        <w:tc>
          <w:tcPr>
            <w:tcW w:w="4089" w:type="dxa"/>
            <w:gridSpan w:val="3"/>
            <w:tcBorders>
              <w:top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宋体" w:hAnsi="宋体" w:eastAsia="宋体" w:cs="宋体"/>
                <w:i w:val="0"/>
                <w:iCs w:val="0"/>
                <w:caps w:val="0"/>
                <w:color w:val="333333"/>
                <w:spacing w:val="0"/>
                <w:kern w:val="0"/>
                <w:sz w:val="19"/>
                <w:szCs w:val="19"/>
                <w:lang w:val="en-US" w:eastAsia="zh-CN" w:bidi="ar"/>
              </w:rPr>
              <w:t>四、结转下年度继续办理</w:t>
            </w:r>
          </w:p>
        </w:tc>
        <w:tc>
          <w:tcPr>
            <w:tcW w:w="516" w:type="dxa"/>
            <w:tcBorders>
              <w:top w:val="nil"/>
              <w:left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12" w:type="dxa"/>
            <w:tcBorders>
              <w:top w:val="nil"/>
              <w:left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712" w:type="dxa"/>
            <w:tcBorders>
              <w:top w:val="nil"/>
              <w:left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768" w:type="dxa"/>
            <w:tcBorders>
              <w:top w:val="nil"/>
              <w:left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908" w:type="dxa"/>
            <w:tcBorders>
              <w:top w:val="nil"/>
              <w:left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85" w:type="dxa"/>
            <w:tcBorders>
              <w:top w:val="nil"/>
              <w:lef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55" w:lineRule="atLeast"/>
        <w:ind w:left="0" w:right="0" w:firstLine="315"/>
        <w:jc w:val="left"/>
      </w:pPr>
      <w:r>
        <w:rPr>
          <w:rFonts w:hint="eastAsia" w:ascii="宋体" w:hAnsi="宋体" w:eastAsia="宋体" w:cs="宋体"/>
          <w:i w:val="0"/>
          <w:iCs w:val="0"/>
          <w:caps w:val="0"/>
          <w:color w:val="333333"/>
          <w:spacing w:val="0"/>
          <w:kern w:val="0"/>
          <w:sz w:val="31"/>
          <w:szCs w:val="31"/>
          <w:shd w:val="clear" w:fill="FFFFFF"/>
          <w:lang w:val="en-US" w:eastAsia="zh-CN" w:bidi="ar"/>
        </w:rPr>
        <w:t xml:space="preserve"> </w:t>
      </w:r>
    </w:p>
    <w:p>
      <w:pPr>
        <w:pStyle w:val="2"/>
        <w:keepNext w:val="0"/>
        <w:keepLines w:val="0"/>
        <w:widowControl/>
        <w:numPr>
          <w:ilvl w:val="0"/>
          <w:numId w:val="0"/>
        </w:numPr>
        <w:suppressLineNumbers w:val="0"/>
        <w:shd w:val="clear" w:fill="FFFFFF"/>
        <w:spacing w:before="0" w:beforeAutospacing="1" w:after="0" w:afterAutospacing="1"/>
        <w:ind w:left="0" w:right="0" w:firstLine="420"/>
        <w:jc w:val="both"/>
      </w:pPr>
      <w:r>
        <w:rPr>
          <w:rFonts w:hint="eastAsia" w:ascii="宋体" w:hAnsi="宋体" w:eastAsia="宋体" w:cs="宋体"/>
          <w:b/>
          <w:bCs/>
          <w:i w:val="0"/>
          <w:iCs w:val="0"/>
          <w:caps w:val="0"/>
          <w:color w:val="000000"/>
          <w:spacing w:val="0"/>
          <w:kern w:val="2"/>
          <w:sz w:val="32"/>
          <w:szCs w:val="32"/>
          <w:shd w:val="clear" w:fill="FFFFFF"/>
          <w:lang w:val="en-US" w:eastAsia="zh-CN" w:bidi="ar"/>
        </w:rPr>
        <w:t>四、政府信息公开行政复议、行政诉讼情况</w:t>
      </w:r>
    </w:p>
    <w:tbl>
      <w:tblPr>
        <w:tblStyle w:val="3"/>
        <w:tblW w:w="9075" w:type="dxa"/>
        <w:tblInd w:w="3"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3075" w:type="dxa"/>
            <w:gridSpan w:val="5"/>
            <w:tcBorders>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行政复议</w:t>
            </w:r>
          </w:p>
        </w:tc>
        <w:tc>
          <w:tcPr>
            <w:tcW w:w="6000" w:type="dxa"/>
            <w:gridSpan w:val="10"/>
            <w:tcBorders>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行政诉讼</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600" w:type="dxa"/>
            <w:vMerge w:val="restart"/>
            <w:tcBorders>
              <w:top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结果维持</w:t>
            </w:r>
          </w:p>
        </w:tc>
        <w:tc>
          <w:tcPr>
            <w:tcW w:w="60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结果纠正</w:t>
            </w:r>
          </w:p>
        </w:tc>
        <w:tc>
          <w:tcPr>
            <w:tcW w:w="60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其他结果</w:t>
            </w:r>
          </w:p>
        </w:tc>
        <w:tc>
          <w:tcPr>
            <w:tcW w:w="60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尚未审结</w:t>
            </w:r>
          </w:p>
        </w:tc>
        <w:tc>
          <w:tcPr>
            <w:tcW w:w="66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总计</w:t>
            </w:r>
          </w:p>
        </w:tc>
        <w:tc>
          <w:tcPr>
            <w:tcW w:w="2970" w:type="dxa"/>
            <w:gridSpan w:val="5"/>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未经复议直接起诉</w:t>
            </w:r>
          </w:p>
        </w:tc>
        <w:tc>
          <w:tcPr>
            <w:tcW w:w="3030" w:type="dxa"/>
            <w:gridSpan w:val="5"/>
            <w:tcBorders>
              <w:top w:val="nil"/>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600" w:type="dxa"/>
            <w:vMerge w:val="continue"/>
            <w:tcBorders>
              <w:top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60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60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60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66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宋体"/>
                <w:sz w:val="24"/>
                <w:szCs w:val="24"/>
              </w:rPr>
            </w:pPr>
          </w:p>
        </w:tc>
        <w:tc>
          <w:tcPr>
            <w:tcW w:w="5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结果维持</w:t>
            </w:r>
          </w:p>
        </w:tc>
        <w:tc>
          <w:tcPr>
            <w:tcW w:w="6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结果纠正</w:t>
            </w:r>
          </w:p>
        </w:tc>
        <w:tc>
          <w:tcPr>
            <w:tcW w:w="6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其他结果</w:t>
            </w:r>
          </w:p>
        </w:tc>
        <w:tc>
          <w:tcPr>
            <w:tcW w:w="6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尚未审结</w:t>
            </w:r>
          </w:p>
        </w:tc>
        <w:tc>
          <w:tcPr>
            <w:tcW w:w="6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总计</w:t>
            </w:r>
          </w:p>
        </w:tc>
        <w:tc>
          <w:tcPr>
            <w:tcW w:w="6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结果维持</w:t>
            </w:r>
          </w:p>
        </w:tc>
        <w:tc>
          <w:tcPr>
            <w:tcW w:w="6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结果纠正</w:t>
            </w:r>
          </w:p>
        </w:tc>
        <w:tc>
          <w:tcPr>
            <w:tcW w:w="6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其他结果</w:t>
            </w:r>
          </w:p>
        </w:tc>
        <w:tc>
          <w:tcPr>
            <w:tcW w:w="6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尚未审结</w:t>
            </w:r>
          </w:p>
        </w:tc>
        <w:tc>
          <w:tcPr>
            <w:tcW w:w="600" w:type="dxa"/>
            <w:tcBorders>
              <w:top w:val="nil"/>
              <w:left w:val="nil"/>
              <w:bottom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总计</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CellMar>
            <w:top w:w="15" w:type="dxa"/>
            <w:left w:w="15" w:type="dxa"/>
            <w:bottom w:w="15" w:type="dxa"/>
            <w:right w:w="15" w:type="dxa"/>
          </w:tblCellMar>
        </w:tblPrEx>
        <w:tc>
          <w:tcPr>
            <w:tcW w:w="600" w:type="dxa"/>
            <w:tcBorders>
              <w:top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00" w:type="dxa"/>
            <w:tcBorders>
              <w:top w:val="nil"/>
              <w:left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600" w:type="dxa"/>
            <w:tcBorders>
              <w:top w:val="nil"/>
              <w:left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00" w:type="dxa"/>
            <w:tcBorders>
              <w:top w:val="nil"/>
              <w:left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p>
        </w:tc>
        <w:tc>
          <w:tcPr>
            <w:tcW w:w="660" w:type="dxa"/>
            <w:tcBorders>
              <w:top w:val="nil"/>
              <w:left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p>
        </w:tc>
        <w:tc>
          <w:tcPr>
            <w:tcW w:w="555" w:type="dxa"/>
            <w:tcBorders>
              <w:top w:val="nil"/>
              <w:left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00" w:type="dxa"/>
            <w:tcBorders>
              <w:top w:val="nil"/>
              <w:left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00" w:type="dxa"/>
            <w:tcBorders>
              <w:top w:val="nil"/>
              <w:left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00" w:type="dxa"/>
            <w:tcBorders>
              <w:top w:val="nil"/>
              <w:left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600" w:type="dxa"/>
            <w:tcBorders>
              <w:top w:val="nil"/>
              <w:left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00" w:type="dxa"/>
            <w:tcBorders>
              <w:top w:val="nil"/>
              <w:left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eastAsia" w:ascii="宋体" w:hAnsi="宋体" w:eastAsia="宋体" w:cs="宋体"/>
                <w:i w:val="0"/>
                <w:iCs w:val="0"/>
                <w:caps w:val="0"/>
                <w:color w:val="333333"/>
                <w:spacing w:val="0"/>
                <w:kern w:val="0"/>
                <w:sz w:val="19"/>
                <w:szCs w:val="19"/>
                <w:lang w:val="en-US" w:eastAsia="zh-CN" w:bidi="ar"/>
              </w:rPr>
              <w:t>0</w:t>
            </w:r>
            <w:r>
              <w:rPr>
                <w:rFonts w:hint="default" w:ascii="Times New Roman" w:hAnsi="Times New Roman" w:eastAsia="微软雅黑" w:cs="Times New Roman"/>
                <w:i w:val="0"/>
                <w:iCs w:val="0"/>
                <w:caps w:val="0"/>
                <w:color w:val="333333"/>
                <w:spacing w:val="0"/>
                <w:kern w:val="0"/>
                <w:sz w:val="19"/>
                <w:szCs w:val="19"/>
                <w:lang w:val="en-US" w:eastAsia="zh-CN" w:bidi="ar"/>
              </w:rPr>
              <w:t> </w:t>
            </w:r>
          </w:p>
        </w:tc>
        <w:tc>
          <w:tcPr>
            <w:tcW w:w="600" w:type="dxa"/>
            <w:tcBorders>
              <w:top w:val="nil"/>
              <w:left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00" w:type="dxa"/>
            <w:tcBorders>
              <w:top w:val="nil"/>
              <w:left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00" w:type="dxa"/>
            <w:tcBorders>
              <w:top w:val="nil"/>
              <w:left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center"/>
            </w:pPr>
            <w:r>
              <w:rPr>
                <w:rFonts w:hint="default" w:ascii="Times New Roman" w:hAnsi="Times New Roman" w:eastAsia="微软雅黑" w:cs="Times New Roman"/>
                <w:i w:val="0"/>
                <w:iCs w:val="0"/>
                <w:caps w:val="0"/>
                <w:color w:val="333333"/>
                <w:spacing w:val="0"/>
                <w:kern w:val="0"/>
                <w:sz w:val="19"/>
                <w:szCs w:val="19"/>
                <w:lang w:val="en-US" w:eastAsia="zh-CN" w:bidi="ar"/>
              </w:rPr>
              <w:t> </w:t>
            </w:r>
            <w:r>
              <w:rPr>
                <w:rFonts w:hint="eastAsia" w:ascii="宋体" w:hAnsi="宋体" w:eastAsia="宋体" w:cs="宋体"/>
                <w:i w:val="0"/>
                <w:iCs w:val="0"/>
                <w:caps w:val="0"/>
                <w:color w:val="333333"/>
                <w:spacing w:val="0"/>
                <w:kern w:val="0"/>
                <w:sz w:val="19"/>
                <w:szCs w:val="19"/>
                <w:lang w:val="en-US" w:eastAsia="zh-CN" w:bidi="ar"/>
              </w:rPr>
              <w:t>0</w:t>
            </w:r>
          </w:p>
        </w:tc>
        <w:tc>
          <w:tcPr>
            <w:tcW w:w="600" w:type="dxa"/>
            <w:tcBorders>
              <w:top w:val="nil"/>
              <w:lef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210" w:beforeAutospacing="0" w:after="210" w:afterAutospacing="0" w:line="555" w:lineRule="atLeast"/>
              <w:ind w:left="0" w:right="0"/>
              <w:jc w:val="left"/>
            </w:pPr>
            <w:r>
              <w:rPr>
                <w:rFonts w:hint="eastAsia" w:ascii="宋体" w:hAnsi="宋体" w:eastAsia="宋体" w:cs="宋体"/>
                <w:i w:val="0"/>
                <w:iCs w:val="0"/>
                <w:caps w:val="0"/>
                <w:color w:val="333333"/>
                <w:spacing w:val="0"/>
                <w:kern w:val="0"/>
                <w:sz w:val="24"/>
                <w:szCs w:val="24"/>
                <w:lang w:val="en-US" w:eastAsia="zh-CN" w:bidi="ar"/>
              </w:rPr>
              <w:t>0</w:t>
            </w:r>
          </w:p>
        </w:tc>
      </w:tr>
    </w:tbl>
    <w:p>
      <w:pPr>
        <w:pStyle w:val="2"/>
        <w:keepNext w:val="0"/>
        <w:keepLines w:val="0"/>
        <w:widowControl/>
        <w:suppressLineNumbers w:val="0"/>
        <w:shd w:val="clear" w:fill="FFFFFF"/>
        <w:spacing w:before="0" w:beforeAutospacing="1" w:after="0" w:afterAutospacing="1"/>
        <w:ind w:left="0" w:right="0"/>
        <w:jc w:val="both"/>
      </w:pPr>
      <w:r>
        <w:rPr>
          <w:rFonts w:hint="eastAsia" w:ascii="宋体" w:hAnsi="宋体" w:eastAsia="宋体" w:cs="宋体"/>
          <w:b/>
          <w:bCs/>
          <w:i w:val="0"/>
          <w:iCs w:val="0"/>
          <w:caps w:val="0"/>
          <w:color w:val="000000"/>
          <w:spacing w:val="0"/>
          <w:kern w:val="2"/>
          <w:sz w:val="32"/>
          <w:szCs w:val="32"/>
          <w:shd w:val="clear" w:fill="FFFFFF"/>
          <w:lang w:val="en-US" w:eastAsia="zh-CN" w:bidi="ar"/>
        </w:rPr>
        <w:t xml:space="preserve"> </w:t>
      </w:r>
    </w:p>
    <w:p>
      <w:pPr>
        <w:pStyle w:val="2"/>
        <w:keepNext w:val="0"/>
        <w:keepLines w:val="0"/>
        <w:widowControl/>
        <w:numPr>
          <w:ilvl w:val="0"/>
          <w:numId w:val="0"/>
        </w:numPr>
        <w:suppressLineNumbers w:val="0"/>
        <w:shd w:val="clear" w:fill="FFFFFF"/>
        <w:spacing w:before="0" w:beforeAutospacing="1" w:after="0" w:afterAutospacing="1"/>
        <w:ind w:left="0" w:right="0" w:firstLine="420"/>
        <w:jc w:val="both"/>
      </w:pPr>
      <w:r>
        <w:rPr>
          <w:rFonts w:hint="eastAsia" w:ascii="宋体" w:hAnsi="宋体" w:eastAsia="宋体" w:cs="宋体"/>
          <w:b/>
          <w:bCs/>
          <w:i w:val="0"/>
          <w:iCs w:val="0"/>
          <w:caps w:val="0"/>
          <w:color w:val="000000"/>
          <w:spacing w:val="0"/>
          <w:kern w:val="2"/>
          <w:sz w:val="32"/>
          <w:szCs w:val="32"/>
          <w:shd w:val="clear" w:fill="FFFFFF"/>
          <w:lang w:val="en-US" w:eastAsia="zh-CN" w:bidi="ar"/>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pPr>
      <w:r>
        <w:rPr>
          <w:rFonts w:hint="eastAsia" w:ascii="仿宋_GB2312" w:hAnsi="微软雅黑" w:eastAsia="仿宋_GB2312" w:cs="仿宋_GB2312"/>
          <w:i w:val="0"/>
          <w:iCs w:val="0"/>
          <w:caps w:val="0"/>
          <w:color w:val="333333"/>
          <w:spacing w:val="0"/>
          <w:kern w:val="0"/>
          <w:sz w:val="31"/>
          <w:szCs w:val="31"/>
          <w:shd w:val="clear" w:fill="FFFFFF"/>
          <w:lang w:val="en-US" w:eastAsia="zh-CN" w:bidi="ar"/>
        </w:rPr>
        <w:t>2021年，我乡信息公开工作在上级主管部门的正确领导下，以及全乡干部职工的共同努力，我乡政府信息公开工作有了新的进展，但也存在一些不足：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00"/>
        <w:jc w:val="left"/>
      </w:pPr>
      <w:r>
        <w:rPr>
          <w:rFonts w:hint="eastAsia" w:ascii="仿宋_GB2312" w:hAnsi="微软雅黑" w:eastAsia="仿宋_GB2312" w:cs="仿宋_GB2312"/>
          <w:i w:val="0"/>
          <w:iCs w:val="0"/>
          <w:caps w:val="0"/>
          <w:color w:val="333333"/>
          <w:spacing w:val="0"/>
          <w:kern w:val="0"/>
          <w:sz w:val="31"/>
          <w:szCs w:val="31"/>
          <w:shd w:val="clear" w:fill="FFFFFF"/>
          <w:lang w:val="en-US" w:eastAsia="zh-CN" w:bidi="ar"/>
        </w:rPr>
        <w:t>一是工作人员业务知识不够全面。政府信息公开工作业务培训力度不够，部分工作人员对信息公开工作认识不深。政务公开栏目调整大，新指标新要求，对经办人员要求高，以致难以适应。二是政策解读的数量以及质量有待进一步提高。全年政策解读发布数量少、质量低，不能做到“应解读、尽解读”，并且解读材料不能严格按照要求解读。三是公开政府信息的主动性不够。业务人员对政务公开工作的重要性认识依然不足，怕公开、不公开等思想倾向依然存在，影响到信息公开的及时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52"/>
        <w:jc w:val="both"/>
      </w:pPr>
      <w:r>
        <w:rPr>
          <w:rFonts w:hint="eastAsia" w:ascii="仿宋_GB2312" w:hAnsi="微软雅黑" w:eastAsia="仿宋_GB2312" w:cs="仿宋_GB2312"/>
          <w:i w:val="0"/>
          <w:iCs w:val="0"/>
          <w:caps w:val="0"/>
          <w:color w:val="333333"/>
          <w:spacing w:val="0"/>
          <w:kern w:val="0"/>
          <w:sz w:val="31"/>
          <w:szCs w:val="31"/>
          <w:shd w:val="clear" w:fill="FFFFFF"/>
          <w:lang w:val="en-US" w:eastAsia="zh-CN" w:bidi="ar"/>
        </w:rPr>
        <w:t>针对上述几点问题，2022年我乡将从以下几个方面重点改进：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52"/>
        <w:jc w:val="both"/>
      </w:pPr>
      <w:r>
        <w:rPr>
          <w:rFonts w:hint="eastAsia" w:ascii="仿宋_GB2312" w:hAnsi="微软雅黑" w:eastAsia="仿宋_GB2312" w:cs="仿宋_GB2312"/>
          <w:i w:val="0"/>
          <w:iCs w:val="0"/>
          <w:caps w:val="0"/>
          <w:color w:val="333333"/>
          <w:spacing w:val="0"/>
          <w:kern w:val="0"/>
          <w:sz w:val="31"/>
          <w:szCs w:val="31"/>
          <w:shd w:val="clear" w:fill="FFFFFF"/>
          <w:lang w:val="en-US" w:eastAsia="zh-CN" w:bidi="ar"/>
        </w:rPr>
        <w:t>一是进一步加强公开工作队伍建设。充实人员力量，加强相关工作人员的业务培训，提高工作水平，加大政务公开力度。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52"/>
        <w:jc w:val="both"/>
      </w:pPr>
      <w:r>
        <w:rPr>
          <w:rFonts w:hint="eastAsia" w:ascii="仿宋_GB2312" w:hAnsi="微软雅黑" w:eastAsia="仿宋_GB2312" w:cs="仿宋_GB2312"/>
          <w:i w:val="0"/>
          <w:iCs w:val="0"/>
          <w:caps w:val="0"/>
          <w:color w:val="333333"/>
          <w:spacing w:val="0"/>
          <w:kern w:val="0"/>
          <w:sz w:val="31"/>
          <w:szCs w:val="31"/>
          <w:shd w:val="clear" w:fill="FFFFFF"/>
          <w:lang w:val="en-US" w:eastAsia="zh-CN" w:bidi="ar"/>
        </w:rPr>
        <w:t>二是着力强化政策解读工作。明确解读要素、解读形式，加强图表图解、音频视频等可视、可读、 可感的方式解读。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52"/>
        <w:jc w:val="both"/>
      </w:pPr>
      <w:r>
        <w:rPr>
          <w:rFonts w:hint="eastAsia" w:ascii="仿宋_GB2312" w:hAnsi="微软雅黑" w:eastAsia="仿宋_GB2312" w:cs="仿宋_GB2312"/>
          <w:i w:val="0"/>
          <w:iCs w:val="0"/>
          <w:caps w:val="0"/>
          <w:color w:val="333333"/>
          <w:spacing w:val="0"/>
          <w:kern w:val="0"/>
          <w:sz w:val="31"/>
          <w:szCs w:val="31"/>
          <w:shd w:val="clear" w:fill="FFFFFF"/>
          <w:lang w:val="en-US" w:eastAsia="zh-CN" w:bidi="ar"/>
        </w:rPr>
        <w:t>三是大力推进政务公开制度建设。建立健全政务公开制度，</w:t>
      </w:r>
      <w:r>
        <w:rPr>
          <w:rFonts w:hint="eastAsia" w:ascii="仿宋_GB2312" w:eastAsia="仿宋_GB2312" w:cs="仿宋_GB2312"/>
          <w:i w:val="0"/>
          <w:iCs w:val="0"/>
          <w:caps w:val="0"/>
          <w:color w:val="282828"/>
          <w:spacing w:val="0"/>
          <w:kern w:val="0"/>
          <w:sz w:val="32"/>
          <w:szCs w:val="32"/>
          <w:shd w:val="clear" w:fill="FFFFFF"/>
          <w:lang w:val="en-US" w:eastAsia="zh-CN" w:bidi="ar"/>
        </w:rPr>
        <w:t>明确责任主体，紧盯目标任务，狠抓工作落实，</w:t>
      </w:r>
      <w:r>
        <w:rPr>
          <w:rFonts w:hint="eastAsia" w:ascii="仿宋_GB2312" w:hAnsi="微软雅黑" w:eastAsia="仿宋_GB2312" w:cs="仿宋_GB2312"/>
          <w:i w:val="0"/>
          <w:iCs w:val="0"/>
          <w:caps w:val="0"/>
          <w:color w:val="333333"/>
          <w:spacing w:val="0"/>
          <w:kern w:val="0"/>
          <w:sz w:val="31"/>
          <w:szCs w:val="31"/>
          <w:shd w:val="clear" w:fill="FFFFFF"/>
          <w:lang w:val="en-US" w:eastAsia="zh-CN" w:bidi="ar"/>
        </w:rPr>
        <w:t>确保做到应该公开的一律公开。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52"/>
        <w:jc w:val="both"/>
      </w:pPr>
      <w:r>
        <w:rPr>
          <w:rFonts w:hint="eastAsia" w:ascii="仿宋_GB2312" w:hAnsi="微软雅黑" w:eastAsia="仿宋_GB2312" w:cs="仿宋_GB2312"/>
          <w:i w:val="0"/>
          <w:iCs w:val="0"/>
          <w:caps w:val="0"/>
          <w:color w:val="333333"/>
          <w:spacing w:val="0"/>
          <w:kern w:val="0"/>
          <w:sz w:val="31"/>
          <w:szCs w:val="31"/>
          <w:shd w:val="clear" w:fill="FFFFFF"/>
          <w:lang w:val="en-US" w:eastAsia="zh-CN" w:bidi="ar"/>
        </w:rPr>
        <w:t xml:space="preserve"> </w:t>
      </w:r>
    </w:p>
    <w:p>
      <w:pPr>
        <w:pStyle w:val="2"/>
        <w:keepNext w:val="0"/>
        <w:keepLines w:val="0"/>
        <w:widowControl/>
        <w:numPr>
          <w:ilvl w:val="0"/>
          <w:numId w:val="0"/>
        </w:numPr>
        <w:suppressLineNumbers w:val="0"/>
        <w:shd w:val="clear" w:fill="FFFFFF"/>
        <w:spacing w:before="0" w:beforeAutospacing="1" w:after="0" w:afterAutospacing="1"/>
        <w:ind w:left="0" w:right="0" w:firstLine="420"/>
        <w:jc w:val="both"/>
      </w:pPr>
      <w:r>
        <w:rPr>
          <w:rFonts w:hint="eastAsia" w:ascii="宋体" w:hAnsi="宋体" w:eastAsia="宋体" w:cs="宋体"/>
          <w:b/>
          <w:bCs/>
          <w:i w:val="0"/>
          <w:iCs w:val="0"/>
          <w:caps w:val="0"/>
          <w:color w:val="000000"/>
          <w:spacing w:val="0"/>
          <w:kern w:val="2"/>
          <w:sz w:val="32"/>
          <w:szCs w:val="32"/>
          <w:shd w:val="clear" w:fill="FFFFFF"/>
          <w:lang w:val="en-US" w:eastAsia="zh-CN" w:bidi="ar"/>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60" w:lineRule="atLeast"/>
        <w:ind w:left="0" w:right="0" w:firstLine="552"/>
        <w:jc w:val="both"/>
      </w:pPr>
      <w:r>
        <w:rPr>
          <w:rFonts w:hint="eastAsia" w:ascii="仿宋_GB2312" w:hAnsi="微软雅黑" w:eastAsia="仿宋_GB2312" w:cs="仿宋_GB2312"/>
          <w:i w:val="0"/>
          <w:iCs w:val="0"/>
          <w:caps w:val="0"/>
          <w:color w:val="333333"/>
          <w:spacing w:val="0"/>
          <w:kern w:val="0"/>
          <w:sz w:val="31"/>
          <w:szCs w:val="31"/>
          <w:shd w:val="clear" w:fill="FFFFFF"/>
          <w:lang w:val="en-US" w:eastAsia="zh-CN" w:bidi="ar"/>
        </w:rPr>
        <w:t>我乡按照《国务院办公厅关于印发&lt;政府细信息公开信息处理费管理办法&gt;的通知》（国办函【2020】109号）规定的按件、按量收费标准，本年度没有产生信息公开处理费。</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4Yjg4NmM1MGZiNzM3YzFiNzZhMDU1NmViZWJmMTQifQ=="/>
  </w:docVars>
  <w:rsids>
    <w:rsidRoot w:val="2CB91818"/>
    <w:rsid w:val="00C554FB"/>
    <w:rsid w:val="0C545222"/>
    <w:rsid w:val="0E653F14"/>
    <w:rsid w:val="1A276FDC"/>
    <w:rsid w:val="2851694F"/>
    <w:rsid w:val="2CB91818"/>
    <w:rsid w:val="3E9F1194"/>
    <w:rsid w:val="54071D30"/>
    <w:rsid w:val="663779FF"/>
    <w:rsid w:val="692F3B85"/>
    <w:rsid w:val="6FA44A40"/>
    <w:rsid w:val="79B59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TML Acronym"/>
    <w:basedOn w:val="4"/>
    <w:qFormat/>
    <w:uiPriority w:val="0"/>
  </w:style>
  <w:style w:type="character" w:styleId="9">
    <w:name w:val="Hyperlink"/>
    <w:basedOn w:val="4"/>
    <w:qFormat/>
    <w:uiPriority w:val="0"/>
    <w:rPr>
      <w:color w:val="333333"/>
      <w:u w:val="none"/>
    </w:rPr>
  </w:style>
  <w:style w:type="character" w:styleId="10">
    <w:name w:val="HTML Code"/>
    <w:basedOn w:val="4"/>
    <w:qFormat/>
    <w:uiPriority w:val="0"/>
    <w:rPr>
      <w:rFonts w:hint="default" w:ascii="monospace" w:hAnsi="monospace" w:eastAsia="monospace" w:cs="monospace"/>
      <w:sz w:val="21"/>
      <w:szCs w:val="21"/>
    </w:rPr>
  </w:style>
  <w:style w:type="character" w:styleId="11">
    <w:name w:val="HTML Keyboard"/>
    <w:basedOn w:val="4"/>
    <w:qFormat/>
    <w:uiPriority w:val="0"/>
    <w:rPr>
      <w:rFonts w:hint="default" w:ascii="monospace" w:hAnsi="monospace" w:eastAsia="monospace" w:cs="monospace"/>
      <w:sz w:val="21"/>
      <w:szCs w:val="21"/>
    </w:rPr>
  </w:style>
  <w:style w:type="character" w:styleId="12">
    <w:name w:val="HTML Sample"/>
    <w:basedOn w:val="4"/>
    <w:qFormat/>
    <w:uiPriority w:val="0"/>
    <w:rPr>
      <w:rFonts w:ascii="monospace" w:hAnsi="monospace" w:eastAsia="monospace" w:cs="monospace"/>
      <w:sz w:val="21"/>
      <w:szCs w:val="21"/>
    </w:rPr>
  </w:style>
  <w:style w:type="character" w:customStyle="1" w:styleId="13">
    <w:name w:val="buvis"/>
    <w:basedOn w:val="4"/>
    <w:qFormat/>
    <w:uiPriority w:val="0"/>
    <w:rPr>
      <w:color w:val="999999"/>
    </w:rPr>
  </w:style>
  <w:style w:type="character" w:customStyle="1" w:styleId="14">
    <w:name w:val="buvis1"/>
    <w:basedOn w:val="4"/>
    <w:qFormat/>
    <w:uiPriority w:val="0"/>
    <w:rPr>
      <w:color w:val="CC0000"/>
    </w:rPr>
  </w:style>
  <w:style w:type="character" w:customStyle="1" w:styleId="15">
    <w:name w:val="datetime"/>
    <w:basedOn w:val="4"/>
    <w:qFormat/>
    <w:uiPriority w:val="0"/>
    <w:rPr>
      <w:rFonts w:ascii="Arial" w:hAnsi="Arial" w:cs="Arial"/>
      <w:color w:val="999999"/>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2901</Words>
  <Characters>3003</Characters>
  <Lines>0</Lines>
  <Paragraphs>0</Paragraphs>
  <TotalTime>349</TotalTime>
  <ScaleCrop>false</ScaleCrop>
  <LinksUpToDate>false</LinksUpToDate>
  <CharactersWithSpaces>3182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2022-01-18T12:24:00Z</dcterms:created>
  <dc:creator>.Distance</dc:creator>
  <cp:lastModifiedBy>Lenovo</cp:lastModifiedBy>
  <cp:lastPrinted>2022-01-18T15:02:00Z</cp:lastPrinted>
  <dcterms:modified xsi:type="dcterms:W3CDTF">2023-07-20T08:23:11Z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3EBCC8B5AC6242F497D800C902FC3758_13</vt:lpwstr>
  </property>
</Properties>
</file>