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舒城县人民政府办公室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2022年政府信息公开工作年度报告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ascii="Calibri" w:hAnsi="Calibri" w:cs="Calibri"/>
          <w:i w:val="0"/>
          <w:iCs w:val="0"/>
          <w:caps w:val="0"/>
          <w:color w:val="000000"/>
          <w:spacing w:val="0"/>
          <w:sz w:val="21"/>
          <w:szCs w:val="21"/>
        </w:rPr>
      </w:pPr>
      <w:r>
        <w:rPr>
          <w:rFonts w:ascii="仿宋" w:hAnsi="仿宋" w:eastAsia="仿宋" w:cs="仿宋"/>
          <w:i w:val="0"/>
          <w:iCs w:val="0"/>
          <w:caps w:val="0"/>
          <w:color w:val="000000"/>
          <w:spacing w:val="0"/>
          <w:sz w:val="32"/>
          <w:szCs w:val="32"/>
          <w:shd w:val="clear" w:fill="FFFFFF"/>
        </w:rPr>
        <w:t>本报告依据《中华人民共和国政府信息公开条例》（国务院令第</w:t>
      </w:r>
      <w:r>
        <w:rPr>
          <w:rFonts w:hint="eastAsia" w:ascii="仿宋" w:hAnsi="仿宋" w:eastAsia="仿宋" w:cs="仿宋"/>
          <w:i w:val="0"/>
          <w:iCs w:val="0"/>
          <w:caps w:val="0"/>
          <w:color w:val="000000"/>
          <w:spacing w:val="0"/>
          <w:sz w:val="32"/>
          <w:szCs w:val="32"/>
          <w:shd w:val="clear" w:fill="FFFFFF"/>
        </w:rPr>
        <w:t>711号）和《六安市政务公开办公室关于做好政府信息公开年度报告编制和发布工作的通知》（六政务公开办〔202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53</w:t>
      </w:r>
      <w:r>
        <w:rPr>
          <w:rFonts w:hint="eastAsia" w:ascii="仿宋" w:hAnsi="仿宋" w:eastAsia="仿宋" w:cs="仿宋"/>
          <w:i w:val="0"/>
          <w:iCs w:val="0"/>
          <w:caps w:val="0"/>
          <w:color w:val="000000"/>
          <w:spacing w:val="0"/>
          <w:sz w:val="32"/>
          <w:szCs w:val="32"/>
          <w:shd w:val="clear" w:fill="FFFFFF"/>
        </w:rPr>
        <w:t>号）要求，结合舒城县人民政府办公室政府信息公开工作有关统计数据撰写。报告全文包括：202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年度总体情况、主动公开政府信息情况、收到和处理政府信息公开申请情况、政府信息公开行政复议行政诉讼情况、存在的主要问题和改进情况、其他需要报告的事项。本年度报告中使用数据统计期限为202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年1月1日至202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年12月31日，本年度报告电子版可在舒城县人民政府信息公开平台下载。如对本报告有任何疑问，请与舒城县人民政府办公室联系（地址：舒城县梅河路403号；邮编：231300；联系电话：0564-8680081）。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仿宋_GB2312" w:hAnsi="仿宋_GB2312" w:eastAsia="仿宋_GB2312" w:cs="仿宋_GB2312"/>
          <w:i w:val="0"/>
          <w:iCs w:val="0"/>
          <w:caps w:val="0"/>
          <w:color w:val="333333"/>
          <w:spacing w:val="0"/>
          <w:sz w:val="30"/>
          <w:szCs w:val="30"/>
          <w:shd w:val="clear" w:fill="FFFFFF"/>
          <w:lang w:val="en-US" w:eastAsia="zh-CN"/>
        </w:rPr>
      </w:pPr>
      <w:r>
        <w:rPr>
          <w:rFonts w:ascii="楷体" w:hAnsi="楷体" w:eastAsia="楷体" w:cs="楷体"/>
          <w:i w:val="0"/>
          <w:iCs w:val="0"/>
          <w:caps w:val="0"/>
          <w:color w:val="000000"/>
          <w:spacing w:val="0"/>
          <w:sz w:val="32"/>
          <w:szCs w:val="32"/>
          <w:shd w:val="clear" w:fill="FFFFFF"/>
        </w:rPr>
        <w:t>（一）主动公开。</w:t>
      </w:r>
      <w:r>
        <w:rPr>
          <w:rFonts w:hint="eastAsia" w:ascii="仿宋_GB2312" w:hAnsi="仿宋_GB2312" w:eastAsia="仿宋_GB2312" w:cs="仿宋_GB2312"/>
          <w:i w:val="0"/>
          <w:iCs w:val="0"/>
          <w:caps w:val="0"/>
          <w:color w:val="333333"/>
          <w:spacing w:val="0"/>
          <w:sz w:val="30"/>
          <w:szCs w:val="30"/>
          <w:shd w:val="clear" w:fill="FFFFFF"/>
          <w:lang w:val="en-US" w:eastAsia="zh-CN"/>
        </w:rPr>
        <w:t>2022年累计主动公开政府信息12173条，其中县本级“两化”专题发布信息5008条。一是加强经济领域信息公开</w:t>
      </w:r>
      <w:r>
        <w:rPr>
          <w:rFonts w:hint="eastAsia" w:ascii="仿宋_GB2312" w:hAnsi="仿宋_GB2312" w:eastAsia="仿宋_GB2312" w:cs="仿宋_GB2312"/>
          <w:i w:val="0"/>
          <w:iCs w:val="0"/>
          <w:caps w:val="0"/>
          <w:color w:val="333333"/>
          <w:spacing w:val="0"/>
          <w:sz w:val="30"/>
          <w:szCs w:val="30"/>
          <w:shd w:val="clear" w:fill="FFFFFF"/>
        </w:rPr>
        <w:t>。</w:t>
      </w:r>
      <w:r>
        <w:rPr>
          <w:rFonts w:hint="eastAsia" w:ascii="仿宋_GB2312" w:hAnsi="仿宋_GB2312" w:eastAsia="仿宋_GB2312" w:cs="仿宋_GB2312"/>
          <w:i w:val="0"/>
          <w:iCs w:val="0"/>
          <w:caps w:val="0"/>
          <w:color w:val="333333"/>
          <w:spacing w:val="0"/>
          <w:sz w:val="30"/>
          <w:szCs w:val="30"/>
          <w:shd w:val="clear" w:fill="FFFFFF"/>
          <w:lang w:val="en-US" w:eastAsia="zh-CN"/>
        </w:rPr>
        <w:t>公开稳经济大盘一揽子政策相关信息97条，围绕三次产业高质量协同发展公开54条，支持市场主体纾困发展信息113条，减税降费信息29条。</w:t>
      </w:r>
      <w:r>
        <w:rPr>
          <w:rFonts w:hint="eastAsia" w:ascii="仿宋_GB2312" w:hAnsi="仿宋_GB2312" w:eastAsia="仿宋_GB2312" w:cs="仿宋_GB2312"/>
          <w:i w:val="0"/>
          <w:iCs w:val="0"/>
          <w:caps w:val="0"/>
          <w:color w:val="333333"/>
          <w:spacing w:val="0"/>
          <w:sz w:val="30"/>
          <w:szCs w:val="30"/>
          <w:shd w:val="clear" w:fill="FFFFFF"/>
        </w:rPr>
        <w:t>二是</w:t>
      </w:r>
      <w:r>
        <w:rPr>
          <w:rFonts w:hint="eastAsia" w:ascii="仿宋_GB2312" w:hAnsi="仿宋_GB2312" w:eastAsia="仿宋_GB2312" w:cs="仿宋_GB2312"/>
          <w:i w:val="0"/>
          <w:iCs w:val="0"/>
          <w:caps w:val="0"/>
          <w:color w:val="333333"/>
          <w:spacing w:val="0"/>
          <w:sz w:val="30"/>
          <w:szCs w:val="30"/>
          <w:shd w:val="clear" w:fill="FFFFFF"/>
          <w:lang w:val="en-US" w:eastAsia="zh-CN"/>
        </w:rPr>
        <w:t>强化民生领域信息公开</w:t>
      </w:r>
      <w:r>
        <w:rPr>
          <w:rFonts w:hint="eastAsia" w:ascii="仿宋_GB2312" w:hAnsi="仿宋_GB2312" w:eastAsia="仿宋_GB2312" w:cs="仿宋_GB2312"/>
          <w:i w:val="0"/>
          <w:iCs w:val="0"/>
          <w:caps w:val="0"/>
          <w:color w:val="333333"/>
          <w:spacing w:val="0"/>
          <w:sz w:val="30"/>
          <w:szCs w:val="30"/>
          <w:shd w:val="clear" w:fill="FFFFFF"/>
        </w:rPr>
        <w:t>。</w:t>
      </w:r>
      <w:r>
        <w:rPr>
          <w:rFonts w:hint="eastAsia" w:ascii="仿宋_GB2312" w:hAnsi="仿宋_GB2312" w:eastAsia="仿宋_GB2312" w:cs="仿宋_GB2312"/>
          <w:i w:val="0"/>
          <w:iCs w:val="0"/>
          <w:caps w:val="0"/>
          <w:color w:val="333333"/>
          <w:spacing w:val="0"/>
          <w:sz w:val="30"/>
          <w:szCs w:val="30"/>
          <w:shd w:val="clear" w:fill="FFFFFF"/>
          <w:lang w:val="en-US" w:eastAsia="zh-CN"/>
        </w:rPr>
        <w:t>主动回应疫情防控相关信息62条，稳就业保就业信息公开34条,乡村振兴领域信息148条，建立企事业单位信息公开专题。</w:t>
      </w:r>
      <w:r>
        <w:rPr>
          <w:rFonts w:hint="eastAsia" w:ascii="仿宋_GB2312" w:hAnsi="仿宋_GB2312" w:eastAsia="仿宋_GB2312" w:cs="仿宋_GB2312"/>
          <w:i w:val="0"/>
          <w:iCs w:val="0"/>
          <w:caps w:val="0"/>
          <w:color w:val="333333"/>
          <w:spacing w:val="0"/>
          <w:sz w:val="30"/>
          <w:szCs w:val="30"/>
          <w:shd w:val="clear" w:fill="FFFFFF"/>
        </w:rPr>
        <w:t>三是</w:t>
      </w:r>
      <w:r>
        <w:rPr>
          <w:rFonts w:hint="eastAsia" w:ascii="仿宋_GB2312" w:hAnsi="仿宋_GB2312" w:eastAsia="仿宋_GB2312" w:cs="仿宋_GB2312"/>
          <w:i w:val="0"/>
          <w:iCs w:val="0"/>
          <w:caps w:val="0"/>
          <w:color w:val="333333"/>
          <w:spacing w:val="0"/>
          <w:sz w:val="30"/>
          <w:szCs w:val="30"/>
          <w:shd w:val="clear" w:fill="FFFFFF"/>
          <w:lang w:val="en-US" w:eastAsia="zh-CN"/>
        </w:rPr>
        <w:t>深化基层政务公开。贯彻落实省级标准目录指引，调整“两化”对应领域栏目，新增新闻出版版权、交通运输、广播电视、统计、自然资源领域，发布信息751条；按月或按季度汇总面向农村的各类惠民惠农资金共94条。四</w:t>
      </w:r>
      <w:r>
        <w:rPr>
          <w:rFonts w:hint="eastAsia" w:ascii="仿宋_GB2312" w:hAnsi="仿宋_GB2312" w:eastAsia="仿宋_GB2312" w:cs="仿宋_GB2312"/>
          <w:i w:val="0"/>
          <w:iCs w:val="0"/>
          <w:caps w:val="0"/>
          <w:color w:val="333333"/>
          <w:spacing w:val="0"/>
          <w:sz w:val="30"/>
          <w:szCs w:val="30"/>
          <w:shd w:val="clear" w:fill="FFFFFF"/>
        </w:rPr>
        <w:t>是</w:t>
      </w:r>
      <w:r>
        <w:rPr>
          <w:rFonts w:hint="eastAsia" w:ascii="仿宋_GB2312" w:hAnsi="仿宋_GB2312" w:eastAsia="仿宋_GB2312" w:cs="仿宋_GB2312"/>
          <w:i w:val="0"/>
          <w:iCs w:val="0"/>
          <w:caps w:val="0"/>
          <w:color w:val="333333"/>
          <w:spacing w:val="0"/>
          <w:sz w:val="30"/>
          <w:szCs w:val="30"/>
          <w:shd w:val="clear" w:fill="FFFFFF"/>
          <w:lang w:val="en-US" w:eastAsia="zh-CN"/>
        </w:rPr>
        <w:t>优化政策咨询服务。线下在政务服务大厅设置</w:t>
      </w:r>
      <w:r>
        <w:rPr>
          <w:rFonts w:hint="default" w:ascii="仿宋_GB2312" w:hAnsi="仿宋_GB2312" w:eastAsia="仿宋_GB2312" w:cs="仿宋_GB2312"/>
          <w:i w:val="0"/>
          <w:iCs w:val="0"/>
          <w:caps w:val="0"/>
          <w:color w:val="333333"/>
          <w:spacing w:val="0"/>
          <w:sz w:val="30"/>
          <w:szCs w:val="30"/>
          <w:shd w:val="clear" w:fill="FFFFFF"/>
          <w:lang w:val="en-US"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政策咨询综合服务窗口</w:t>
      </w:r>
      <w:r>
        <w:rPr>
          <w:rFonts w:hint="default" w:ascii="仿宋_GB2312" w:hAnsi="仿宋_GB2312" w:eastAsia="仿宋_GB2312" w:cs="仿宋_GB2312"/>
          <w:i w:val="0"/>
          <w:iCs w:val="0"/>
          <w:caps w:val="0"/>
          <w:color w:val="333333"/>
          <w:spacing w:val="0"/>
          <w:sz w:val="30"/>
          <w:szCs w:val="30"/>
          <w:shd w:val="clear" w:fill="FFFFFF"/>
          <w:lang w:val="en-US"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，结合政务公开专区建设开设政策解读咨询区，线上结合政策文件库专题提供政策咨询服务电话。全年发布政策解读信息49条，其中发布政策图解12个，新闻发布会解读4场。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0"/>
          <w:szCs w:val="30"/>
          <w:shd w:val="clear" w:fill="FFFFFF"/>
          <w:lang w:val="en-US" w:eastAsia="zh-CN"/>
        </w:rPr>
      </w:pPr>
      <w:r>
        <w:rPr>
          <w:rFonts w:hint="eastAsia" w:ascii="楷体" w:hAnsi="楷体" w:eastAsia="楷体" w:cs="楷体"/>
          <w:i w:val="0"/>
          <w:iCs w:val="0"/>
          <w:caps w:val="0"/>
          <w:color w:val="000000"/>
          <w:spacing w:val="0"/>
          <w:sz w:val="32"/>
          <w:szCs w:val="32"/>
          <w:shd w:val="clear" w:fill="FFFFFF"/>
        </w:rPr>
        <w:t>（二）依申请公开。</w:t>
      </w:r>
      <w:r>
        <w:rPr>
          <w:rFonts w:hint="eastAsia" w:ascii="仿宋_GB2312" w:hAnsi="仿宋_GB2312" w:eastAsia="仿宋_GB2312" w:cs="仿宋_GB2312"/>
          <w:i w:val="0"/>
          <w:iCs w:val="0"/>
          <w:caps w:val="0"/>
          <w:color w:val="333333"/>
          <w:spacing w:val="0"/>
          <w:sz w:val="30"/>
          <w:szCs w:val="30"/>
          <w:shd w:val="clear" w:fill="FFFFFF"/>
          <w:lang w:val="en-US" w:eastAsia="zh-CN"/>
        </w:rPr>
        <w:t>建立疑难案件沟通会商机制，由县政府办、相关部门、县司法局三方现场会商，沟通分析，经过认真讨论、细致研究后形成答复意见。2022年我办共受理依申请公开18件，答复办结率100%。从申请方式上看，网络申请9件，占50%；信函申请9件，占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楷体" w:hAnsi="楷体" w:eastAsia="方正仿宋_GBK"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rPr>
        <w:t>（三）政府信息管理。</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按月对政府网站和政务新媒体进行检测，</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对涉及个人隐私、错敏词、赌博暗链、无效的信息进行清理</w:t>
      </w:r>
      <w:r>
        <w:rPr>
          <w:rFonts w:ascii="方正仿宋_GBK" w:hAnsi="方正仿宋_GBK" w:eastAsia="方正仿宋_GBK" w:cs="方正仿宋_GBK"/>
          <w:i w:val="0"/>
          <w:iCs w:val="0"/>
          <w:caps w:val="0"/>
          <w:color w:val="000000"/>
          <w:spacing w:val="0"/>
          <w:sz w:val="32"/>
          <w:szCs w:val="32"/>
          <w:shd w:val="clear" w:color="auto" w:fill="FFFFFF"/>
        </w:rPr>
        <w:t>。</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开展规范性文件集中公开，今年新制发1</w:t>
      </w:r>
      <w:r>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t>0</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件，废止15件，现行有效共16</w:t>
      </w:r>
      <w:r>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件。规范文件公开格式，根据《六安市政务公开办公室关于做好行政规范性文件集中公开工作的通知》调整要求，对全县规范性文件公开格式进行调整。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50" w:afterAutospacing="0" w:line="560" w:lineRule="exact"/>
        <w:ind w:left="0" w:right="0" w:firstLine="640"/>
        <w:jc w:val="left"/>
        <w:textAlignment w:val="center"/>
        <w:rPr>
          <w:rFonts w:hint="default" w:ascii="Calibri" w:hAnsi="Calibri" w:cs="Calibri"/>
          <w:i w:val="0"/>
          <w:iCs w:val="0"/>
          <w:caps w:val="0"/>
          <w:color w:val="000000"/>
          <w:spacing w:val="0"/>
          <w:sz w:val="21"/>
          <w:szCs w:val="21"/>
          <w:lang w:val="en-US"/>
        </w:rPr>
      </w:pPr>
      <w:r>
        <w:rPr>
          <w:rFonts w:hint="eastAsia" w:ascii="楷体" w:hAnsi="楷体" w:eastAsia="楷体" w:cs="楷体"/>
          <w:i w:val="0"/>
          <w:iCs w:val="0"/>
          <w:caps w:val="0"/>
          <w:color w:val="000000"/>
          <w:spacing w:val="0"/>
          <w:sz w:val="32"/>
          <w:szCs w:val="32"/>
          <w:shd w:val="clear" w:fill="FFFFFF"/>
        </w:rPr>
        <w:t>（四）政府信息</w:t>
      </w:r>
      <w:r>
        <w:rPr>
          <w:rFonts w:hint="eastAsia" w:ascii="楷体" w:hAnsi="楷体" w:eastAsia="楷体" w:cs="楷体"/>
          <w:i w:val="0"/>
          <w:iCs w:val="0"/>
          <w:caps w:val="0"/>
          <w:color w:val="000000"/>
          <w:spacing w:val="0"/>
          <w:sz w:val="32"/>
          <w:szCs w:val="32"/>
          <w:shd w:val="clear" w:fill="FFFFFF"/>
          <w:lang w:val="en-US" w:eastAsia="zh-CN"/>
        </w:rPr>
        <w:t>公开</w:t>
      </w:r>
      <w:r>
        <w:rPr>
          <w:rFonts w:hint="eastAsia" w:ascii="楷体" w:hAnsi="楷体" w:eastAsia="楷体" w:cs="楷体"/>
          <w:i w:val="0"/>
          <w:iCs w:val="0"/>
          <w:caps w:val="0"/>
          <w:color w:val="000000"/>
          <w:spacing w:val="0"/>
          <w:sz w:val="32"/>
          <w:szCs w:val="32"/>
          <w:shd w:val="clear" w:fill="FFFFFF"/>
        </w:rPr>
        <w:t>平台建设。</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依托六安市政府网站集约化平台，根据市政务公开办要求对“两化”领域进行调整，新增“两化”5个专题；依据2022年政务公开工作重点任务，新建3个专题并对以往专题做好常态化维护；安排专人维护依申请公开平台，做到一天一登录，确保依申请公开一个工作日受理</w:t>
      </w:r>
      <w:r>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t>.</w:t>
      </w:r>
      <w:bookmarkStart w:id="0" w:name="_GoBack"/>
      <w:bookmarkEnd w:id="0"/>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150" w:afterAutospacing="0" w:line="560" w:lineRule="exact"/>
        <w:ind w:right="0" w:firstLine="640" w:firstLineChars="200"/>
        <w:jc w:val="left"/>
        <w:textAlignment w:val="center"/>
        <w:rPr>
          <w:rFonts w:hint="default" w:ascii="楷体" w:hAnsi="楷体" w:eastAsia="楷体" w:cs="楷体"/>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开展全县基层政务公开提升行动，总结典型经验做法，发布经验交流2期；加强工作考核，将政务公开工作纳入县政府目标绩效管理考核；强化业务培训，2022年我办开展专题业务培训</w:t>
      </w:r>
      <w:r>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t>2</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次，通过座谈会、集中办公等不同方式，加强全县政务公开工作人员日常培训，截至目前，集中办公达</w:t>
      </w:r>
      <w:r>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t>3</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次，座谈会</w:t>
      </w:r>
      <w:r>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t>5</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次。积极响应上级号召，抓落实，补短板，主动听取群众意见，虚心接受社会监督与评议，2022年未发生政务公开责任追究事件。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w:t>
            </w:r>
            <w:r>
              <w:rPr>
                <w:rFonts w:hint="default" w:ascii="Calibri" w:hAnsi="Calibri" w:cs="Calibri"/>
                <w:sz w:val="21"/>
                <w:szCs w:val="21"/>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15</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16</w:t>
            </w:r>
            <w:r>
              <w:rPr>
                <w:rFonts w:hint="default" w:ascii="Calibri" w:hAnsi="Calibri" w:cs="Calibri"/>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商业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科研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18</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5</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3</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default" w:ascii="Calibri" w:hAnsi="Calibri" w:cs="Calibri"/>
                <w:sz w:val="21"/>
                <w:szCs w:val="21"/>
              </w:rPr>
            </w:pPr>
            <w:r>
              <w:rPr>
                <w:rFonts w:hint="eastAsia" w:ascii="宋体" w:hAnsi="宋体" w:eastAsia="宋体" w:cs="宋体"/>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default" w:ascii="Calibri" w:hAnsi="Calibri" w:cs="Calibri"/>
                <w:sz w:val="21"/>
                <w:szCs w:val="21"/>
              </w:rPr>
            </w:pPr>
            <w:r>
              <w:rPr>
                <w:rFonts w:hint="eastAsia" w:ascii="宋体" w:hAnsi="宋体" w:eastAsia="宋体" w:cs="宋体"/>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default" w:ascii="Calibri" w:hAnsi="Calibri" w:cs="Calibri"/>
                <w:sz w:val="21"/>
                <w:szCs w:val="21"/>
              </w:rPr>
            </w:pPr>
            <w:r>
              <w:rPr>
                <w:rFonts w:hint="eastAsia" w:ascii="宋体" w:hAnsi="宋体" w:eastAsia="宋体" w:cs="宋体"/>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eastAsia="zh-CN"/>
              </w:rPr>
            </w:pPr>
            <w:r>
              <w:rPr>
                <w:rFonts w:hint="eastAsia" w:ascii="Calibri" w:hAnsi="Calibri" w:eastAsia="宋体" w:cs="Calibri"/>
                <w:sz w:val="21"/>
                <w:szCs w:val="21"/>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Calibri" w:hAnsi="Calibri" w:cs="Calibri" w:eastAsiaTheme="minorEastAsia"/>
                <w:sz w:val="21"/>
                <w:szCs w:val="21"/>
                <w:lang w:eastAsia="zh-CN"/>
              </w:rPr>
            </w:pPr>
            <w:r>
              <w:rPr>
                <w:rFonts w:hint="eastAsia" w:ascii="Calibri" w:hAnsi="Calibri" w:eastAsia="宋体" w:cs="Calibri"/>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18</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Fonts w:hint="default" w:ascii="Calibri" w:hAnsi="Calibri" w:cs="Calibri"/>
                <w:sz w:val="21"/>
                <w:szCs w:val="21"/>
              </w:rPr>
            </w:pPr>
            <w:r>
              <w:rPr>
                <w:rFonts w:hint="eastAsia" w:ascii="宋体" w:hAnsi="宋体" w:eastAsia="宋体" w:cs="宋体"/>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行政复议</w:t>
            </w:r>
          </w:p>
        </w:tc>
        <w:tc>
          <w:tcPr>
            <w:tcW w:w="642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21"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结果维持</w:t>
            </w:r>
          </w:p>
        </w:tc>
        <w:tc>
          <w:tcPr>
            <w:tcW w:w="64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结果纠正</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其他结果</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尚未审结</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总计</w:t>
            </w:r>
          </w:p>
        </w:tc>
        <w:tc>
          <w:tcPr>
            <w:tcW w:w="321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未经复议直接起诉</w:t>
            </w:r>
          </w:p>
        </w:tc>
        <w:tc>
          <w:tcPr>
            <w:tcW w:w="321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sz w:val="20"/>
                <w:szCs w:val="20"/>
              </w:rPr>
            </w:pP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结果维持</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其他结果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尚未审结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结果维持</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结果纠正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color w:val="000000"/>
                <w:sz w:val="20"/>
                <w:szCs w:val="20"/>
              </w:rPr>
              <w:t>其他结果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sz w:val="20"/>
                <w:szCs w:val="20"/>
              </w:rPr>
              <w:t>尚未审结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Calibri" w:hAnsi="Calibri" w:cs="Calibri"/>
                <w:sz w:val="21"/>
                <w:szCs w:val="21"/>
              </w:rPr>
            </w:pPr>
            <w:r>
              <w:rPr>
                <w:rFonts w:hint="eastAsia" w:ascii="宋体" w:hAnsi="宋体" w:eastAsia="宋体" w:cs="宋体"/>
                <w:sz w:val="24"/>
                <w:szCs w:val="24"/>
              </w:rPr>
              <w:t>0</w:t>
            </w:r>
          </w:p>
        </w:tc>
      </w:tr>
    </w:tbl>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存在的主要问题及改进情况</w:t>
      </w:r>
    </w:p>
    <w:p>
      <w:pPr>
        <w:keepNext w:val="0"/>
        <w:keepLines w:val="0"/>
        <w:pageBreakBefore w:val="0"/>
        <w:kinsoku/>
        <w:overflowPunct/>
        <w:topLinePunct w:val="0"/>
        <w:autoSpaceDE/>
        <w:autoSpaceDN/>
        <w:bidi w:val="0"/>
        <w:adjustRightInd/>
        <w:snapToGrid/>
        <w:spacing w:line="560" w:lineRule="exact"/>
        <w:ind w:firstLine="640" w:firstLineChars="200"/>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（一）存在问题</w:t>
      </w:r>
    </w:p>
    <w:p>
      <w:pPr>
        <w:keepNext w:val="0"/>
        <w:keepLines w:val="0"/>
        <w:pageBreakBefore w:val="0"/>
        <w:kinsoku/>
        <w:overflowPunct/>
        <w:topLinePunct w:val="0"/>
        <w:autoSpaceDE/>
        <w:autoSpaceDN/>
        <w:bidi w:val="0"/>
        <w:adjustRightInd/>
        <w:snapToGrid/>
        <w:spacing w:line="560" w:lineRule="exact"/>
        <w:ind w:firstLine="640" w:firstLineChars="200"/>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一是</w:t>
      </w:r>
      <w:r>
        <w:rPr>
          <w:rFonts w:hint="default" w:ascii="仿宋" w:hAnsi="仿宋" w:eastAsia="仿宋" w:cs="仿宋"/>
          <w:i w:val="0"/>
          <w:iCs w:val="0"/>
          <w:caps w:val="0"/>
          <w:color w:val="000000"/>
          <w:spacing w:val="0"/>
          <w:kern w:val="0"/>
          <w:sz w:val="32"/>
          <w:szCs w:val="32"/>
          <w:shd w:val="clear" w:fill="FFFFFF"/>
          <w:lang w:val="en-US" w:eastAsia="zh-CN" w:bidi="ar"/>
        </w:rPr>
        <w:t>政务公开标准化规范化栏目工作不具体不深入，栏目信息公开质量仍有提升空间</w:t>
      </w:r>
      <w:r>
        <w:rPr>
          <w:rFonts w:hint="eastAsia" w:ascii="仿宋" w:hAnsi="仿宋" w:eastAsia="仿宋" w:cs="仿宋"/>
          <w:i w:val="0"/>
          <w:iCs w:val="0"/>
          <w:caps w:val="0"/>
          <w:color w:val="000000"/>
          <w:spacing w:val="0"/>
          <w:kern w:val="0"/>
          <w:sz w:val="32"/>
          <w:szCs w:val="32"/>
          <w:shd w:val="clear" w:fill="FFFFFF"/>
          <w:lang w:val="en-US" w:eastAsia="zh-CN" w:bidi="ar"/>
        </w:rPr>
        <w:t>，失效信息未及时删除，未按栏目标准指引发布相关信息，栏目下存在无用信息。</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二是重大决策预公开</w:t>
      </w:r>
      <w:r>
        <w:rPr>
          <w:rFonts w:hint="eastAsia" w:ascii="仿宋" w:hAnsi="仿宋" w:eastAsia="仿宋" w:cs="仿宋"/>
          <w:i w:val="0"/>
          <w:iCs w:val="0"/>
          <w:caps w:val="0"/>
          <w:color w:val="000000"/>
          <w:spacing w:val="0"/>
          <w:kern w:val="0"/>
          <w:sz w:val="32"/>
          <w:szCs w:val="32"/>
          <w:shd w:val="clear" w:fill="FFFFFF"/>
          <w:lang w:val="en-US" w:eastAsia="zh-CN" w:bidi="ar"/>
        </w:rPr>
        <w:t>社会知晓度低，群众反馈意见少</w:t>
      </w:r>
      <w:r>
        <w:rPr>
          <w:rFonts w:hint="default" w:ascii="仿宋" w:hAnsi="仿宋" w:eastAsia="仿宋" w:cs="仿宋"/>
          <w:i w:val="0"/>
          <w:iCs w:val="0"/>
          <w:caps w:val="0"/>
          <w:color w:val="000000"/>
          <w:spacing w:val="0"/>
          <w:kern w:val="0"/>
          <w:sz w:val="32"/>
          <w:szCs w:val="32"/>
          <w:shd w:val="clear" w:fill="FFFFFF"/>
          <w:lang w:val="en-US" w:eastAsia="zh-CN" w:bidi="ar"/>
        </w:rPr>
        <w:t>。</w:t>
      </w:r>
    </w:p>
    <w:p>
      <w:pPr>
        <w:keepNext w:val="0"/>
        <w:keepLines w:val="0"/>
        <w:pageBreakBefore w:val="0"/>
        <w:numPr>
          <w:ilvl w:val="0"/>
          <w:numId w:val="3"/>
        </w:numPr>
        <w:kinsoku/>
        <w:overflowPunct/>
        <w:topLinePunct w:val="0"/>
        <w:autoSpaceDE/>
        <w:autoSpaceDN/>
        <w:bidi w:val="0"/>
        <w:adjustRightInd/>
        <w:snapToGrid/>
        <w:spacing w:line="560" w:lineRule="exact"/>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改进措施</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一是开展基层政务公开提升行动，按照最新“两化”标准指引调整栏目，并提高“两化”专题考核要求，将失效信息未清除纳入扣分项。</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是充分利用意见征集库专题，拓宽意见渠道，加大宣传力度，结合微信公众号提高群众知晓率；打通线下宣传渠道，邀请利益相关方代表参加文件编制工作座谈会，通过村务公开栏、线下听证会、发放调查问卷等形式广泛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微软雅黑" w:eastAsia="仿宋_GB2312" w:cs="仿宋_GB2312"/>
          <w:color w:val="000000"/>
          <w:kern w:val="0"/>
          <w:sz w:val="32"/>
          <w:szCs w:val="32"/>
        </w:rPr>
      </w:pPr>
      <w:r>
        <w:rPr>
          <w:rFonts w:ascii="仿宋_GB2312" w:hAnsi="Arial" w:eastAsia="仿宋_GB2312" w:cs="仿宋_GB2312"/>
          <w:color w:val="000000"/>
          <w:kern w:val="0"/>
          <w:sz w:val="32"/>
          <w:szCs w:val="32"/>
          <w:shd w:val="clear" w:fill="FFFFFF"/>
        </w:rPr>
        <w:t>强化部门联动，依法合规</w:t>
      </w:r>
      <w:r>
        <w:rPr>
          <w:rFonts w:hint="eastAsia" w:ascii="仿宋_GB2312" w:hAnsi="Arial" w:eastAsia="仿宋_GB2312" w:cs="仿宋_GB2312"/>
          <w:color w:val="000000"/>
          <w:kern w:val="0"/>
          <w:sz w:val="32"/>
          <w:szCs w:val="32"/>
          <w:shd w:val="clear" w:fill="FFFFFF"/>
        </w:rPr>
        <w:t>做好依申请公开工作。于答复难度大、牵涉部门多的申请件，加强与申请人沟通联系，充分了解诉求，及时做好解释说明。</w:t>
      </w:r>
      <w:r>
        <w:rPr>
          <w:rFonts w:hint="eastAsia" w:ascii="仿宋_GB2312" w:hAnsi="微软雅黑" w:eastAsia="仿宋_GB2312" w:cs="仿宋_GB2312"/>
          <w:color w:val="000000"/>
          <w:kern w:val="0"/>
          <w:sz w:val="32"/>
          <w:szCs w:val="32"/>
        </w:rPr>
        <w:t>建立疑难案件沟通会商机制，由县政府办、相关部门、县司法局三方现场会商，沟通分析案情，</w:t>
      </w:r>
      <w:r>
        <w:rPr>
          <w:rFonts w:hint="eastAsia" w:ascii="仿宋_GB2312" w:hAnsi="Arial" w:eastAsia="仿宋_GB2312" w:cs="仿宋_GB2312"/>
          <w:color w:val="000000"/>
          <w:kern w:val="0"/>
          <w:sz w:val="32"/>
          <w:szCs w:val="32"/>
          <w:shd w:val="clear" w:fill="FFFFFF"/>
        </w:rPr>
        <w:t>经过认真讨论、细致研究后形成答复意见。同时，县司法局</w:t>
      </w:r>
      <w:r>
        <w:rPr>
          <w:rFonts w:hint="eastAsia" w:ascii="仿宋_GB2312" w:hAnsi="微软雅黑" w:eastAsia="仿宋_GB2312" w:cs="仿宋_GB2312"/>
          <w:color w:val="000000"/>
          <w:spacing w:val="9"/>
          <w:kern w:val="0"/>
          <w:sz w:val="32"/>
          <w:szCs w:val="32"/>
          <w:shd w:val="clear" w:fill="FFFFFF"/>
        </w:rPr>
        <w:t>对《政府信息公开答复书》的合法性予以审查，提供专业的法律意见和建议，</w:t>
      </w:r>
      <w:r>
        <w:rPr>
          <w:rFonts w:hint="eastAsia" w:ascii="仿宋_GB2312" w:hAnsi="微软雅黑" w:eastAsia="仿宋_GB2312" w:cs="仿宋_GB2312"/>
          <w:color w:val="000000"/>
          <w:kern w:val="0"/>
          <w:sz w:val="32"/>
          <w:szCs w:val="32"/>
        </w:rPr>
        <w:t>全力确保依申请公开答复的准确性、合法性和一致性。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按照《国务院办公厅关于印发〈政府信息公开信息处理费管理办法〉的通知》（国办函〔2020〕109号）规定的按件、按量收费标准，本年度没有产生信息公开处理费。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cs="Calibri"/>
          <w:i w:val="0"/>
          <w:iCs w:val="0"/>
          <w:caps w:val="0"/>
          <w:color w:val="000000"/>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cs="Calibri"/>
          <w:i w:val="0"/>
          <w:iCs w:val="0"/>
          <w:caps w:val="0"/>
          <w:color w:val="000000"/>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eastAsia="仿宋" w:cs="Calibri"/>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32"/>
          <w:szCs w:val="32"/>
          <w:shd w:val="clear" w:fill="FFFFFF"/>
        </w:rPr>
        <w:t>                            舒城县人民政府办公室</w:t>
      </w:r>
      <w:r>
        <w:rPr>
          <w:rFonts w:hint="eastAsia" w:ascii="仿宋" w:hAnsi="仿宋" w:eastAsia="仿宋" w:cs="仿宋"/>
          <w:i w:val="0"/>
          <w:iCs w:val="0"/>
          <w:caps w:val="0"/>
          <w:color w:val="000000"/>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right"/>
        <w:rPr>
          <w:rFonts w:hint="default" w:ascii="Calibri" w:hAnsi="Calibri" w:eastAsia="仿宋" w:cs="Calibri"/>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32"/>
          <w:szCs w:val="32"/>
          <w:shd w:val="clear" w:fill="FFFFFF"/>
        </w:rPr>
        <w:t>                             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年1月</w:t>
      </w:r>
      <w:r>
        <w:rPr>
          <w:rFonts w:hint="eastAsia" w:ascii="仿宋" w:hAnsi="仿宋" w:eastAsia="仿宋" w:cs="仿宋"/>
          <w:i w:val="0"/>
          <w:iCs w:val="0"/>
          <w:caps w:val="0"/>
          <w:color w:val="000000"/>
          <w:spacing w:val="0"/>
          <w:sz w:val="32"/>
          <w:szCs w:val="32"/>
          <w:shd w:val="clear" w:fill="FFFFFF"/>
          <w:lang w:val="en-US" w:eastAsia="zh-CN"/>
        </w:rPr>
        <w:t>13</w:t>
      </w:r>
      <w:r>
        <w:rPr>
          <w:rFonts w:hint="eastAsia" w:ascii="仿宋" w:hAnsi="仿宋" w:eastAsia="仿宋" w:cs="仿宋"/>
          <w:i w:val="0"/>
          <w:iCs w:val="0"/>
          <w:caps w:val="0"/>
          <w:color w:val="000000"/>
          <w:spacing w:val="0"/>
          <w:sz w:val="32"/>
          <w:szCs w:val="32"/>
          <w:shd w:val="clear" w:fill="FFFFFF"/>
        </w:rPr>
        <w:t>日</w:t>
      </w:r>
      <w:r>
        <w:rPr>
          <w:rFonts w:hint="eastAsia" w:ascii="仿宋" w:hAnsi="仿宋" w:eastAsia="仿宋" w:cs="仿宋"/>
          <w:i w:val="0"/>
          <w:iCs w:val="0"/>
          <w:caps w:val="0"/>
          <w:color w:val="000000"/>
          <w:spacing w:val="0"/>
          <w:sz w:val="32"/>
          <w:szCs w:val="32"/>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Liberation Serif">
    <w:panose1 w:val="02020603050405020304"/>
    <w:charset w:val="00"/>
    <w:family w:val="auto"/>
    <w:pitch w:val="default"/>
    <w:sig w:usb0="A00002AF" w:usb1="5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A1178"/>
    <w:multiLevelType w:val="singleLevel"/>
    <w:tmpl w:val="376A1178"/>
    <w:lvl w:ilvl="0" w:tentative="0">
      <w:start w:val="2"/>
      <w:numFmt w:val="chineseCounting"/>
      <w:suff w:val="nothing"/>
      <w:lvlText w:val="（%1）"/>
      <w:lvlJc w:val="left"/>
      <w:rPr>
        <w:rFonts w:hint="eastAsia"/>
      </w:rPr>
    </w:lvl>
  </w:abstractNum>
  <w:abstractNum w:abstractNumId="1">
    <w:nsid w:val="411CEB6E"/>
    <w:multiLevelType w:val="singleLevel"/>
    <w:tmpl w:val="411CEB6E"/>
    <w:lvl w:ilvl="0" w:tentative="0">
      <w:start w:val="5"/>
      <w:numFmt w:val="chineseCounting"/>
      <w:suff w:val="nothing"/>
      <w:lvlText w:val="%1、"/>
      <w:lvlJc w:val="left"/>
      <w:rPr>
        <w:rFonts w:hint="eastAsia"/>
      </w:rPr>
    </w:lvl>
  </w:abstractNum>
  <w:abstractNum w:abstractNumId="2">
    <w:nsid w:val="55AD04B4"/>
    <w:multiLevelType w:val="singleLevel"/>
    <w:tmpl w:val="55AD04B4"/>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MmI0ODFmNDA1ZDg2Y2NjODViNjIyZjFjYmIzOGQifQ=="/>
    <w:docVar w:name="DocumentID" w:val="{67C47E73-0663-4EAD-8F4C-85538EA085EA}"/>
    <w:docVar w:name="DocumentName" w:val="_iw20b_31164720"/>
  </w:docVars>
  <w:rsids>
    <w:rsidRoot w:val="00000000"/>
    <w:rsid w:val="06426774"/>
    <w:rsid w:val="068154EF"/>
    <w:rsid w:val="0757624F"/>
    <w:rsid w:val="08C75716"/>
    <w:rsid w:val="0AFD44E7"/>
    <w:rsid w:val="0BB27EF8"/>
    <w:rsid w:val="118063A3"/>
    <w:rsid w:val="17AA23CB"/>
    <w:rsid w:val="193B2F3B"/>
    <w:rsid w:val="1A015D71"/>
    <w:rsid w:val="1A9D6217"/>
    <w:rsid w:val="1CF3211F"/>
    <w:rsid w:val="1EF573E8"/>
    <w:rsid w:val="223236E9"/>
    <w:rsid w:val="224F6049"/>
    <w:rsid w:val="231057D9"/>
    <w:rsid w:val="241C1F5B"/>
    <w:rsid w:val="2A8A04B0"/>
    <w:rsid w:val="2EC102CF"/>
    <w:rsid w:val="30C030EB"/>
    <w:rsid w:val="32946B19"/>
    <w:rsid w:val="34A4511E"/>
    <w:rsid w:val="36E83F1F"/>
    <w:rsid w:val="398E34A3"/>
    <w:rsid w:val="3A1E2A1A"/>
    <w:rsid w:val="3AE74C19"/>
    <w:rsid w:val="400E2C48"/>
    <w:rsid w:val="49E8275C"/>
    <w:rsid w:val="4E434405"/>
    <w:rsid w:val="553D1BAE"/>
    <w:rsid w:val="555928BD"/>
    <w:rsid w:val="575C02E5"/>
    <w:rsid w:val="58922210"/>
    <w:rsid w:val="5A2F4606"/>
    <w:rsid w:val="5F2F6E34"/>
    <w:rsid w:val="62F51D1A"/>
    <w:rsid w:val="6BAB1B60"/>
    <w:rsid w:val="6C4F77F2"/>
    <w:rsid w:val="6C5630FD"/>
    <w:rsid w:val="6FD2748D"/>
    <w:rsid w:val="74A44D2D"/>
    <w:rsid w:val="7601057E"/>
    <w:rsid w:val="77DB72D8"/>
    <w:rsid w:val="7FBFA058"/>
    <w:rsid w:val="EFE6F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2779</Words>
  <Characters>2903</Characters>
  <Lines>0</Lines>
  <Paragraphs>0</Paragraphs>
  <TotalTime>72</TotalTime>
  <ScaleCrop>false</ScaleCrop>
  <LinksUpToDate>false</LinksUpToDate>
  <CharactersWithSpaces>2972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2023-01-03T18:19:00Z</dcterms:created>
  <dc:creator>Lenovo</dc:creator>
  <cp:lastModifiedBy>administrator</cp:lastModifiedBy>
  <dcterms:modified xsi:type="dcterms:W3CDTF">2023-08-01T15:47:03Z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F9D746968ED64604B557E9BC70834D58</vt:lpwstr>
  </property>
</Properties>
</file>