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00"/>
        <w:jc w:val="center"/>
        <w:rPr>
          <w:rFonts w:ascii="Times New Roman" w:hAnsi="Times New Roman" w:eastAsia="仿宋_GB2312" w:cs="Times New Roman"/>
          <w:b/>
          <w:sz w:val="48"/>
          <w:szCs w:val="48"/>
        </w:rPr>
      </w:pPr>
    </w:p>
    <w:p>
      <w:pPr>
        <w:spacing w:line="360" w:lineRule="auto"/>
        <w:ind w:firstLine="964" w:firstLineChars="200"/>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52"/>
          <w:szCs w:val="52"/>
        </w:rPr>
      </w:pPr>
      <w:bookmarkStart w:id="0" w:name="_Hlk137548025"/>
      <w:r>
        <w:rPr>
          <w:rFonts w:ascii="Times New Roman" w:hAnsi="Times New Roman" w:eastAsia="仿宋_GB2312" w:cs="Times New Roman"/>
          <w:b/>
          <w:sz w:val="52"/>
          <w:szCs w:val="52"/>
        </w:rPr>
        <w:t>舒城县畜禽养殖污染防治规划</w:t>
      </w:r>
    </w:p>
    <w:p>
      <w:pPr>
        <w:spacing w:line="360" w:lineRule="auto"/>
        <w:ind w:firstLine="198"/>
        <w:jc w:val="center"/>
        <w:rPr>
          <w:rFonts w:ascii="Times New Roman" w:hAnsi="Times New Roman" w:eastAsia="仿宋_GB2312" w:cs="Times New Roman"/>
          <w:b/>
          <w:sz w:val="52"/>
          <w:szCs w:val="52"/>
        </w:rPr>
      </w:pPr>
      <w:r>
        <w:rPr>
          <w:rFonts w:ascii="Times New Roman" w:hAnsi="Times New Roman" w:eastAsia="仿宋_GB2312" w:cs="Times New Roman"/>
          <w:b/>
          <w:sz w:val="52"/>
          <w:szCs w:val="52"/>
        </w:rPr>
        <w:t>（2023-2027年）</w:t>
      </w:r>
    </w:p>
    <w:bookmarkEnd w:id="0"/>
    <w:p>
      <w:pPr>
        <w:spacing w:line="360" w:lineRule="auto"/>
        <w:ind w:firstLine="198"/>
        <w:jc w:val="center"/>
        <w:rPr>
          <w:rFonts w:hint="eastAsia" w:ascii="Times New Roman" w:hAnsi="Times New Roman" w:eastAsia="仿宋_GB2312" w:cs="Times New Roman"/>
          <w:b/>
          <w:sz w:val="48"/>
          <w:szCs w:val="48"/>
          <w:lang w:eastAsia="zh-CN"/>
        </w:rPr>
      </w:pPr>
      <w:r>
        <w:rPr>
          <w:rFonts w:hint="eastAsia" w:ascii="Times New Roman" w:hAnsi="Times New Roman" w:eastAsia="仿宋_GB2312" w:cs="Times New Roman"/>
          <w:b/>
          <w:sz w:val="48"/>
          <w:szCs w:val="48"/>
          <w:lang w:eastAsia="zh-CN"/>
        </w:rPr>
        <w:t>（征求意见</w:t>
      </w:r>
      <w:bookmarkStart w:id="76" w:name="_GoBack"/>
      <w:bookmarkEnd w:id="76"/>
      <w:r>
        <w:rPr>
          <w:rFonts w:hint="eastAsia" w:ascii="Times New Roman" w:hAnsi="Times New Roman" w:eastAsia="仿宋_GB2312" w:cs="Times New Roman"/>
          <w:b/>
          <w:sz w:val="48"/>
          <w:szCs w:val="48"/>
          <w:lang w:eastAsia="zh-CN"/>
        </w:rPr>
        <w:t>稿</w:t>
      </w:r>
      <w:r>
        <w:rPr>
          <w:rFonts w:hint="eastAsia" w:ascii="Times New Roman" w:hAnsi="Times New Roman" w:eastAsia="仿宋_GB2312" w:cs="Times New Roman"/>
          <w:b/>
          <w:sz w:val="48"/>
          <w:szCs w:val="48"/>
          <w:lang w:eastAsia="zh-CN"/>
        </w:rPr>
        <w:t>）</w:t>
      </w: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spacing w:line="360" w:lineRule="auto"/>
        <w:ind w:firstLine="198"/>
        <w:jc w:val="center"/>
        <w:rPr>
          <w:rFonts w:ascii="Times New Roman" w:hAnsi="Times New Roman" w:eastAsia="仿宋_GB2312" w:cs="Times New Roman"/>
          <w:b/>
          <w:sz w:val="48"/>
          <w:szCs w:val="48"/>
        </w:rPr>
      </w:pPr>
    </w:p>
    <w:p>
      <w:pPr>
        <w:widowControl/>
        <w:adjustRightInd w:val="0"/>
        <w:snapToGrid w:val="0"/>
        <w:spacing w:line="360" w:lineRule="auto"/>
        <w:ind w:firstLine="643" w:firstLineChars="200"/>
        <w:jc w:val="left"/>
        <w:rPr>
          <w:rFonts w:ascii="Times New Roman" w:hAnsi="Times New Roman" w:eastAsia="仿宋" w:cs="Times New Roman"/>
          <w:b/>
          <w:bCs/>
          <w:kern w:val="0"/>
          <w:sz w:val="32"/>
          <w:szCs w:val="32"/>
        </w:rPr>
      </w:pPr>
      <w:r>
        <w:rPr>
          <w:rFonts w:ascii="Times New Roman" w:hAnsi="Times New Roman" w:eastAsia="仿宋" w:cs="Times New Roman"/>
          <w:b/>
          <w:bCs/>
          <w:kern w:val="0"/>
          <w:sz w:val="32"/>
          <w:szCs w:val="32"/>
        </w:rPr>
        <w:t>委托单位： 六安市舒城县生态环境分局</w:t>
      </w:r>
    </w:p>
    <w:p>
      <w:pPr>
        <w:widowControl/>
        <w:adjustRightInd w:val="0"/>
        <w:snapToGrid w:val="0"/>
        <w:spacing w:line="360" w:lineRule="auto"/>
        <w:ind w:firstLine="643" w:firstLineChars="200"/>
        <w:jc w:val="left"/>
        <w:rPr>
          <w:rFonts w:ascii="Times New Roman" w:hAnsi="Times New Roman" w:eastAsia="仿宋" w:cs="Times New Roman"/>
          <w:b/>
          <w:bCs/>
          <w:kern w:val="0"/>
          <w:sz w:val="32"/>
          <w:szCs w:val="32"/>
        </w:rPr>
      </w:pPr>
      <w:r>
        <w:rPr>
          <w:rFonts w:ascii="Times New Roman" w:hAnsi="Times New Roman" w:eastAsia="仿宋" w:cs="Times New Roman"/>
          <w:b/>
          <w:bCs/>
          <w:kern w:val="0"/>
          <w:sz w:val="32"/>
          <w:szCs w:val="32"/>
        </w:rPr>
        <w:t>编制单位： 安徽省地质矿产勘查局313地质队</w:t>
      </w:r>
    </w:p>
    <w:p>
      <w:pPr>
        <w:widowControl/>
        <w:adjustRightInd w:val="0"/>
        <w:snapToGrid w:val="0"/>
        <w:spacing w:line="360" w:lineRule="auto"/>
        <w:ind w:firstLine="643" w:firstLineChars="200"/>
        <w:jc w:val="left"/>
        <w:rPr>
          <w:rFonts w:ascii="Times New Roman" w:hAnsi="Times New Roman" w:eastAsia="仿宋" w:cs="Times New Roman"/>
          <w:b/>
          <w:bCs/>
          <w:kern w:val="0"/>
          <w:sz w:val="32"/>
          <w:szCs w:val="32"/>
        </w:rPr>
      </w:pPr>
      <w:r>
        <w:rPr>
          <w:rFonts w:ascii="Times New Roman" w:hAnsi="Times New Roman" w:eastAsia="仿宋" w:cs="Times New Roman"/>
          <w:b/>
          <w:bCs/>
          <w:kern w:val="0"/>
          <w:sz w:val="32"/>
          <w:szCs w:val="32"/>
        </w:rPr>
        <w:t>编制日期： 二〇二三年</w:t>
      </w:r>
      <w:r>
        <w:rPr>
          <w:rFonts w:hint="eastAsia" w:ascii="Times New Roman" w:hAnsi="Times New Roman" w:eastAsia="仿宋" w:cs="Times New Roman"/>
          <w:b/>
          <w:bCs/>
          <w:kern w:val="0"/>
          <w:sz w:val="32"/>
          <w:szCs w:val="32"/>
        </w:rPr>
        <w:t>七</w:t>
      </w:r>
      <w:r>
        <w:rPr>
          <w:rFonts w:ascii="Times New Roman" w:hAnsi="Times New Roman" w:eastAsia="仿宋" w:cs="Times New Roman"/>
          <w:b/>
          <w:bCs/>
          <w:kern w:val="0"/>
          <w:sz w:val="32"/>
          <w:szCs w:val="32"/>
        </w:rPr>
        <w:t>月</w:t>
      </w:r>
    </w:p>
    <w:p>
      <w:pPr>
        <w:rPr>
          <w:rFonts w:ascii="Times New Roman" w:hAnsi="Times New Roman" w:cs="Times New Roma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5"/>
        <w:rPr>
          <w:rFonts w:ascii="Times New Roman" w:hAnsi="Times New Roman" w:cs="Times New Roman"/>
        </w:rPr>
      </w:pPr>
      <w:r>
        <w:rPr>
          <w:rFonts w:ascii="Times New Roman" w:hAnsi="Times New Roman" w:cs="Times New Roman"/>
        </w:rPr>
        <w:t>目录</w:t>
      </w:r>
    </w:p>
    <w:p>
      <w:pPr>
        <w:pStyle w:val="5"/>
        <w:spacing w:line="560" w:lineRule="exact"/>
        <w:rPr>
          <w:rFonts w:cstheme="minorBidi"/>
          <w:b w:val="0"/>
          <w:bCs/>
          <w:kern w:val="2"/>
          <w:sz w:val="32"/>
          <w:szCs w:val="32"/>
          <w:lang w:val="en-US"/>
        </w:rPr>
      </w:pPr>
      <w:r>
        <w:rPr>
          <w:rStyle w:val="11"/>
          <w:rFonts w:ascii="Times New Roman" w:hAnsi="Times New Roman" w:cs="Times New Roman"/>
          <w:b w:val="0"/>
          <w:bCs/>
          <w:kern w:val="2"/>
          <w:sz w:val="32"/>
          <w:szCs w:val="32"/>
          <w:lang w:val="en-US"/>
        </w:rPr>
        <w:fldChar w:fldCharType="begin"/>
      </w:r>
      <w:r>
        <w:rPr>
          <w:rStyle w:val="11"/>
          <w:rFonts w:ascii="Times New Roman" w:hAnsi="Times New Roman" w:cs="Times New Roman"/>
          <w:b w:val="0"/>
          <w:bCs/>
          <w:kern w:val="2"/>
          <w:sz w:val="32"/>
          <w:szCs w:val="32"/>
          <w:lang w:val="en-US"/>
        </w:rPr>
        <w:instrText xml:space="preserve"> TOC \o "1-2" \h \z \u </w:instrText>
      </w:r>
      <w:r>
        <w:rPr>
          <w:rStyle w:val="11"/>
          <w:rFonts w:ascii="Times New Roman" w:hAnsi="Times New Roman" w:cs="Times New Roman"/>
          <w:b w:val="0"/>
          <w:bCs/>
          <w:kern w:val="2"/>
          <w:sz w:val="32"/>
          <w:szCs w:val="32"/>
          <w:lang w:val="en-US"/>
        </w:rPr>
        <w:fldChar w:fldCharType="separate"/>
      </w:r>
      <w:r>
        <w:fldChar w:fldCharType="begin"/>
      </w:r>
      <w:r>
        <w:instrText xml:space="preserve"> HYPERLINK \l "_Toc139438713" </w:instrText>
      </w:r>
      <w:r>
        <w:fldChar w:fldCharType="separate"/>
      </w:r>
      <w:r>
        <w:rPr>
          <w:rStyle w:val="11"/>
          <w:rFonts w:cs="Times New Roman"/>
          <w:b w:val="0"/>
          <w:bCs/>
          <w:sz w:val="32"/>
          <w:szCs w:val="32"/>
        </w:rPr>
        <w:t>第一章 总则</w:t>
      </w:r>
      <w:r>
        <w:rPr>
          <w:b w:val="0"/>
          <w:bCs/>
          <w:sz w:val="32"/>
          <w:szCs w:val="32"/>
        </w:rPr>
        <w:tab/>
      </w:r>
      <w:r>
        <w:rPr>
          <w:b w:val="0"/>
          <w:bCs/>
          <w:sz w:val="32"/>
          <w:szCs w:val="32"/>
        </w:rPr>
        <w:fldChar w:fldCharType="begin"/>
      </w:r>
      <w:r>
        <w:rPr>
          <w:b w:val="0"/>
          <w:bCs/>
          <w:sz w:val="32"/>
          <w:szCs w:val="32"/>
        </w:rPr>
        <w:instrText xml:space="preserve"> PAGEREF _Toc139438713 \h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"_Toc139438714" </w:instrText>
      </w:r>
      <w:r>
        <w:fldChar w:fldCharType="separate"/>
      </w:r>
      <w:r>
        <w:rPr>
          <w:rStyle w:val="11"/>
          <w:rFonts w:ascii="仿宋" w:hAnsi="仿宋" w:eastAsia="仿宋" w:cs="Times New Roman"/>
          <w:bCs/>
          <w:sz w:val="32"/>
          <w:szCs w:val="32"/>
        </w:rPr>
        <w:t>1.1 编制背景</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_Toc139438714 \h </w:instrText>
      </w:r>
      <w:r>
        <w:rPr>
          <w:rFonts w:ascii="仿宋" w:hAnsi="仿宋" w:eastAsia="仿宋"/>
          <w:bCs/>
          <w:sz w:val="32"/>
          <w:szCs w:val="32"/>
        </w:rPr>
        <w:fldChar w:fldCharType="separate"/>
      </w:r>
      <w:r>
        <w:rPr>
          <w:rFonts w:ascii="仿宋" w:hAnsi="仿宋" w:eastAsia="仿宋"/>
          <w:bCs/>
          <w:sz w:val="32"/>
          <w:szCs w:val="32"/>
        </w:rPr>
        <w:t>1</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"_Toc139438715" </w:instrText>
      </w:r>
      <w:r>
        <w:fldChar w:fldCharType="separate"/>
      </w:r>
      <w:r>
        <w:rPr>
          <w:rStyle w:val="11"/>
          <w:rFonts w:ascii="仿宋" w:hAnsi="仿宋" w:eastAsia="仿宋" w:cs="Times New Roman"/>
          <w:bCs/>
          <w:sz w:val="32"/>
          <w:szCs w:val="32"/>
        </w:rPr>
        <w:t>1.2 编制原则</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_Toc139438715 \h </w:instrText>
      </w:r>
      <w:r>
        <w:rPr>
          <w:rFonts w:ascii="仿宋" w:hAnsi="仿宋" w:eastAsia="仿宋"/>
          <w:bCs/>
          <w:sz w:val="32"/>
          <w:szCs w:val="32"/>
        </w:rPr>
        <w:fldChar w:fldCharType="separate"/>
      </w:r>
      <w:r>
        <w:rPr>
          <w:rFonts w:ascii="仿宋" w:hAnsi="仿宋" w:eastAsia="仿宋"/>
          <w:bCs/>
          <w:sz w:val="32"/>
          <w:szCs w:val="32"/>
        </w:rPr>
        <w:t>2</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"_Toc139438716" </w:instrText>
      </w:r>
      <w:r>
        <w:fldChar w:fldCharType="separate"/>
      </w:r>
      <w:r>
        <w:rPr>
          <w:rStyle w:val="11"/>
          <w:rFonts w:ascii="仿宋" w:hAnsi="仿宋" w:eastAsia="仿宋" w:cs="Times New Roman"/>
          <w:bCs/>
          <w:sz w:val="32"/>
          <w:szCs w:val="32"/>
        </w:rPr>
        <w:t>1.3 编制依据</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_Toc139438716 \h </w:instrText>
      </w:r>
      <w:r>
        <w:rPr>
          <w:rFonts w:ascii="仿宋" w:hAnsi="仿宋" w:eastAsia="仿宋"/>
          <w:bCs/>
          <w:sz w:val="32"/>
          <w:szCs w:val="32"/>
        </w:rPr>
        <w:fldChar w:fldCharType="separate"/>
      </w:r>
      <w:r>
        <w:rPr>
          <w:rFonts w:ascii="仿宋" w:hAnsi="仿宋" w:eastAsia="仿宋"/>
          <w:bCs/>
          <w:sz w:val="32"/>
          <w:szCs w:val="32"/>
        </w:rPr>
        <w:t>3</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"_Toc139438717" </w:instrText>
      </w:r>
      <w:r>
        <w:fldChar w:fldCharType="separate"/>
      </w:r>
      <w:r>
        <w:rPr>
          <w:rStyle w:val="11"/>
          <w:rFonts w:ascii="仿宋" w:hAnsi="仿宋" w:eastAsia="仿宋" w:cs="Times New Roman"/>
          <w:bCs/>
          <w:sz w:val="32"/>
          <w:szCs w:val="32"/>
        </w:rPr>
        <w:t>1.4 规划期限</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_Toc139438717 \h </w:instrText>
      </w:r>
      <w:r>
        <w:rPr>
          <w:rFonts w:ascii="仿宋" w:hAnsi="仿宋" w:eastAsia="仿宋"/>
          <w:bCs/>
          <w:sz w:val="32"/>
          <w:szCs w:val="32"/>
        </w:rPr>
        <w:fldChar w:fldCharType="separate"/>
      </w:r>
      <w:r>
        <w:rPr>
          <w:rFonts w:ascii="仿宋" w:hAnsi="仿宋" w:eastAsia="仿宋"/>
          <w:bCs/>
          <w:sz w:val="32"/>
          <w:szCs w:val="32"/>
        </w:rPr>
        <w:t>6</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"_Toc139438718" </w:instrText>
      </w:r>
      <w:r>
        <w:fldChar w:fldCharType="separate"/>
      </w:r>
      <w:r>
        <w:rPr>
          <w:rStyle w:val="11"/>
          <w:rFonts w:cs="Times New Roman"/>
          <w:b w:val="0"/>
          <w:bCs/>
          <w:sz w:val="32"/>
          <w:szCs w:val="32"/>
        </w:rPr>
        <w:t>第二章 区域概况</w:t>
      </w:r>
      <w:r>
        <w:rPr>
          <w:b w:val="0"/>
          <w:bCs/>
          <w:sz w:val="32"/>
          <w:szCs w:val="32"/>
        </w:rPr>
        <w:tab/>
      </w:r>
      <w:r>
        <w:rPr>
          <w:b w:val="0"/>
          <w:bCs/>
          <w:sz w:val="32"/>
          <w:szCs w:val="32"/>
        </w:rPr>
        <w:fldChar w:fldCharType="begin"/>
      </w:r>
      <w:r>
        <w:rPr>
          <w:b w:val="0"/>
          <w:bCs/>
          <w:sz w:val="32"/>
          <w:szCs w:val="32"/>
        </w:rPr>
        <w:instrText xml:space="preserve"> PAGEREF _Toc139438718 \h </w:instrText>
      </w:r>
      <w:r>
        <w:rPr>
          <w:b w:val="0"/>
          <w:bCs/>
          <w:sz w:val="32"/>
          <w:szCs w:val="32"/>
        </w:rPr>
        <w:fldChar w:fldCharType="separate"/>
      </w:r>
      <w:r>
        <w:rPr>
          <w:b w:val="0"/>
          <w:bCs/>
          <w:sz w:val="32"/>
          <w:szCs w:val="32"/>
        </w:rPr>
        <w:t>7</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"_Toc139438719" </w:instrText>
      </w:r>
      <w:r>
        <w:fldChar w:fldCharType="separate"/>
      </w:r>
      <w:r>
        <w:rPr>
          <w:rStyle w:val="11"/>
          <w:rFonts w:ascii="仿宋" w:hAnsi="仿宋" w:eastAsia="仿宋" w:cs="Times New Roman"/>
          <w:bCs/>
          <w:sz w:val="32"/>
          <w:szCs w:val="32"/>
        </w:rPr>
        <w:t>2.1 自然气候条件</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_Toc139438719 \h </w:instrText>
      </w:r>
      <w:r>
        <w:rPr>
          <w:rFonts w:ascii="仿宋" w:hAnsi="仿宋" w:eastAsia="仿宋"/>
          <w:bCs/>
          <w:sz w:val="32"/>
          <w:szCs w:val="32"/>
        </w:rPr>
        <w:fldChar w:fldCharType="separate"/>
      </w:r>
      <w:r>
        <w:rPr>
          <w:rFonts w:ascii="仿宋" w:hAnsi="仿宋" w:eastAsia="仿宋"/>
          <w:bCs/>
          <w:sz w:val="32"/>
          <w:szCs w:val="32"/>
        </w:rPr>
        <w:t>7</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"_Toc139438720" </w:instrText>
      </w:r>
      <w:r>
        <w:fldChar w:fldCharType="separate"/>
      </w:r>
      <w:r>
        <w:rPr>
          <w:rStyle w:val="11"/>
          <w:rFonts w:ascii="仿宋" w:hAnsi="仿宋" w:eastAsia="仿宋" w:cs="Times New Roman"/>
          <w:bCs/>
          <w:sz w:val="32"/>
          <w:szCs w:val="32"/>
        </w:rPr>
        <w:t>2.2 社会经济状况</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_Toc139438720 \h </w:instrText>
      </w:r>
      <w:r>
        <w:rPr>
          <w:rFonts w:ascii="仿宋" w:hAnsi="仿宋" w:eastAsia="仿宋"/>
          <w:bCs/>
          <w:sz w:val="32"/>
          <w:szCs w:val="32"/>
        </w:rPr>
        <w:fldChar w:fldCharType="separate"/>
      </w:r>
      <w:r>
        <w:rPr>
          <w:rFonts w:ascii="仿宋" w:hAnsi="仿宋" w:eastAsia="仿宋"/>
          <w:bCs/>
          <w:sz w:val="32"/>
          <w:szCs w:val="32"/>
        </w:rPr>
        <w:t>9</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"_Toc139438721" </w:instrText>
      </w:r>
      <w:r>
        <w:fldChar w:fldCharType="separate"/>
      </w:r>
      <w:r>
        <w:rPr>
          <w:rStyle w:val="11"/>
          <w:rFonts w:ascii="仿宋" w:hAnsi="仿宋" w:eastAsia="仿宋" w:cs="Times New Roman"/>
          <w:bCs/>
          <w:sz w:val="32"/>
          <w:szCs w:val="32"/>
        </w:rPr>
        <w:t>2.3 生态环境概况</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_Toc139438721 \h </w:instrText>
      </w:r>
      <w:r>
        <w:rPr>
          <w:rFonts w:ascii="仿宋" w:hAnsi="仿宋" w:eastAsia="仿宋"/>
          <w:bCs/>
          <w:sz w:val="32"/>
          <w:szCs w:val="32"/>
        </w:rPr>
        <w:fldChar w:fldCharType="separate"/>
      </w:r>
      <w:r>
        <w:rPr>
          <w:rFonts w:ascii="仿宋" w:hAnsi="仿宋" w:eastAsia="仿宋"/>
          <w:bCs/>
          <w:sz w:val="32"/>
          <w:szCs w:val="32"/>
        </w:rPr>
        <w:t>12</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"_Toc139438722" </w:instrText>
      </w:r>
      <w:r>
        <w:fldChar w:fldCharType="separate"/>
      </w:r>
      <w:r>
        <w:rPr>
          <w:rStyle w:val="11"/>
          <w:rFonts w:cs="Times New Roman"/>
          <w:b w:val="0"/>
          <w:bCs/>
          <w:sz w:val="32"/>
          <w:szCs w:val="32"/>
        </w:rPr>
        <w:t>第三章 畜禽养殖污染防治现状</w:t>
      </w:r>
      <w:r>
        <w:rPr>
          <w:b w:val="0"/>
          <w:bCs/>
          <w:sz w:val="32"/>
          <w:szCs w:val="32"/>
        </w:rPr>
        <w:tab/>
      </w:r>
      <w:r>
        <w:rPr>
          <w:b w:val="0"/>
          <w:bCs/>
          <w:sz w:val="32"/>
          <w:szCs w:val="32"/>
        </w:rPr>
        <w:fldChar w:fldCharType="begin"/>
      </w:r>
      <w:r>
        <w:rPr>
          <w:b w:val="0"/>
          <w:bCs/>
          <w:sz w:val="32"/>
          <w:szCs w:val="32"/>
        </w:rPr>
        <w:instrText xml:space="preserve"> PAGEREF _Toc139438722 \h </w:instrText>
      </w:r>
      <w:r>
        <w:rPr>
          <w:b w:val="0"/>
          <w:bCs/>
          <w:sz w:val="32"/>
          <w:szCs w:val="32"/>
        </w:rPr>
        <w:fldChar w:fldCharType="separate"/>
      </w:r>
      <w:r>
        <w:rPr>
          <w:b w:val="0"/>
          <w:bCs/>
          <w:sz w:val="32"/>
          <w:szCs w:val="32"/>
        </w:rPr>
        <w:t>13</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"_Toc139438723" </w:instrText>
      </w:r>
      <w:r>
        <w:fldChar w:fldCharType="separate"/>
      </w:r>
      <w:r>
        <w:rPr>
          <w:rStyle w:val="11"/>
          <w:rFonts w:ascii="仿宋" w:hAnsi="仿宋" w:eastAsia="仿宋" w:cs="Times New Roman"/>
          <w:bCs/>
          <w:sz w:val="32"/>
          <w:szCs w:val="32"/>
        </w:rPr>
        <w:t>3.1 畜禽养殖现状</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_Toc139438723 \h </w:instrText>
      </w:r>
      <w:r>
        <w:rPr>
          <w:rFonts w:ascii="仿宋" w:hAnsi="仿宋" w:eastAsia="仿宋"/>
          <w:bCs/>
          <w:sz w:val="32"/>
          <w:szCs w:val="32"/>
        </w:rPr>
        <w:fldChar w:fldCharType="separate"/>
      </w:r>
      <w:r>
        <w:rPr>
          <w:rFonts w:ascii="仿宋" w:hAnsi="仿宋" w:eastAsia="仿宋"/>
          <w:bCs/>
          <w:sz w:val="32"/>
          <w:szCs w:val="32"/>
        </w:rPr>
        <w:t>13</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"_Toc139438724" </w:instrText>
      </w:r>
      <w:r>
        <w:fldChar w:fldCharType="separate"/>
      </w:r>
      <w:r>
        <w:rPr>
          <w:rStyle w:val="11"/>
          <w:rFonts w:ascii="仿宋" w:hAnsi="仿宋" w:eastAsia="仿宋" w:cs="Times New Roman"/>
          <w:bCs/>
          <w:sz w:val="32"/>
          <w:szCs w:val="32"/>
        </w:rPr>
        <w:t>3.2 畜禽养殖污染物排放情况</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_Toc139438724 \h </w:instrText>
      </w:r>
      <w:r>
        <w:rPr>
          <w:rFonts w:ascii="仿宋" w:hAnsi="仿宋" w:eastAsia="仿宋"/>
          <w:bCs/>
          <w:sz w:val="32"/>
          <w:szCs w:val="32"/>
        </w:rPr>
        <w:fldChar w:fldCharType="separate"/>
      </w:r>
      <w:r>
        <w:rPr>
          <w:rFonts w:ascii="仿宋" w:hAnsi="仿宋" w:eastAsia="仿宋"/>
          <w:bCs/>
          <w:sz w:val="32"/>
          <w:szCs w:val="32"/>
        </w:rPr>
        <w:t>16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"_Toc139438725" </w:instrText>
      </w:r>
      <w:r>
        <w:fldChar w:fldCharType="separate"/>
      </w:r>
      <w:r>
        <w:rPr>
          <w:rStyle w:val="11"/>
          <w:rFonts w:ascii="仿宋" w:hAnsi="仿宋" w:eastAsia="仿宋" w:cs="Times New Roman"/>
          <w:bCs/>
          <w:sz w:val="32"/>
          <w:szCs w:val="32"/>
        </w:rPr>
        <w:t>3.3 禁养区划分</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_Toc139438725 \h </w:instrText>
      </w:r>
      <w:r>
        <w:rPr>
          <w:rFonts w:ascii="仿宋" w:hAnsi="仿宋" w:eastAsia="仿宋"/>
          <w:bCs/>
          <w:sz w:val="32"/>
          <w:szCs w:val="32"/>
        </w:rPr>
        <w:fldChar w:fldCharType="separate"/>
      </w:r>
      <w:r>
        <w:rPr>
          <w:rFonts w:ascii="仿宋" w:hAnsi="仿宋" w:eastAsia="仿宋"/>
          <w:bCs/>
          <w:sz w:val="32"/>
          <w:szCs w:val="32"/>
        </w:rPr>
        <w:t>24</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"_Toc139438726" </w:instrText>
      </w:r>
      <w:r>
        <w:fldChar w:fldCharType="separate"/>
      </w:r>
      <w:r>
        <w:rPr>
          <w:rStyle w:val="11"/>
          <w:rFonts w:ascii="仿宋" w:hAnsi="仿宋" w:eastAsia="仿宋" w:cs="Times New Roman"/>
          <w:bCs/>
          <w:sz w:val="32"/>
          <w:szCs w:val="32"/>
        </w:rPr>
        <w:t>3.4 种养结合现状</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_Toc139438726 \h </w:instrText>
      </w:r>
      <w:r>
        <w:rPr>
          <w:rFonts w:ascii="仿宋" w:hAnsi="仿宋" w:eastAsia="仿宋"/>
          <w:bCs/>
          <w:sz w:val="32"/>
          <w:szCs w:val="32"/>
        </w:rPr>
        <w:fldChar w:fldCharType="separate"/>
      </w:r>
      <w:r>
        <w:rPr>
          <w:rFonts w:ascii="仿宋" w:hAnsi="仿宋" w:eastAsia="仿宋"/>
          <w:bCs/>
          <w:sz w:val="32"/>
          <w:szCs w:val="32"/>
        </w:rPr>
        <w:t>26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"_Toc139438727" </w:instrText>
      </w:r>
      <w:r>
        <w:fldChar w:fldCharType="separate"/>
      </w:r>
      <w:r>
        <w:rPr>
          <w:rStyle w:val="11"/>
          <w:rFonts w:ascii="仿宋" w:hAnsi="仿宋" w:eastAsia="仿宋" w:cs="Times New Roman"/>
          <w:bCs/>
          <w:sz w:val="32"/>
          <w:szCs w:val="32"/>
        </w:rPr>
        <w:t>3.5 存在的问题</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_Toc139438727 \h </w:instrText>
      </w:r>
      <w:r>
        <w:rPr>
          <w:rFonts w:ascii="仿宋" w:hAnsi="仿宋" w:eastAsia="仿宋"/>
          <w:bCs/>
          <w:sz w:val="32"/>
          <w:szCs w:val="32"/>
        </w:rPr>
        <w:fldChar w:fldCharType="separate"/>
      </w:r>
      <w:r>
        <w:rPr>
          <w:rFonts w:ascii="仿宋" w:hAnsi="仿宋" w:eastAsia="仿宋"/>
          <w:bCs/>
          <w:sz w:val="32"/>
          <w:szCs w:val="32"/>
        </w:rPr>
        <w:t>28</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"_Toc139438728" </w:instrText>
      </w:r>
      <w:r>
        <w:fldChar w:fldCharType="separate"/>
      </w:r>
      <w:r>
        <w:rPr>
          <w:rStyle w:val="11"/>
          <w:rFonts w:cs="Times New Roman"/>
          <w:b w:val="0"/>
          <w:bCs/>
          <w:sz w:val="32"/>
          <w:szCs w:val="32"/>
        </w:rPr>
        <w:t>第四章 《规划》目标</w:t>
      </w:r>
      <w:r>
        <w:rPr>
          <w:b w:val="0"/>
          <w:bCs/>
          <w:sz w:val="32"/>
          <w:szCs w:val="32"/>
        </w:rPr>
        <w:tab/>
      </w:r>
      <w:r>
        <w:rPr>
          <w:b w:val="0"/>
          <w:bCs/>
          <w:sz w:val="32"/>
          <w:szCs w:val="32"/>
        </w:rPr>
        <w:fldChar w:fldCharType="begin"/>
      </w:r>
      <w:r>
        <w:rPr>
          <w:b w:val="0"/>
          <w:bCs/>
          <w:sz w:val="32"/>
          <w:szCs w:val="32"/>
        </w:rPr>
        <w:instrText xml:space="preserve"> PAGEREF _Toc139438728 \h </w:instrText>
      </w:r>
      <w:r>
        <w:rPr>
          <w:b w:val="0"/>
          <w:bCs/>
          <w:sz w:val="32"/>
          <w:szCs w:val="32"/>
        </w:rPr>
        <w:fldChar w:fldCharType="separate"/>
      </w:r>
      <w:r>
        <w:rPr>
          <w:b w:val="0"/>
          <w:bCs/>
          <w:sz w:val="32"/>
          <w:szCs w:val="32"/>
        </w:rPr>
        <w:t>30</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"_Toc139438729" </w:instrText>
      </w:r>
      <w:r>
        <w:fldChar w:fldCharType="separate"/>
      </w:r>
      <w:r>
        <w:rPr>
          <w:rStyle w:val="11"/>
          <w:rFonts w:ascii="仿宋" w:hAnsi="仿宋" w:eastAsia="仿宋" w:cs="Times New Roman"/>
          <w:bCs/>
          <w:sz w:val="32"/>
          <w:szCs w:val="32"/>
        </w:rPr>
        <w:t>4.1 规划目标</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_Toc139438729 \h </w:instrText>
      </w:r>
      <w:r>
        <w:rPr>
          <w:rFonts w:ascii="仿宋" w:hAnsi="仿宋" w:eastAsia="仿宋"/>
          <w:bCs/>
          <w:sz w:val="32"/>
          <w:szCs w:val="32"/>
        </w:rPr>
        <w:fldChar w:fldCharType="separate"/>
      </w:r>
      <w:r>
        <w:rPr>
          <w:rFonts w:ascii="仿宋" w:hAnsi="仿宋" w:eastAsia="仿宋"/>
          <w:bCs/>
          <w:sz w:val="32"/>
          <w:szCs w:val="32"/>
        </w:rPr>
        <w:t>30</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"_Toc139438730" </w:instrText>
      </w:r>
      <w:r>
        <w:fldChar w:fldCharType="separate"/>
      </w:r>
      <w:r>
        <w:rPr>
          <w:rStyle w:val="11"/>
          <w:rFonts w:ascii="仿宋" w:hAnsi="仿宋" w:eastAsia="仿宋" w:cs="Times New Roman"/>
          <w:bCs/>
          <w:sz w:val="32"/>
          <w:szCs w:val="32"/>
        </w:rPr>
        <w:t>4.2 畜禽养殖环境承载力分析</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_Toc139438730 \h </w:instrText>
      </w:r>
      <w:r>
        <w:rPr>
          <w:rFonts w:ascii="仿宋" w:hAnsi="仿宋" w:eastAsia="仿宋"/>
          <w:bCs/>
          <w:sz w:val="32"/>
          <w:szCs w:val="32"/>
        </w:rPr>
        <w:fldChar w:fldCharType="separate"/>
      </w:r>
      <w:r>
        <w:rPr>
          <w:rFonts w:ascii="仿宋" w:hAnsi="仿宋" w:eastAsia="仿宋"/>
          <w:bCs/>
          <w:sz w:val="32"/>
          <w:szCs w:val="32"/>
        </w:rPr>
        <w:t>31</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"_Toc139438731" </w:instrText>
      </w:r>
      <w:r>
        <w:fldChar w:fldCharType="separate"/>
      </w:r>
      <w:r>
        <w:rPr>
          <w:rStyle w:val="11"/>
          <w:rFonts w:ascii="仿宋" w:hAnsi="仿宋" w:eastAsia="仿宋" w:cs="Times New Roman"/>
          <w:bCs/>
          <w:sz w:val="32"/>
          <w:szCs w:val="32"/>
        </w:rPr>
        <w:t>4.3 目标可实现性分析</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_Toc139438731 \h </w:instrText>
      </w:r>
      <w:r>
        <w:rPr>
          <w:rFonts w:ascii="仿宋" w:hAnsi="仿宋" w:eastAsia="仿宋"/>
          <w:bCs/>
          <w:sz w:val="32"/>
          <w:szCs w:val="32"/>
        </w:rPr>
        <w:fldChar w:fldCharType="separate"/>
      </w:r>
      <w:r>
        <w:rPr>
          <w:rFonts w:ascii="仿宋" w:hAnsi="仿宋" w:eastAsia="仿宋"/>
          <w:bCs/>
          <w:sz w:val="32"/>
          <w:szCs w:val="32"/>
        </w:rPr>
        <w:t>35</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"_Toc139438732" </w:instrText>
      </w:r>
      <w:r>
        <w:fldChar w:fldCharType="separate"/>
      </w:r>
      <w:r>
        <w:rPr>
          <w:rStyle w:val="11"/>
          <w:rFonts w:cs="Times New Roman"/>
          <w:b w:val="0"/>
          <w:bCs/>
          <w:sz w:val="32"/>
          <w:szCs w:val="32"/>
        </w:rPr>
        <w:t>第五章 主要任务</w:t>
      </w:r>
      <w:r>
        <w:rPr>
          <w:b w:val="0"/>
          <w:bCs/>
          <w:sz w:val="32"/>
          <w:szCs w:val="32"/>
        </w:rPr>
        <w:tab/>
      </w:r>
      <w:r>
        <w:rPr>
          <w:b w:val="0"/>
          <w:bCs/>
          <w:sz w:val="32"/>
          <w:szCs w:val="32"/>
        </w:rPr>
        <w:fldChar w:fldCharType="begin"/>
      </w:r>
      <w:r>
        <w:rPr>
          <w:b w:val="0"/>
          <w:bCs/>
          <w:sz w:val="32"/>
          <w:szCs w:val="32"/>
        </w:rPr>
        <w:instrText xml:space="preserve"> PAGEREF _Toc139438732 \h </w:instrText>
      </w:r>
      <w:r>
        <w:rPr>
          <w:b w:val="0"/>
          <w:bCs/>
          <w:sz w:val="32"/>
          <w:szCs w:val="32"/>
        </w:rPr>
        <w:fldChar w:fldCharType="separate"/>
      </w:r>
      <w:r>
        <w:rPr>
          <w:b w:val="0"/>
          <w:bCs/>
          <w:sz w:val="32"/>
          <w:szCs w:val="32"/>
        </w:rPr>
        <w:t>36</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"_Toc139438733" </w:instrText>
      </w:r>
      <w:r>
        <w:fldChar w:fldCharType="separate"/>
      </w:r>
      <w:r>
        <w:rPr>
          <w:rStyle w:val="11"/>
          <w:rFonts w:ascii="仿宋" w:hAnsi="仿宋" w:eastAsia="仿宋" w:cs="Times New Roman"/>
          <w:bCs/>
          <w:sz w:val="32"/>
          <w:szCs w:val="32"/>
        </w:rPr>
        <w:t>5.1畜禽污染防治总体要求</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_Toc139438733 \h </w:instrText>
      </w:r>
      <w:r>
        <w:rPr>
          <w:rFonts w:ascii="仿宋" w:hAnsi="仿宋" w:eastAsia="仿宋"/>
          <w:bCs/>
          <w:sz w:val="32"/>
          <w:szCs w:val="32"/>
        </w:rPr>
        <w:fldChar w:fldCharType="separate"/>
      </w:r>
      <w:r>
        <w:rPr>
          <w:rFonts w:ascii="仿宋" w:hAnsi="仿宋" w:eastAsia="仿宋"/>
          <w:bCs/>
          <w:sz w:val="32"/>
          <w:szCs w:val="32"/>
        </w:rPr>
        <w:t>36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"_Toc139438734" </w:instrText>
      </w:r>
      <w:r>
        <w:fldChar w:fldCharType="separate"/>
      </w:r>
      <w:r>
        <w:rPr>
          <w:rStyle w:val="11"/>
          <w:rFonts w:ascii="仿宋" w:hAnsi="仿宋" w:eastAsia="仿宋" w:cs="Times New Roman"/>
          <w:bCs/>
          <w:sz w:val="32"/>
          <w:szCs w:val="32"/>
        </w:rPr>
        <w:t>5.2 提升畜禽粪污资源化利用水平</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_Toc139438734 \h </w:instrText>
      </w:r>
      <w:r>
        <w:rPr>
          <w:rFonts w:ascii="仿宋" w:hAnsi="仿宋" w:eastAsia="仿宋"/>
          <w:bCs/>
          <w:sz w:val="32"/>
          <w:szCs w:val="32"/>
        </w:rPr>
        <w:fldChar w:fldCharType="separate"/>
      </w:r>
      <w:r>
        <w:rPr>
          <w:rFonts w:ascii="仿宋" w:hAnsi="仿宋" w:eastAsia="仿宋"/>
          <w:bCs/>
          <w:sz w:val="32"/>
          <w:szCs w:val="32"/>
        </w:rPr>
        <w:t>38</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"_Toc139438735" </w:instrText>
      </w:r>
      <w:r>
        <w:fldChar w:fldCharType="separate"/>
      </w:r>
      <w:r>
        <w:rPr>
          <w:rStyle w:val="11"/>
          <w:rFonts w:ascii="仿宋" w:hAnsi="仿宋" w:eastAsia="仿宋" w:cs="Times New Roman"/>
          <w:bCs/>
          <w:sz w:val="32"/>
          <w:szCs w:val="32"/>
        </w:rPr>
        <w:t>5.3 提档升级粪污处理利用设施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_Toc139438735 \h </w:instrText>
      </w:r>
      <w:r>
        <w:rPr>
          <w:rFonts w:ascii="仿宋" w:hAnsi="仿宋" w:eastAsia="仿宋"/>
          <w:bCs/>
          <w:sz w:val="32"/>
          <w:szCs w:val="32"/>
        </w:rPr>
        <w:fldChar w:fldCharType="separate"/>
      </w:r>
      <w:r>
        <w:rPr>
          <w:rFonts w:ascii="仿宋" w:hAnsi="仿宋" w:eastAsia="仿宋"/>
          <w:bCs/>
          <w:sz w:val="32"/>
          <w:szCs w:val="32"/>
        </w:rPr>
        <w:t>41</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"_Toc139438736" </w:instrText>
      </w:r>
      <w:r>
        <w:fldChar w:fldCharType="separate"/>
      </w:r>
      <w:r>
        <w:rPr>
          <w:rStyle w:val="11"/>
          <w:rFonts w:ascii="仿宋" w:hAnsi="仿宋" w:eastAsia="仿宋" w:cs="Times New Roman"/>
          <w:bCs/>
          <w:sz w:val="32"/>
          <w:szCs w:val="32"/>
        </w:rPr>
        <w:t>5.4 建立健全台账管理制度</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_Toc139438736 \h </w:instrText>
      </w:r>
      <w:r>
        <w:rPr>
          <w:rFonts w:ascii="仿宋" w:hAnsi="仿宋" w:eastAsia="仿宋"/>
          <w:bCs/>
          <w:sz w:val="32"/>
          <w:szCs w:val="32"/>
        </w:rPr>
        <w:fldChar w:fldCharType="separate"/>
      </w:r>
      <w:r>
        <w:rPr>
          <w:rFonts w:ascii="仿宋" w:hAnsi="仿宋" w:eastAsia="仿宋"/>
          <w:bCs/>
          <w:sz w:val="32"/>
          <w:szCs w:val="32"/>
        </w:rPr>
        <w:t>42</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"_Toc139438737" </w:instrText>
      </w:r>
      <w:r>
        <w:fldChar w:fldCharType="separate"/>
      </w:r>
      <w:r>
        <w:rPr>
          <w:rStyle w:val="11"/>
          <w:rFonts w:ascii="仿宋" w:hAnsi="仿宋" w:eastAsia="仿宋" w:cs="Times New Roman"/>
          <w:bCs/>
          <w:sz w:val="32"/>
          <w:szCs w:val="32"/>
        </w:rPr>
        <w:t>5.5 加强养殖户、养殖散户的监管</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_Toc139438737 \h </w:instrText>
      </w:r>
      <w:r>
        <w:rPr>
          <w:rFonts w:ascii="仿宋" w:hAnsi="仿宋" w:eastAsia="仿宋"/>
          <w:bCs/>
          <w:sz w:val="32"/>
          <w:szCs w:val="32"/>
        </w:rPr>
        <w:fldChar w:fldCharType="separate"/>
      </w:r>
      <w:r>
        <w:rPr>
          <w:rFonts w:ascii="仿宋" w:hAnsi="仿宋" w:eastAsia="仿宋"/>
          <w:bCs/>
          <w:sz w:val="32"/>
          <w:szCs w:val="32"/>
        </w:rPr>
        <w:t>43</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"_Toc139438738" </w:instrText>
      </w:r>
      <w:r>
        <w:fldChar w:fldCharType="separate"/>
      </w:r>
      <w:r>
        <w:rPr>
          <w:rStyle w:val="11"/>
          <w:rFonts w:ascii="仿宋" w:hAnsi="仿宋" w:eastAsia="仿宋" w:cs="Times New Roman"/>
          <w:bCs/>
          <w:sz w:val="32"/>
          <w:szCs w:val="32"/>
        </w:rPr>
        <w:t>5.6 强化环境监管</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_Toc139438738 \h </w:instrText>
      </w:r>
      <w:r>
        <w:rPr>
          <w:rFonts w:ascii="仿宋" w:hAnsi="仿宋" w:eastAsia="仿宋"/>
          <w:bCs/>
          <w:sz w:val="32"/>
          <w:szCs w:val="32"/>
        </w:rPr>
        <w:fldChar w:fldCharType="separate"/>
      </w:r>
      <w:r>
        <w:rPr>
          <w:rFonts w:ascii="仿宋" w:hAnsi="仿宋" w:eastAsia="仿宋"/>
          <w:bCs/>
          <w:sz w:val="32"/>
          <w:szCs w:val="32"/>
        </w:rPr>
        <w:t>44</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"_Toc139438739" </w:instrText>
      </w:r>
      <w:r>
        <w:fldChar w:fldCharType="separate"/>
      </w:r>
      <w:r>
        <w:rPr>
          <w:rStyle w:val="11"/>
          <w:rFonts w:cs="Times New Roman"/>
          <w:b w:val="0"/>
          <w:bCs/>
          <w:sz w:val="32"/>
          <w:szCs w:val="32"/>
        </w:rPr>
        <w:t>第六章 重点工程</w:t>
      </w:r>
      <w:r>
        <w:rPr>
          <w:b w:val="0"/>
          <w:bCs/>
          <w:sz w:val="32"/>
          <w:szCs w:val="32"/>
        </w:rPr>
        <w:tab/>
      </w:r>
      <w:r>
        <w:rPr>
          <w:b w:val="0"/>
          <w:bCs/>
          <w:sz w:val="32"/>
          <w:szCs w:val="32"/>
        </w:rPr>
        <w:fldChar w:fldCharType="begin"/>
      </w:r>
      <w:r>
        <w:rPr>
          <w:b w:val="0"/>
          <w:bCs/>
          <w:sz w:val="32"/>
          <w:szCs w:val="32"/>
        </w:rPr>
        <w:instrText xml:space="preserve"> PAGEREF _Toc139438739 \h </w:instrText>
      </w:r>
      <w:r>
        <w:rPr>
          <w:b w:val="0"/>
          <w:bCs/>
          <w:sz w:val="32"/>
          <w:szCs w:val="32"/>
        </w:rPr>
        <w:fldChar w:fldCharType="separate"/>
      </w:r>
      <w:r>
        <w:rPr>
          <w:b w:val="0"/>
          <w:bCs/>
          <w:sz w:val="32"/>
          <w:szCs w:val="32"/>
        </w:rPr>
        <w:t>46</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"_Toc139438740" </w:instrText>
      </w:r>
      <w:r>
        <w:fldChar w:fldCharType="separate"/>
      </w:r>
      <w:r>
        <w:rPr>
          <w:rStyle w:val="11"/>
          <w:rFonts w:ascii="仿宋" w:hAnsi="仿宋" w:eastAsia="仿宋" w:cs="Times New Roman"/>
          <w:bCs/>
          <w:sz w:val="32"/>
          <w:szCs w:val="32"/>
        </w:rPr>
        <w:t>6.1 实施畜禽养殖场粪污处理设施升级改造工程</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_Toc139438740 \h </w:instrText>
      </w:r>
      <w:r>
        <w:rPr>
          <w:rFonts w:ascii="仿宋" w:hAnsi="仿宋" w:eastAsia="仿宋"/>
          <w:bCs/>
          <w:sz w:val="32"/>
          <w:szCs w:val="32"/>
        </w:rPr>
        <w:fldChar w:fldCharType="separate"/>
      </w:r>
      <w:r>
        <w:rPr>
          <w:rFonts w:ascii="仿宋" w:hAnsi="仿宋" w:eastAsia="仿宋"/>
          <w:bCs/>
          <w:sz w:val="32"/>
          <w:szCs w:val="32"/>
        </w:rPr>
        <w:t>46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"_Toc139438741" </w:instrText>
      </w:r>
      <w:r>
        <w:fldChar w:fldCharType="separate"/>
      </w:r>
      <w:r>
        <w:rPr>
          <w:rStyle w:val="11"/>
          <w:rFonts w:ascii="仿宋" w:hAnsi="仿宋" w:eastAsia="仿宋" w:cs="Times New Roman"/>
          <w:bCs/>
          <w:sz w:val="32"/>
          <w:szCs w:val="32"/>
        </w:rPr>
        <w:t>6.2 实施畜禽粪污收集转运工程</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_Toc139438741 \h </w:instrText>
      </w:r>
      <w:r>
        <w:rPr>
          <w:rFonts w:ascii="仿宋" w:hAnsi="仿宋" w:eastAsia="仿宋"/>
          <w:bCs/>
          <w:sz w:val="32"/>
          <w:szCs w:val="32"/>
        </w:rPr>
        <w:fldChar w:fldCharType="separate"/>
      </w:r>
      <w:r>
        <w:rPr>
          <w:rFonts w:ascii="仿宋" w:hAnsi="仿宋" w:eastAsia="仿宋"/>
          <w:bCs/>
          <w:sz w:val="32"/>
          <w:szCs w:val="32"/>
        </w:rPr>
        <w:t>46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"_Toc139438742" </w:instrText>
      </w:r>
      <w:r>
        <w:fldChar w:fldCharType="separate"/>
      </w:r>
      <w:r>
        <w:rPr>
          <w:rStyle w:val="11"/>
          <w:rFonts w:ascii="仿宋" w:hAnsi="仿宋" w:eastAsia="仿宋" w:cs="Times New Roman"/>
          <w:bCs/>
          <w:sz w:val="32"/>
          <w:szCs w:val="32"/>
        </w:rPr>
        <w:t>6.3 田间配套设施建设工程</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_Toc139438742 \h </w:instrText>
      </w:r>
      <w:r>
        <w:rPr>
          <w:rFonts w:ascii="仿宋" w:hAnsi="仿宋" w:eastAsia="仿宋"/>
          <w:bCs/>
          <w:sz w:val="32"/>
          <w:szCs w:val="32"/>
        </w:rPr>
        <w:fldChar w:fldCharType="separate"/>
      </w:r>
      <w:r>
        <w:rPr>
          <w:rFonts w:ascii="仿宋" w:hAnsi="仿宋" w:eastAsia="仿宋"/>
          <w:bCs/>
          <w:sz w:val="32"/>
          <w:szCs w:val="32"/>
        </w:rPr>
        <w:t>46</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"_Toc139438743" </w:instrText>
      </w:r>
      <w:r>
        <w:fldChar w:fldCharType="separate"/>
      </w:r>
      <w:r>
        <w:rPr>
          <w:rStyle w:val="11"/>
          <w:rFonts w:ascii="仿宋" w:hAnsi="仿宋" w:eastAsia="仿宋" w:cs="Times New Roman"/>
          <w:bCs/>
          <w:sz w:val="32"/>
          <w:szCs w:val="32"/>
        </w:rPr>
        <w:t>6.4 监管体系建设工程</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_Toc139438743 \h </w:instrText>
      </w:r>
      <w:r>
        <w:rPr>
          <w:rFonts w:ascii="仿宋" w:hAnsi="仿宋" w:eastAsia="仿宋"/>
          <w:bCs/>
          <w:sz w:val="32"/>
          <w:szCs w:val="32"/>
        </w:rPr>
        <w:fldChar w:fldCharType="separate"/>
      </w:r>
      <w:r>
        <w:rPr>
          <w:rFonts w:ascii="仿宋" w:hAnsi="仿宋" w:eastAsia="仿宋"/>
          <w:bCs/>
          <w:sz w:val="32"/>
          <w:szCs w:val="32"/>
        </w:rPr>
        <w:t>46</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"_Toc139438744" </w:instrText>
      </w:r>
      <w:r>
        <w:fldChar w:fldCharType="separate"/>
      </w:r>
      <w:r>
        <w:rPr>
          <w:rStyle w:val="11"/>
          <w:rFonts w:cs="Times New Roman"/>
          <w:b w:val="0"/>
          <w:bCs/>
          <w:sz w:val="32"/>
          <w:szCs w:val="32"/>
        </w:rPr>
        <w:t>第七章 工程投资估算与资金筹措</w:t>
      </w:r>
      <w:r>
        <w:rPr>
          <w:b w:val="0"/>
          <w:bCs/>
          <w:sz w:val="32"/>
          <w:szCs w:val="32"/>
        </w:rPr>
        <w:tab/>
      </w:r>
      <w:r>
        <w:rPr>
          <w:b w:val="0"/>
          <w:bCs/>
          <w:sz w:val="32"/>
          <w:szCs w:val="32"/>
        </w:rPr>
        <w:fldChar w:fldCharType="begin"/>
      </w:r>
      <w:r>
        <w:rPr>
          <w:b w:val="0"/>
          <w:bCs/>
          <w:sz w:val="32"/>
          <w:szCs w:val="32"/>
        </w:rPr>
        <w:instrText xml:space="preserve"> PAGEREF _Toc139438744 \h </w:instrText>
      </w:r>
      <w:r>
        <w:rPr>
          <w:b w:val="0"/>
          <w:bCs/>
          <w:sz w:val="32"/>
          <w:szCs w:val="32"/>
        </w:rPr>
        <w:fldChar w:fldCharType="separate"/>
      </w:r>
      <w:r>
        <w:rPr>
          <w:b w:val="0"/>
          <w:bCs/>
          <w:sz w:val="32"/>
          <w:szCs w:val="32"/>
        </w:rPr>
        <w:t>48</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"_Toc139438745" </w:instrText>
      </w:r>
      <w:r>
        <w:fldChar w:fldCharType="separate"/>
      </w:r>
      <w:r>
        <w:rPr>
          <w:rStyle w:val="11"/>
          <w:rFonts w:ascii="仿宋" w:hAnsi="仿宋" w:eastAsia="仿宋" w:cs="Times New Roman"/>
          <w:bCs/>
          <w:sz w:val="32"/>
          <w:szCs w:val="32"/>
        </w:rPr>
        <w:t>7.1 工程投资估算</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_Toc139438745 \h </w:instrText>
      </w:r>
      <w:r>
        <w:rPr>
          <w:rFonts w:ascii="仿宋" w:hAnsi="仿宋" w:eastAsia="仿宋"/>
          <w:bCs/>
          <w:sz w:val="32"/>
          <w:szCs w:val="32"/>
        </w:rPr>
        <w:fldChar w:fldCharType="separate"/>
      </w:r>
      <w:r>
        <w:rPr>
          <w:rFonts w:ascii="仿宋" w:hAnsi="仿宋" w:eastAsia="仿宋"/>
          <w:bCs/>
          <w:sz w:val="32"/>
          <w:szCs w:val="32"/>
        </w:rPr>
        <w:t>48</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"_Toc139438746" </w:instrText>
      </w:r>
      <w:r>
        <w:fldChar w:fldCharType="separate"/>
      </w:r>
      <w:r>
        <w:rPr>
          <w:rStyle w:val="11"/>
          <w:rFonts w:ascii="仿宋" w:hAnsi="仿宋" w:eastAsia="仿宋" w:cs="Times New Roman"/>
          <w:bCs/>
          <w:sz w:val="32"/>
          <w:szCs w:val="32"/>
        </w:rPr>
        <w:t>7.2 资金筹措</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_Toc139438746 \h </w:instrText>
      </w:r>
      <w:r>
        <w:rPr>
          <w:rFonts w:ascii="仿宋" w:hAnsi="仿宋" w:eastAsia="仿宋"/>
          <w:bCs/>
          <w:sz w:val="32"/>
          <w:szCs w:val="32"/>
        </w:rPr>
        <w:fldChar w:fldCharType="separate"/>
      </w:r>
      <w:r>
        <w:rPr>
          <w:rFonts w:ascii="仿宋" w:hAnsi="仿宋" w:eastAsia="仿宋"/>
          <w:bCs/>
          <w:sz w:val="32"/>
          <w:szCs w:val="32"/>
        </w:rPr>
        <w:t>49</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"_Toc139438747" </w:instrText>
      </w:r>
      <w:r>
        <w:fldChar w:fldCharType="separate"/>
      </w:r>
      <w:r>
        <w:rPr>
          <w:rStyle w:val="11"/>
          <w:rFonts w:cs="Times New Roman"/>
          <w:b w:val="0"/>
          <w:bCs/>
          <w:sz w:val="32"/>
          <w:szCs w:val="32"/>
        </w:rPr>
        <w:t>第八章 效益分析</w:t>
      </w:r>
      <w:r>
        <w:rPr>
          <w:b w:val="0"/>
          <w:bCs/>
          <w:sz w:val="32"/>
          <w:szCs w:val="32"/>
        </w:rPr>
        <w:tab/>
      </w:r>
      <w:r>
        <w:rPr>
          <w:b w:val="0"/>
          <w:bCs/>
          <w:sz w:val="32"/>
          <w:szCs w:val="32"/>
        </w:rPr>
        <w:fldChar w:fldCharType="begin"/>
      </w:r>
      <w:r>
        <w:rPr>
          <w:b w:val="0"/>
          <w:bCs/>
          <w:sz w:val="32"/>
          <w:szCs w:val="32"/>
        </w:rPr>
        <w:instrText xml:space="preserve"> PAGEREF _Toc139438747 \h </w:instrText>
      </w:r>
      <w:r>
        <w:rPr>
          <w:b w:val="0"/>
          <w:bCs/>
          <w:sz w:val="32"/>
          <w:szCs w:val="32"/>
        </w:rPr>
        <w:fldChar w:fldCharType="separate"/>
      </w:r>
      <w:r>
        <w:rPr>
          <w:b w:val="0"/>
          <w:bCs/>
          <w:sz w:val="32"/>
          <w:szCs w:val="32"/>
        </w:rPr>
        <w:t>50</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"_Toc139438748" </w:instrText>
      </w:r>
      <w:r>
        <w:fldChar w:fldCharType="separate"/>
      </w:r>
      <w:r>
        <w:rPr>
          <w:rStyle w:val="11"/>
          <w:rFonts w:ascii="仿宋" w:hAnsi="仿宋" w:eastAsia="仿宋" w:cs="Times New Roman"/>
          <w:bCs/>
          <w:sz w:val="32"/>
          <w:szCs w:val="32"/>
        </w:rPr>
        <w:t>8.1 环境效益</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_Toc139438748 \h </w:instrText>
      </w:r>
      <w:r>
        <w:rPr>
          <w:rFonts w:ascii="仿宋" w:hAnsi="仿宋" w:eastAsia="仿宋"/>
          <w:bCs/>
          <w:sz w:val="32"/>
          <w:szCs w:val="32"/>
        </w:rPr>
        <w:fldChar w:fldCharType="separate"/>
      </w:r>
      <w:r>
        <w:rPr>
          <w:rFonts w:ascii="仿宋" w:hAnsi="仿宋" w:eastAsia="仿宋"/>
          <w:bCs/>
          <w:sz w:val="32"/>
          <w:szCs w:val="32"/>
        </w:rPr>
        <w:t>50</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"_Toc139438749" </w:instrText>
      </w:r>
      <w:r>
        <w:fldChar w:fldCharType="separate"/>
      </w:r>
      <w:r>
        <w:rPr>
          <w:rStyle w:val="11"/>
          <w:rFonts w:ascii="仿宋" w:hAnsi="仿宋" w:eastAsia="仿宋" w:cs="Times New Roman"/>
          <w:bCs/>
          <w:sz w:val="32"/>
          <w:szCs w:val="32"/>
        </w:rPr>
        <w:t>8.2 经济效益</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_Toc139438749 \h </w:instrText>
      </w:r>
      <w:r>
        <w:rPr>
          <w:rFonts w:ascii="仿宋" w:hAnsi="仿宋" w:eastAsia="仿宋"/>
          <w:bCs/>
          <w:sz w:val="32"/>
          <w:szCs w:val="32"/>
        </w:rPr>
        <w:fldChar w:fldCharType="separate"/>
      </w:r>
      <w:r>
        <w:rPr>
          <w:rFonts w:ascii="仿宋" w:hAnsi="仿宋" w:eastAsia="仿宋"/>
          <w:bCs/>
          <w:sz w:val="32"/>
          <w:szCs w:val="32"/>
        </w:rPr>
        <w:t>50</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"_Toc139438750" </w:instrText>
      </w:r>
      <w:r>
        <w:fldChar w:fldCharType="separate"/>
      </w:r>
      <w:r>
        <w:rPr>
          <w:rStyle w:val="11"/>
          <w:rFonts w:ascii="仿宋" w:hAnsi="仿宋" w:eastAsia="仿宋" w:cs="Times New Roman"/>
          <w:bCs/>
          <w:sz w:val="32"/>
          <w:szCs w:val="32"/>
        </w:rPr>
        <w:t>8.3 社会效益</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_Toc139438750 \h </w:instrText>
      </w:r>
      <w:r>
        <w:rPr>
          <w:rFonts w:ascii="仿宋" w:hAnsi="仿宋" w:eastAsia="仿宋"/>
          <w:bCs/>
          <w:sz w:val="32"/>
          <w:szCs w:val="32"/>
        </w:rPr>
        <w:fldChar w:fldCharType="separate"/>
      </w:r>
      <w:r>
        <w:rPr>
          <w:rFonts w:ascii="仿宋" w:hAnsi="仿宋" w:eastAsia="仿宋"/>
          <w:bCs/>
          <w:sz w:val="32"/>
          <w:szCs w:val="32"/>
        </w:rPr>
        <w:t>51</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"_Toc139438751" </w:instrText>
      </w:r>
      <w:r>
        <w:fldChar w:fldCharType="separate"/>
      </w:r>
      <w:r>
        <w:rPr>
          <w:rStyle w:val="11"/>
          <w:rFonts w:cs="Times New Roman"/>
          <w:b w:val="0"/>
          <w:bCs/>
          <w:sz w:val="32"/>
          <w:szCs w:val="32"/>
        </w:rPr>
        <w:t>第九章 保障措施</w:t>
      </w:r>
      <w:r>
        <w:rPr>
          <w:b w:val="0"/>
          <w:bCs/>
          <w:sz w:val="32"/>
          <w:szCs w:val="32"/>
        </w:rPr>
        <w:tab/>
      </w:r>
      <w:r>
        <w:rPr>
          <w:b w:val="0"/>
          <w:bCs/>
          <w:sz w:val="32"/>
          <w:szCs w:val="32"/>
        </w:rPr>
        <w:fldChar w:fldCharType="begin"/>
      </w:r>
      <w:r>
        <w:rPr>
          <w:b w:val="0"/>
          <w:bCs/>
          <w:sz w:val="32"/>
          <w:szCs w:val="32"/>
        </w:rPr>
        <w:instrText xml:space="preserve"> PAGEREF _Toc139438751 \h </w:instrText>
      </w:r>
      <w:r>
        <w:rPr>
          <w:b w:val="0"/>
          <w:bCs/>
          <w:sz w:val="32"/>
          <w:szCs w:val="32"/>
        </w:rPr>
        <w:fldChar w:fldCharType="separate"/>
      </w:r>
      <w:r>
        <w:rPr>
          <w:b w:val="0"/>
          <w:bCs/>
          <w:sz w:val="32"/>
          <w:szCs w:val="32"/>
        </w:rPr>
        <w:t>52</w:t>
      </w:r>
      <w:r>
        <w:rPr>
          <w:b w:val="0"/>
          <w:bCs/>
          <w:sz w:val="32"/>
          <w:szCs w:val="32"/>
        </w:rPr>
        <w:fldChar w:fldCharType="end"/>
      </w:r>
      <w:r>
        <w:rPr>
          <w:b w:val="0"/>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"_Toc139438752" </w:instrText>
      </w:r>
      <w:r>
        <w:fldChar w:fldCharType="separate"/>
      </w:r>
      <w:r>
        <w:rPr>
          <w:rStyle w:val="11"/>
          <w:rFonts w:ascii="仿宋" w:hAnsi="仿宋" w:eastAsia="仿宋" w:cs="Times New Roman"/>
          <w:bCs/>
          <w:sz w:val="32"/>
          <w:szCs w:val="32"/>
        </w:rPr>
        <w:t>9.1 制度保障措施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_Toc139438752 \h </w:instrText>
      </w:r>
      <w:r>
        <w:rPr>
          <w:rFonts w:ascii="仿宋" w:hAnsi="仿宋" w:eastAsia="仿宋"/>
          <w:bCs/>
          <w:sz w:val="32"/>
          <w:szCs w:val="32"/>
        </w:rPr>
        <w:fldChar w:fldCharType="separate"/>
      </w:r>
      <w:r>
        <w:rPr>
          <w:rFonts w:ascii="仿宋" w:hAnsi="仿宋" w:eastAsia="仿宋"/>
          <w:bCs/>
          <w:sz w:val="32"/>
          <w:szCs w:val="32"/>
        </w:rPr>
        <w:t>52</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"_Toc139438753" </w:instrText>
      </w:r>
      <w:r>
        <w:fldChar w:fldCharType="separate"/>
      </w:r>
      <w:r>
        <w:rPr>
          <w:rStyle w:val="11"/>
          <w:rFonts w:ascii="仿宋" w:hAnsi="仿宋" w:eastAsia="仿宋" w:cs="Times New Roman"/>
          <w:bCs/>
          <w:sz w:val="32"/>
          <w:szCs w:val="32"/>
        </w:rPr>
        <w:t>9.2 政策保障措施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_Toc139438753 \h </w:instrText>
      </w:r>
      <w:r>
        <w:rPr>
          <w:rFonts w:ascii="仿宋" w:hAnsi="仿宋" w:eastAsia="仿宋"/>
          <w:bCs/>
          <w:sz w:val="32"/>
          <w:szCs w:val="32"/>
        </w:rPr>
        <w:fldChar w:fldCharType="separate"/>
      </w:r>
      <w:r>
        <w:rPr>
          <w:rFonts w:ascii="仿宋" w:hAnsi="仿宋" w:eastAsia="仿宋"/>
          <w:bCs/>
          <w:sz w:val="32"/>
          <w:szCs w:val="32"/>
        </w:rPr>
        <w:t>53</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"_Toc139438754" </w:instrText>
      </w:r>
      <w:r>
        <w:fldChar w:fldCharType="separate"/>
      </w:r>
      <w:r>
        <w:rPr>
          <w:rStyle w:val="11"/>
          <w:rFonts w:ascii="仿宋" w:hAnsi="仿宋" w:eastAsia="仿宋" w:cs="Times New Roman"/>
          <w:bCs/>
          <w:sz w:val="32"/>
          <w:szCs w:val="32"/>
        </w:rPr>
        <w:t>9.3 监管保障措施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_Toc139438754 \h </w:instrText>
      </w:r>
      <w:r>
        <w:rPr>
          <w:rFonts w:ascii="仿宋" w:hAnsi="仿宋" w:eastAsia="仿宋"/>
          <w:bCs/>
          <w:sz w:val="32"/>
          <w:szCs w:val="32"/>
        </w:rPr>
        <w:fldChar w:fldCharType="separate"/>
      </w:r>
      <w:r>
        <w:rPr>
          <w:rFonts w:ascii="仿宋" w:hAnsi="仿宋" w:eastAsia="仿宋"/>
          <w:bCs/>
          <w:sz w:val="32"/>
          <w:szCs w:val="32"/>
        </w:rPr>
        <w:t>54</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"_Toc139438755" </w:instrText>
      </w:r>
      <w:r>
        <w:fldChar w:fldCharType="separate"/>
      </w:r>
      <w:r>
        <w:rPr>
          <w:rStyle w:val="11"/>
          <w:rFonts w:ascii="仿宋" w:hAnsi="仿宋" w:eastAsia="仿宋" w:cs="Times New Roman"/>
          <w:bCs/>
          <w:sz w:val="32"/>
          <w:szCs w:val="32"/>
        </w:rPr>
        <w:t>9.4 资金保障措施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_Toc139438755 \h </w:instrText>
      </w:r>
      <w:r>
        <w:rPr>
          <w:rFonts w:ascii="仿宋" w:hAnsi="仿宋" w:eastAsia="仿宋"/>
          <w:bCs/>
          <w:sz w:val="32"/>
          <w:szCs w:val="32"/>
        </w:rPr>
        <w:fldChar w:fldCharType="separate"/>
      </w:r>
      <w:r>
        <w:rPr>
          <w:rFonts w:ascii="仿宋" w:hAnsi="仿宋" w:eastAsia="仿宋"/>
          <w:bCs/>
          <w:sz w:val="32"/>
          <w:szCs w:val="32"/>
        </w:rPr>
        <w:t>55</w:t>
      </w:r>
      <w:r>
        <w:rPr>
          <w:rFonts w:ascii="仿宋" w:hAnsi="仿宋" w:eastAsia="仿宋"/>
          <w:bCs/>
          <w:sz w:val="32"/>
          <w:szCs w:val="32"/>
        </w:rPr>
        <w:fldChar w:fldCharType="end"/>
      </w:r>
      <w:r>
        <w:rPr>
          <w:rFonts w:ascii="仿宋" w:hAnsi="仿宋" w:eastAsia="仿宋"/>
          <w:bCs/>
          <w:sz w:val="32"/>
          <w:szCs w:val="32"/>
        </w:rPr>
        <w:fldChar w:fldCharType="end"/>
      </w:r>
    </w:p>
    <w:p>
      <w:pPr>
        <w:pStyle w:val="6"/>
        <w:tabs>
          <w:tab w:val="right" w:leader="dot" w:pos="8296"/>
        </w:tabs>
        <w:snapToGrid w:val="0"/>
        <w:spacing w:line="560" w:lineRule="exact"/>
        <w:rPr>
          <w:rFonts w:ascii="仿宋" w:hAnsi="仿宋" w:eastAsia="仿宋"/>
          <w:bCs/>
          <w:sz w:val="32"/>
          <w:szCs w:val="32"/>
        </w:rPr>
      </w:pPr>
      <w:r>
        <w:fldChar w:fldCharType="begin"/>
      </w:r>
      <w:r>
        <w:instrText xml:space="preserve"> HYPERLINK \l "_Toc139438756" </w:instrText>
      </w:r>
      <w:r>
        <w:fldChar w:fldCharType="separate"/>
      </w:r>
      <w:r>
        <w:rPr>
          <w:rStyle w:val="11"/>
          <w:rFonts w:ascii="仿宋" w:hAnsi="仿宋" w:eastAsia="仿宋" w:cs="Times New Roman"/>
          <w:bCs/>
          <w:sz w:val="32"/>
          <w:szCs w:val="32"/>
        </w:rPr>
        <w:t>9.5 技术保障措施</w:t>
      </w:r>
      <w:r>
        <w:rPr>
          <w:rFonts w:ascii="仿宋" w:hAnsi="仿宋" w:eastAsia="仿宋"/>
          <w:bCs/>
          <w:sz w:val="32"/>
          <w:szCs w:val="32"/>
        </w:rPr>
        <w:tab/>
      </w:r>
      <w:r>
        <w:rPr>
          <w:rFonts w:ascii="仿宋" w:hAnsi="仿宋" w:eastAsia="仿宋"/>
          <w:bCs/>
          <w:sz w:val="32"/>
          <w:szCs w:val="32"/>
        </w:rPr>
        <w:fldChar w:fldCharType="begin"/>
      </w:r>
      <w:r>
        <w:rPr>
          <w:rFonts w:ascii="仿宋" w:hAnsi="仿宋" w:eastAsia="仿宋"/>
          <w:bCs/>
          <w:sz w:val="32"/>
          <w:szCs w:val="32"/>
        </w:rPr>
        <w:instrText xml:space="preserve"> PAGEREF _Toc139438756 \h </w:instrText>
      </w:r>
      <w:r>
        <w:rPr>
          <w:rFonts w:ascii="仿宋" w:hAnsi="仿宋" w:eastAsia="仿宋"/>
          <w:bCs/>
          <w:sz w:val="32"/>
          <w:szCs w:val="32"/>
        </w:rPr>
        <w:fldChar w:fldCharType="separate"/>
      </w:r>
      <w:r>
        <w:rPr>
          <w:rFonts w:ascii="仿宋" w:hAnsi="仿宋" w:eastAsia="仿宋"/>
          <w:bCs/>
          <w:sz w:val="32"/>
          <w:szCs w:val="32"/>
        </w:rPr>
        <w:t>56</w:t>
      </w:r>
      <w:r>
        <w:rPr>
          <w:rFonts w:ascii="仿宋" w:hAnsi="仿宋" w:eastAsia="仿宋"/>
          <w:bCs/>
          <w:sz w:val="32"/>
          <w:szCs w:val="32"/>
        </w:rPr>
        <w:fldChar w:fldCharType="end"/>
      </w:r>
      <w:r>
        <w:rPr>
          <w:rFonts w:ascii="仿宋" w:hAnsi="仿宋" w:eastAsia="仿宋"/>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"_Toc139438757" </w:instrText>
      </w:r>
      <w:r>
        <w:fldChar w:fldCharType="separate"/>
      </w:r>
      <w:r>
        <w:rPr>
          <w:rStyle w:val="11"/>
          <w:rFonts w:cs="Times New Roman"/>
          <w:b w:val="0"/>
          <w:bCs/>
          <w:sz w:val="32"/>
          <w:szCs w:val="32"/>
        </w:rPr>
        <w:t>附件</w:t>
      </w:r>
      <w:r>
        <w:rPr>
          <w:b w:val="0"/>
          <w:bCs/>
          <w:sz w:val="32"/>
          <w:szCs w:val="32"/>
        </w:rPr>
        <w:tab/>
      </w:r>
      <w:r>
        <w:rPr>
          <w:b w:val="0"/>
          <w:bCs/>
          <w:sz w:val="32"/>
          <w:szCs w:val="32"/>
        </w:rPr>
        <w:fldChar w:fldCharType="begin"/>
      </w:r>
      <w:r>
        <w:rPr>
          <w:b w:val="0"/>
          <w:bCs/>
          <w:sz w:val="32"/>
          <w:szCs w:val="32"/>
        </w:rPr>
        <w:instrText xml:space="preserve"> PAGEREF _Toc139438757 \h </w:instrText>
      </w:r>
      <w:r>
        <w:rPr>
          <w:b w:val="0"/>
          <w:bCs/>
          <w:sz w:val="32"/>
          <w:szCs w:val="32"/>
        </w:rPr>
        <w:fldChar w:fldCharType="separate"/>
      </w:r>
      <w:r>
        <w:rPr>
          <w:b w:val="0"/>
          <w:bCs/>
          <w:sz w:val="32"/>
          <w:szCs w:val="32"/>
        </w:rPr>
        <w:t>58</w:t>
      </w:r>
      <w:r>
        <w:rPr>
          <w:b w:val="0"/>
          <w:bCs/>
          <w:sz w:val="32"/>
          <w:szCs w:val="32"/>
        </w:rPr>
        <w:fldChar w:fldCharType="end"/>
      </w:r>
      <w:r>
        <w:rPr>
          <w:b w:val="0"/>
          <w:bCs/>
          <w:sz w:val="32"/>
          <w:szCs w:val="32"/>
        </w:rPr>
        <w:fldChar w:fldCharType="end"/>
      </w:r>
    </w:p>
    <w:p>
      <w:pPr>
        <w:pStyle w:val="5"/>
        <w:spacing w:line="560" w:lineRule="exact"/>
        <w:rPr>
          <w:rFonts w:cstheme="minorBidi"/>
          <w:b w:val="0"/>
          <w:bCs/>
          <w:kern w:val="2"/>
          <w:sz w:val="32"/>
          <w:szCs w:val="32"/>
          <w:lang w:val="en-US"/>
        </w:rPr>
      </w:pPr>
      <w:r>
        <w:fldChar w:fldCharType="begin"/>
      </w:r>
      <w:r>
        <w:instrText xml:space="preserve"> HYPERLINK \l "_Toc139438758" </w:instrText>
      </w:r>
      <w:r>
        <w:fldChar w:fldCharType="separate"/>
      </w:r>
      <w:r>
        <w:rPr>
          <w:rStyle w:val="11"/>
          <w:rFonts w:cs="Times New Roman"/>
          <w:b w:val="0"/>
          <w:bCs/>
          <w:sz w:val="32"/>
          <w:szCs w:val="32"/>
        </w:rPr>
        <w:t>规划编制说明</w:t>
      </w:r>
      <w:r>
        <w:rPr>
          <w:b w:val="0"/>
          <w:bCs/>
          <w:sz w:val="32"/>
          <w:szCs w:val="32"/>
        </w:rPr>
        <w:tab/>
      </w:r>
      <w:r>
        <w:rPr>
          <w:b w:val="0"/>
          <w:bCs/>
          <w:sz w:val="32"/>
          <w:szCs w:val="32"/>
        </w:rPr>
        <w:fldChar w:fldCharType="begin"/>
      </w:r>
      <w:r>
        <w:rPr>
          <w:b w:val="0"/>
          <w:bCs/>
          <w:sz w:val="32"/>
          <w:szCs w:val="32"/>
        </w:rPr>
        <w:instrText xml:space="preserve"> PAGEREF _Toc139438758 \h </w:instrText>
      </w:r>
      <w:r>
        <w:rPr>
          <w:b w:val="0"/>
          <w:bCs/>
          <w:sz w:val="32"/>
          <w:szCs w:val="32"/>
        </w:rPr>
        <w:fldChar w:fldCharType="separate"/>
      </w:r>
      <w:r>
        <w:rPr>
          <w:b w:val="0"/>
          <w:bCs/>
          <w:sz w:val="32"/>
          <w:szCs w:val="32"/>
        </w:rPr>
        <w:t>58</w:t>
      </w:r>
      <w:r>
        <w:rPr>
          <w:b w:val="0"/>
          <w:bCs/>
          <w:sz w:val="32"/>
          <w:szCs w:val="32"/>
        </w:rPr>
        <w:fldChar w:fldCharType="end"/>
      </w:r>
      <w:r>
        <w:rPr>
          <w:b w:val="0"/>
          <w:bCs/>
          <w:sz w:val="32"/>
          <w:szCs w:val="32"/>
        </w:rPr>
        <w:fldChar w:fldCharType="end"/>
      </w:r>
    </w:p>
    <w:p>
      <w:pPr>
        <w:pStyle w:val="5"/>
        <w:spacing w:line="560" w:lineRule="exact"/>
        <w:rPr>
          <w:rFonts w:asciiTheme="minorHAnsi" w:hAnsiTheme="minorHAnsi" w:eastAsiaTheme="minorEastAsia" w:cstheme="minorBidi"/>
          <w:b w:val="0"/>
          <w:kern w:val="2"/>
          <w:sz w:val="32"/>
          <w:szCs w:val="32"/>
          <w:lang w:val="en-US"/>
        </w:rPr>
      </w:pPr>
      <w:r>
        <w:fldChar w:fldCharType="begin"/>
      </w:r>
      <w:r>
        <w:instrText xml:space="preserve"> HYPERLINK \l "_Toc139438759" </w:instrText>
      </w:r>
      <w:r>
        <w:fldChar w:fldCharType="separate"/>
      </w:r>
      <w:r>
        <w:rPr>
          <w:rStyle w:val="11"/>
          <w:rFonts w:cs="Times New Roman"/>
          <w:b w:val="0"/>
          <w:bCs/>
          <w:sz w:val="32"/>
          <w:szCs w:val="32"/>
        </w:rPr>
        <w:t>附图、表</w:t>
      </w:r>
      <w:r>
        <w:rPr>
          <w:b w:val="0"/>
          <w:bCs/>
          <w:sz w:val="32"/>
          <w:szCs w:val="32"/>
        </w:rPr>
        <w:tab/>
      </w:r>
      <w:r>
        <w:rPr>
          <w:b w:val="0"/>
          <w:bCs/>
          <w:sz w:val="32"/>
          <w:szCs w:val="32"/>
        </w:rPr>
        <w:fldChar w:fldCharType="begin"/>
      </w:r>
      <w:r>
        <w:rPr>
          <w:b w:val="0"/>
          <w:bCs/>
          <w:sz w:val="32"/>
          <w:szCs w:val="32"/>
        </w:rPr>
        <w:instrText xml:space="preserve"> PAGEREF _Toc139438759 \h </w:instrText>
      </w:r>
      <w:r>
        <w:rPr>
          <w:b w:val="0"/>
          <w:bCs/>
          <w:sz w:val="32"/>
          <w:szCs w:val="32"/>
        </w:rPr>
        <w:fldChar w:fldCharType="separate"/>
      </w:r>
      <w:r>
        <w:rPr>
          <w:b w:val="0"/>
          <w:bCs/>
          <w:sz w:val="32"/>
          <w:szCs w:val="32"/>
        </w:rPr>
        <w:t>58</w:t>
      </w:r>
      <w:r>
        <w:rPr>
          <w:b w:val="0"/>
          <w:bCs/>
          <w:sz w:val="32"/>
          <w:szCs w:val="32"/>
        </w:rPr>
        <w:fldChar w:fldCharType="end"/>
      </w:r>
      <w:r>
        <w:rPr>
          <w:b w:val="0"/>
          <w:bCs/>
          <w:sz w:val="32"/>
          <w:szCs w:val="32"/>
        </w:rPr>
        <w:fldChar w:fldCharType="end"/>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Style w:val="11"/>
          <w:rFonts w:ascii="Times New Roman" w:hAnsi="Times New Roman" w:eastAsia="仿宋" w:cs="Times New Roman"/>
          <w:bCs/>
          <w:sz w:val="32"/>
          <w:szCs w:val="32"/>
        </w:rPr>
        <w:fldChar w:fldCharType="end"/>
      </w: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1" w:name="_Toc137107991"/>
      <w:bookmarkStart w:id="2" w:name="_Toc139438713"/>
      <w:r>
        <w:rPr>
          <w:rFonts w:ascii="Times New Roman" w:hAnsi="Times New Roman" w:eastAsia="黑体" w:cs="Times New Roman"/>
          <w:sz w:val="44"/>
          <w:szCs w:val="44"/>
        </w:rPr>
        <w:t xml:space="preserve">第一章 </w:t>
      </w:r>
      <w:bookmarkEnd w:id="1"/>
      <w:r>
        <w:rPr>
          <w:rFonts w:ascii="Times New Roman" w:hAnsi="Times New Roman" w:eastAsia="黑体" w:cs="Times New Roman"/>
          <w:sz w:val="44"/>
          <w:szCs w:val="44"/>
        </w:rPr>
        <w:t>总则</w:t>
      </w:r>
      <w:bookmarkEnd w:id="2"/>
    </w:p>
    <w:p>
      <w:pPr>
        <w:adjustRightInd w:val="0"/>
        <w:spacing w:line="360" w:lineRule="auto"/>
        <w:jc w:val="left"/>
        <w:outlineLvl w:val="1"/>
        <w:rPr>
          <w:rFonts w:ascii="Times New Roman" w:hAnsi="Times New Roman" w:eastAsia="黑体" w:cs="Times New Roman"/>
          <w:sz w:val="32"/>
          <w:szCs w:val="32"/>
        </w:rPr>
      </w:pPr>
      <w:bookmarkStart w:id="3" w:name="_Toc137107992"/>
      <w:bookmarkStart w:id="4" w:name="_Toc139438714"/>
      <w:r>
        <w:rPr>
          <w:rFonts w:ascii="Times New Roman" w:hAnsi="Times New Roman" w:eastAsia="黑体" w:cs="Times New Roman"/>
          <w:sz w:val="32"/>
          <w:szCs w:val="32"/>
        </w:rPr>
        <w:t xml:space="preserve">1.1 </w:t>
      </w:r>
      <w:bookmarkEnd w:id="3"/>
      <w:r>
        <w:rPr>
          <w:rFonts w:ascii="Times New Roman" w:hAnsi="Times New Roman" w:eastAsia="黑体" w:cs="Times New Roman"/>
          <w:sz w:val="32"/>
          <w:szCs w:val="32"/>
        </w:rPr>
        <w:t>编制背景</w:t>
      </w:r>
      <w:bookmarkEnd w:id="4"/>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随着畜禽养殖规模化进程的加快，畜禽养殖污染对环境的影响日益严峻。为有效降低畜禽养殖污染对环境的影响，我国早在“十二五”期间就将规模化畜禽养殖造成的农业污染源减排纳入国家约束性指标进行控制。2013年11月，国务院（第643号令）颁布实施《畜禽规模养殖污染防治条例》，规定了畜禽养殖场、养殖专业户的养殖污染防治要求。2015年新《环境保护法》开始实施，要求推动农村环境综合整治，科学布局畜禽养殖企业，加强畜禽粪污治理，防止环境污染。</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十三五”以来，我国畜禽养殖污染防治工作稳步推进。因部分地区污染物排放总量远超环境容量，单靠污染物总量下降已难以带动我国环境质量全面改善，因此我国环境管理由总量控制转变为以环境质量控制为核心。2017年以来，国务院办公厅、农业农村部办公厅、生态环境部办公厅相继出台了《关于加快推进畜禽养殖废弃物资源化利用的意见》《关于促进畜禽粪污还田利用依法加强养殖污染治理的指导意见》《进一步明确畜禽粪污还田利用要求强化养殖污染监管的通知》等意见，推进全国畜禽养殖污染防治及粪污资源化利用工作。2021年10月，生态环境部、农业农村部编制了《畜禽养殖污染防治规划编制指南（试行）》，用以指导各地科学规划畜禽养殖污染防治工作。</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2022年生态环境部，安徽省生态环境厅、农业农村厅分别下发了《关于进一步加快推进畜禽养殖污染防治规划编制的通知》（环办土壤司〔2022〕82号）、《关于进一步加强推进畜禽养殖污染防治规划编制的通知》（皖函〔2022〕375号），进一步推进和规范安徽省各县市区畜禽养殖污染防治规划编制工作。六安市舒城县生态环境分局根据要求组织开展了《舒城县畜禽养殖污染防治规划（2023-2027）》编制工作。</w:t>
      </w:r>
    </w:p>
    <w:p>
      <w:pPr>
        <w:adjustRightInd w:val="0"/>
        <w:spacing w:line="360" w:lineRule="auto"/>
        <w:jc w:val="left"/>
        <w:outlineLvl w:val="1"/>
        <w:rPr>
          <w:rFonts w:ascii="Times New Roman" w:hAnsi="Times New Roman" w:eastAsia="黑体" w:cs="Times New Roman"/>
          <w:sz w:val="32"/>
          <w:szCs w:val="32"/>
        </w:rPr>
      </w:pPr>
      <w:bookmarkStart w:id="5" w:name="_Toc139438715"/>
      <w:r>
        <w:rPr>
          <w:rFonts w:ascii="Times New Roman" w:hAnsi="Times New Roman" w:eastAsia="黑体" w:cs="Times New Roman"/>
          <w:sz w:val="32"/>
          <w:szCs w:val="32"/>
        </w:rPr>
        <w:t>1.2 编制原则</w:t>
      </w:r>
      <w:bookmarkEnd w:id="5"/>
    </w:p>
    <w:p>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统筹兼顾，突出重点。</w:t>
      </w:r>
      <w:r>
        <w:rPr>
          <w:rFonts w:ascii="Times New Roman" w:hAnsi="Times New Roman" w:eastAsia="仿宋" w:cs="Times New Roman"/>
          <w:sz w:val="32"/>
          <w:szCs w:val="32"/>
        </w:rPr>
        <w:t>综合考虑区域资源环境承载力、畜禽养殖产业发展、农业产业特征等因素，科学规划生态环境保护、畜禽产品保障与农业产品质量安全，协同推进畜禽养殖业、种植业转型升级和绿色发展。以万佛湖、杭埠河、丰乐河水环境保护为重点，强化河湖沿岸、饮用水水源地等环境敏感区畜禽养殖污染防治。</w:t>
      </w:r>
    </w:p>
    <w:p>
      <w:pPr>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种养结合，强化监督。</w:t>
      </w:r>
      <w:r>
        <w:rPr>
          <w:rFonts w:ascii="Times New Roman" w:hAnsi="Times New Roman" w:eastAsia="仿宋" w:cs="Times New Roman"/>
          <w:sz w:val="32"/>
          <w:szCs w:val="32"/>
        </w:rPr>
        <w:t>准确把握全县农业农村经济发展的阶段性特点，根据资源环境承载能力和产业发展基础，统筹考虑粪污资源化利用产业发展、畜牧业生产和农民增收等重要任务，把握好工作的节奏和力度，积极作为、协同推进，促进畜禽粪污资源化利用产业与生态环境和谐发展。强化监督，实现精准治污、科学治污、依法治污。</w:t>
      </w:r>
    </w:p>
    <w:p>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因地制宜，分类施策。</w:t>
      </w:r>
      <w:r>
        <w:rPr>
          <w:rFonts w:ascii="Times New Roman" w:hAnsi="Times New Roman" w:eastAsia="仿宋" w:cs="Times New Roman"/>
          <w:sz w:val="32"/>
          <w:szCs w:val="32"/>
        </w:rPr>
        <w:t>对不同养殖品种、不同养殖规模、不同养殖技术、不同地区的养殖场制定差异化养殖污染管理要求，因地制宜推广经济适用的粪污资源化利用发展模式，做到可持续运行。根据粪污消纳用地的作物和土壤特性，推广便捷高效的有机肥利用技术和装备，做到科学还田利用。</w:t>
      </w:r>
    </w:p>
    <w:p>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政府主导，多方联动。</w:t>
      </w:r>
      <w:r>
        <w:rPr>
          <w:rFonts w:ascii="Times New Roman" w:hAnsi="Times New Roman" w:eastAsia="仿宋" w:cs="Times New Roman"/>
          <w:sz w:val="32"/>
          <w:szCs w:val="32"/>
        </w:rPr>
        <w:t>强化政府主导、企业主体、社会组织和公众参与的多方协调联动机制，充分发挥畜禽养殖污染防治有关部门的信息、资源优势，拓宽投融资渠道，加大政策支持力度，推动第三方服务等社会化运营模式健康发展。</w:t>
      </w:r>
    </w:p>
    <w:p>
      <w:pPr>
        <w:adjustRightInd w:val="0"/>
        <w:spacing w:line="360" w:lineRule="auto"/>
        <w:jc w:val="left"/>
        <w:outlineLvl w:val="1"/>
        <w:rPr>
          <w:rFonts w:ascii="Times New Roman" w:hAnsi="Times New Roman" w:eastAsia="黑体" w:cs="Times New Roman"/>
          <w:sz w:val="32"/>
          <w:szCs w:val="32"/>
        </w:rPr>
      </w:pPr>
      <w:bookmarkStart w:id="6" w:name="_Toc139438716"/>
      <w:r>
        <w:rPr>
          <w:rFonts w:ascii="Times New Roman" w:hAnsi="Times New Roman" w:eastAsia="黑体" w:cs="Times New Roman"/>
          <w:sz w:val="32"/>
          <w:szCs w:val="32"/>
        </w:rPr>
        <w:t>1.3 编制依据</w:t>
      </w:r>
      <w:bookmarkEnd w:id="6"/>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1.3.1 法律法规</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（1）《中华人民共和国环境保护法》；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（2）《中华人民共和国水污染防治法》；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（3）《中华人民共和国大气污染防治法》；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（4）《中华人民共和国土壤污染防治法》；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（5）《中华人民共和国固体废弃物污染环境防治法》；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（6）《中华人民共和国畜牧法》；</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（7）《畜</w:t>
      </w:r>
      <w:r>
        <w:rPr>
          <w:rFonts w:hint="eastAsia" w:ascii="Times New Roman" w:hAnsi="Times New Roman" w:eastAsia="仿宋" w:cs="Times New Roman"/>
          <w:sz w:val="32"/>
          <w:szCs w:val="32"/>
        </w:rPr>
        <w:t>禽</w:t>
      </w:r>
      <w:r>
        <w:rPr>
          <w:rFonts w:ascii="Times New Roman" w:hAnsi="Times New Roman" w:eastAsia="仿宋" w:cs="Times New Roman"/>
          <w:sz w:val="32"/>
          <w:szCs w:val="32"/>
        </w:rPr>
        <w:t>规模养殖污染防治条例》。</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1.3.2 标准规范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（1）GB 5084农田灌溉水质标准；</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（2）GB 15618土壤环境质量 农用地土壤污染风险管控标准（试行）；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（3）GB 18596畜禽养殖业污染物排放标准；</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（4）GB/T 18877有机-无机复混肥料；</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（5）GB/T 25169畜禽粪便监测技术规范；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（6）GB/T 25246畜禽粪便还田技术规范；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（7）GB/T 26624畜禽养殖污水贮存设施设计要求；</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（8）GB/T 27522畜禽养殖污水采样技术规范；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（9）GB/T 27622畜禽粪便贮存设施设计要求；</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（10）GB/T 36195畜禽粪便无害化技术处理规范；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（11）HJ 497畜禽养殖业污染治理工程技术规范；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（12）HJ 1029排污许可证申请与核发技术规范 畜禽养殖行业；</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（13）HJ/T 81畜禽养殖业污染防治技术规范；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（14）NY/T 525有机肥料；</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（15）NY/T 1169畜禽场环境污染控制技术规范；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（16）NY/T 2065沼肥施用技术规范；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（17）NY/T 3442畜禽粪便堆肥技术规范。</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1.3.3 政策文件</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（1）《国务院办公厅关于促进畜牧业高质量发展的意见》（国办发〔2020〕31号）；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（2）《国务院办公厅关于加快推进畜禽养殖废弃物资源化利用的意见》（国办发〔2017〕48号）；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（3）《关于进一步加快推进畜禽养殖污染防治规划编制的通知》(环办土壤函〔2022〕82号)；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（4）《畜禽养殖污染防治规划编制指南（试行）》（环办土壤函〔2021〕465号）；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（5）《农业面源污染治理与监督指导实施方案（试行）》（环办土壤〔2021〕8号）；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（6）《关于进一步明确畜禽粪污还田利用要求强化养殖污染监管的通知》（农办牧〔2020〕23号）；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（7）《关于促进畜禽粪污还田利用 依法加强养殖污染治理的指导意见》（农办牧〔2019〕84 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（8）《关于做好畜禽粪污资源化利用跟踪监测工作的通知》（农办牧〔2018〕28号）；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（9）《畜禽规模养殖场粪污资源化利用设施建设规范（试行）》（农办牧〔2018〕2号）；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（10）《畜禽粪污土地承载力测算技术指南》（农办牧〔2018〕1号）；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（11）《关于开展水环境承载力评价工作的通知》（环办水体函〔2020〕538号）；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（12）《关于印发畜禽养殖场（户）粪污处理设施建设技术指南》的通知（农办牧〔2022〕19号）；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（13）《安徽省生态环境厅 安徽省农业农村厅 关于进一步加快推进畜禽养殖污染防治规划编制的通知》（皖环函〔2022〕375号）；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（14）《安徽省人民政府关于印发 安徽省国民经济和社会发展第十四个五年规划和2035年远景目标纲要的通知》（皖政〔2021〕16号）；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（15）《安徽省“十四五”现代畜牧业发展规划》；</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（16）《安徽省畜禽粪污资源化利用五年提升行动计划（2021-2025年）》；</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（17）《安徽省“十四五”畜禽粪污资源化利用发展规划（2021-2025年）》；</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（18）《巢湖流域水污染防治条例》；</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（19）《安徽省“十四五”重点流域水生态环境保护规划》（皖环发〔2022〕17号）；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（20）《安徽省“十四五”畜禽养殖污染防治规划》；</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（21）《舒城县人民政府办公室关于印发舒城县畜禽养殖禁养区划定方案（修订）的通知》（舒政办秘〔2019〕80号）。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（22）《关于加强畜禽粪污资源化利用计划和台账管理的通知》（农办牧〔2021〕46号）</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（23）《舒城</w:t>
      </w:r>
      <w:r>
        <w:rPr>
          <w:rFonts w:hint="eastAsia" w:ascii="Times New Roman" w:hAnsi="Times New Roman" w:eastAsia="仿宋" w:cs="Times New Roman"/>
          <w:sz w:val="32"/>
          <w:szCs w:val="32"/>
        </w:rPr>
        <w:t>县</w:t>
      </w:r>
      <w:r>
        <w:rPr>
          <w:rFonts w:ascii="Times New Roman" w:hAnsi="Times New Roman" w:eastAsia="仿宋" w:cs="Times New Roman"/>
          <w:sz w:val="32"/>
          <w:szCs w:val="32"/>
        </w:rPr>
        <w:t>国土空间总体规划（2021-2035年）》</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（24）《舒城县“十四五”生态环境保护规划（2021-2025）》</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（25）《舒城县“十四五”畜禽粪污治理和资源化利用发展规划》</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（26）《舒城“十四五”农业农村现代化发展规划》</w:t>
      </w:r>
    </w:p>
    <w:p>
      <w:pPr>
        <w:adjustRightInd w:val="0"/>
        <w:spacing w:line="360" w:lineRule="auto"/>
        <w:jc w:val="left"/>
        <w:outlineLvl w:val="1"/>
        <w:rPr>
          <w:rFonts w:ascii="Times New Roman" w:hAnsi="Times New Roman" w:eastAsia="黑体" w:cs="Times New Roman"/>
          <w:sz w:val="32"/>
          <w:szCs w:val="32"/>
        </w:rPr>
      </w:pPr>
      <w:bookmarkStart w:id="7" w:name="_Toc139438717"/>
      <w:r>
        <w:rPr>
          <w:rFonts w:ascii="Times New Roman" w:hAnsi="Times New Roman" w:eastAsia="黑体" w:cs="Times New Roman"/>
          <w:sz w:val="32"/>
          <w:szCs w:val="32"/>
        </w:rPr>
        <w:t>1.4 规划期限</w:t>
      </w:r>
      <w:bookmarkEnd w:id="7"/>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规划基准年为2023年，规划期限为2023-2027年。</w:t>
      </w:r>
    </w:p>
    <w:p>
      <w:pPr>
        <w:rPr>
          <w:rFonts w:ascii="Times New Roman" w:hAnsi="Times New Roman" w:eastAsia="仿宋" w:cs="Times New Roman"/>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8" w:name="_Toc139438718"/>
      <w:r>
        <w:rPr>
          <w:rFonts w:ascii="Times New Roman" w:hAnsi="Times New Roman" w:eastAsia="黑体" w:cs="Times New Roman"/>
          <w:sz w:val="44"/>
          <w:szCs w:val="44"/>
        </w:rPr>
        <w:t>第二章 区域概况</w:t>
      </w:r>
      <w:bookmarkEnd w:id="8"/>
    </w:p>
    <w:p>
      <w:pPr>
        <w:adjustRightInd w:val="0"/>
        <w:spacing w:line="360" w:lineRule="auto"/>
        <w:jc w:val="left"/>
        <w:outlineLvl w:val="1"/>
        <w:rPr>
          <w:rFonts w:ascii="Times New Roman" w:hAnsi="Times New Roman" w:eastAsia="黑体" w:cs="Times New Roman"/>
          <w:sz w:val="32"/>
          <w:szCs w:val="32"/>
        </w:rPr>
      </w:pPr>
      <w:bookmarkStart w:id="9" w:name="_Toc139438719"/>
      <w:r>
        <w:rPr>
          <w:rFonts w:ascii="Times New Roman" w:hAnsi="Times New Roman" w:eastAsia="黑体" w:cs="Times New Roman"/>
          <w:sz w:val="32"/>
          <w:szCs w:val="32"/>
        </w:rPr>
        <w:t>2.1 自然气候条件</w:t>
      </w:r>
      <w:bookmarkEnd w:id="9"/>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2.1.1 地理位置</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位于安徽省中部，大别山东北麓、江准之间，界于东经116°26~117°15北纬31°01~31°34。东邻庐江县，西连岳西县、霍山县，南界桐城市潜山市，北毗金安区、肥西县,是合肥近邻，长三角纵深腹地，合肥经济圈重要组成部分，省会辐射西南的连接带，历来就有“准南羽翼，江准腹地，皖北咽喉，七省通衢，五方要冲”之称。合九铁路沪蓉高速穿境而过，206国道、105国道、237国道、346国道、237省道、241省道、330省道、454省道、605省道、332省道以及四通八达的县乡村公路形成便捷的交通网络，水路入巢湖，通长江。县城至南京242千米，至上海480千米，至杭州495千米，至安庆港132于米，至武汉460千米，至合肥高新技术开发区36千米。</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2.1.2 地形地貌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地处大别山脉与巢湖平原的过渡地带，西南山区、中部丘陵，东北部平原。南缘山脊为巢湖水系与菜子湖水系的分水岭，西南山脊为长江水系与淮河水系的分水岭。境内河流皆源于西南山区，杭埠河贯穿其中，丰乐河界其北，地形西南高东北低，地质构造复杂，地貌多样。境内地形由西南向东北呈山区、丘陵区、岗区、平原圩区四级阶梯形分布，总面积2100k㎡，山区346.5k㎡，占16.5%，丘陵区岗地1161.3k㎡，占55.3%，平原圩区592.2k㎡，占28.2%。</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2.1.3 气象气候</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属北亚热带湿润气候区，雨量充沛，气候温和，四季分明，季风显著，物产丰富。年平均气温15.8℃，年平均降水量1171.9毫米，年平均日照时数1800小时，年平均日照40.6%，年平均无霜期224天。常见灾害性天气有暴雨（雪）、雷电、台风、冰雹等。</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2.1.4 河流水系</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位于长江水系、巢湖流域西部，境内水系主要属于长江流域，仅在西南部与霍山县接壤处有7平方千米面积属于准河流域，占县域面积的0.3%。境内主要河流有杭埠河、丰乐河，均属长江流域巢湖水系。杭埠河全长145千米流域面积3064平方千米，其中舒城县境内长97.17千米，流域面积1587.5平方千米；丰乐河全长117.45千米，流域面积2080平方千米，其中舒城县境内长59.85千米，流域面积683平方千米。杭埠河流域较大支流有双河、黄河、天仓河、山七里河、五显河、河棚河龙潭河、曹家河、九井河、清水河南港河、马槽河等；丰乐河流域较大支流有枯水河、思古潭河、长堰河、花水堰河、张家店河、张母桥河等。</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2.1.5 植被覆盖</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森林植被覆盖类型为亚热带常绿阔叶林向暖温带落叶林交汇地带，有乔灌木700余种，其中有不少珍贵树种，列入国家保护的树种有香果树、银杏、大别山五针松、金钱松、连香树、杜仲、领春木、厚朴、天女花、天目木姜子、黄山花楸、紫荆、都枝杜鹃、朵椒、大别山山核桃、青钱柳、野生猕猴桃等。分布较广的树种有80余种，主要优势树种有马尾松、杉树、栎类、竹类、油桐、油茶、桑、板栗、漆树等。舒城县中药材品种多，数量多，药源动植物有237科、1300余种，其中野生中药材占一半以上。</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2.1.6 土壤特征</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所在地区土壤分为黄棕壤、棕壤、潮土、紫色土、石灰（岩）土、草甸土、水稻土7类。其中黄棕壤占全县土壤总面积56.1%，水稻土占全县土壤总面积33.2%，紫色土占全县土壤总面积9%。舒城县土壤水平分布不太明显，但垂直分布较为清楚，大致顺序是:山地草甸土—山地棕壤—粗骨黄棕壤—普通黄棕壤—酸性紫色壤—粘盘黄棕壤—猪育型水稻土—潮土。</w:t>
      </w:r>
    </w:p>
    <w:p>
      <w:pPr>
        <w:adjustRightInd w:val="0"/>
        <w:spacing w:line="360" w:lineRule="auto"/>
        <w:jc w:val="left"/>
        <w:outlineLvl w:val="1"/>
        <w:rPr>
          <w:rFonts w:ascii="Times New Roman" w:hAnsi="Times New Roman" w:eastAsia="黑体" w:cs="Times New Roman"/>
          <w:sz w:val="32"/>
          <w:szCs w:val="32"/>
        </w:rPr>
      </w:pPr>
      <w:bookmarkStart w:id="10" w:name="_Toc139438720"/>
      <w:r>
        <w:rPr>
          <w:rFonts w:ascii="Times New Roman" w:hAnsi="Times New Roman" w:eastAsia="黑体" w:cs="Times New Roman"/>
          <w:sz w:val="32"/>
          <w:szCs w:val="32"/>
        </w:rPr>
        <w:t>2.2 社会经济状况</w:t>
      </w:r>
      <w:bookmarkEnd w:id="10"/>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2.2.1 行政区划</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辖15个镇、6个乡，1个经济开发区，394个行政村，包括城关镇、晓天镇、桃溪镇、万佛湖镇、千人桥镇、百神庙镇、杭埠镇、舒茶镇、南港镇、干汊河镇、张母桥镇、五显镇、山七镇、河棚镇、汤池镇、春秋乡、柏林乡、棠树乡、阙店乡、高峰乡、庐镇乡，安徽舒城经济开发区，总面积2100k㎡。</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2.2.2 经济概况</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022</w:t>
      </w:r>
      <w:r>
        <w:rPr>
          <w:rFonts w:hint="eastAsia" w:ascii="Times New Roman" w:hAnsi="Times New Roman" w:eastAsia="仿宋" w:cs="Times New Roman"/>
          <w:sz w:val="32"/>
          <w:szCs w:val="32"/>
        </w:rPr>
        <w:t>年，舒城县实现地区生产总值</w:t>
      </w:r>
      <w:r>
        <w:rPr>
          <w:rFonts w:ascii="Times New Roman" w:hAnsi="Times New Roman" w:eastAsia="仿宋" w:cs="Times New Roman"/>
          <w:sz w:val="32"/>
          <w:szCs w:val="32"/>
        </w:rPr>
        <w:t>3757349万元，同比增长5.2%。其中一产407781万元，增长4.7%；二产1798482万元，增长7.8%；三产1551087万元，增长2.6%。三次产业结构由上年同期的11.0：46.9：42.1调整为10.8：47.9：41.3，其中一产、三产分别下降0.2、0.8个百分点，二产提高1.0个百分点。</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022</w:t>
      </w:r>
      <w:r>
        <w:rPr>
          <w:rFonts w:hint="eastAsia" w:ascii="Times New Roman" w:hAnsi="Times New Roman" w:eastAsia="仿宋" w:cs="Times New Roman"/>
          <w:sz w:val="32"/>
          <w:szCs w:val="32"/>
        </w:rPr>
        <w:t>年，舒城新增耕地</w:t>
      </w:r>
      <w:r>
        <w:rPr>
          <w:rFonts w:ascii="Times New Roman" w:hAnsi="Times New Roman" w:eastAsia="仿宋" w:cs="Times New Roman"/>
          <w:sz w:val="32"/>
          <w:szCs w:val="32"/>
        </w:rPr>
        <w:t>1.33万亩，建成高标准农田7万亩，全县粮食种植面积达到94.2万亩，实现粮食产量37.1万吨；茶园面积13.3万亩，产量4000吨；蔬菜36.1万亩，产量66万吨；水果、食用菌、中药材等种植面积和产量均实现平稳较快增长，全年农林牧渔业总产值达78亿元，增幅8.2%。</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022</w:t>
      </w:r>
      <w:r>
        <w:rPr>
          <w:rFonts w:hint="eastAsia" w:ascii="Times New Roman" w:hAnsi="Times New Roman" w:eastAsia="仿宋" w:cs="Times New Roman"/>
          <w:sz w:val="32"/>
          <w:szCs w:val="32"/>
        </w:rPr>
        <w:t>年</w:t>
      </w:r>
      <w:r>
        <w:rPr>
          <w:rFonts w:ascii="Times New Roman" w:hAnsi="Times New Roman" w:eastAsia="仿宋" w:cs="Times New Roman"/>
          <w:sz w:val="32"/>
          <w:szCs w:val="32"/>
        </w:rPr>
        <w:t>，</w:t>
      </w:r>
      <w:r>
        <w:rPr>
          <w:rFonts w:hint="eastAsia" w:ascii="Times New Roman" w:hAnsi="Times New Roman" w:eastAsia="仿宋" w:cs="Times New Roman"/>
          <w:sz w:val="32"/>
          <w:szCs w:val="32"/>
        </w:rPr>
        <w:t>舒城</w:t>
      </w:r>
      <w:r>
        <w:rPr>
          <w:rFonts w:ascii="Times New Roman" w:hAnsi="Times New Roman" w:eastAsia="仿宋" w:cs="Times New Roman"/>
          <w:sz w:val="32"/>
          <w:szCs w:val="32"/>
        </w:rPr>
        <w:t>县规模以上工业增加值同比增长9.2%，高于全市水平0.5个百分点。高技术制造业增加值增长16.4%，低于全市水平12.4个百分点。战略性新兴产业产值增长6.7%，高于全市水平0.5个百分点。农产品加工业产值增长6.4%，高于全市水平1.0个百分点。</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022</w:t>
      </w:r>
      <w:r>
        <w:rPr>
          <w:rFonts w:hint="eastAsia" w:ascii="Times New Roman" w:hAnsi="Times New Roman" w:eastAsia="仿宋" w:cs="Times New Roman"/>
          <w:sz w:val="32"/>
          <w:szCs w:val="32"/>
        </w:rPr>
        <w:t>年，舒城县城乡居民收入</w:t>
      </w:r>
      <w:r>
        <w:rPr>
          <w:rFonts w:ascii="Times New Roman" w:hAnsi="Times New Roman" w:eastAsia="仿宋" w:cs="Times New Roman"/>
          <w:sz w:val="32"/>
          <w:szCs w:val="32"/>
        </w:rPr>
        <w:t>26363元，同比增长6.8%，低于全市水平0.1个百分点。其中城镇常住居民人均可支配收入36156元，增长5.5%，低于全市水平0.2个百分点；农村常住居民人均可支配收入17320元，增长7.9%，高于全市水平0.3个百分点。城乡居民收入比由上年2.14：1缩小为2.09：1。</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2.2.3 土地利用特征</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w:t>
      </w:r>
      <w:r>
        <w:rPr>
          <w:rFonts w:hint="eastAsia" w:ascii="Times New Roman" w:hAnsi="Times New Roman" w:eastAsia="仿宋" w:cs="Times New Roman"/>
          <w:sz w:val="32"/>
          <w:szCs w:val="32"/>
        </w:rPr>
        <w:t>《舒城县国土空间总体规划（</w:t>
      </w:r>
      <w:r>
        <w:rPr>
          <w:rFonts w:ascii="Times New Roman" w:hAnsi="Times New Roman" w:eastAsia="仿宋" w:cs="Times New Roman"/>
          <w:sz w:val="32"/>
          <w:szCs w:val="32"/>
        </w:rPr>
        <w:t>2021-2035年）》，舒城县土地总面积2109.52平方公里，其中农用地1641.96</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，占土地总面积的77.84%；建设用地278.6</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，占土地总面积的13.21%；其他用地188.94</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，占土地总面积的8.95%。</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（1）农用地</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耕地面积531.83</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，占土地总面积的25.21%；园地面积54.91</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，占土地总面积的2.60%；林地1049.87</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，占土地总面积的49.77%；草地5.35</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，占土地总面积的0.25%；</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（2）建设用地</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城乡建设用地面积224.13</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，占土地总面积的10.62%；</w:t>
      </w:r>
      <w:r>
        <w:rPr>
          <w:rFonts w:hint="eastAsia" w:ascii="Times New Roman" w:hAnsi="Times New Roman" w:eastAsia="仿宋" w:cs="Times New Roman"/>
          <w:sz w:val="32"/>
          <w:szCs w:val="32"/>
        </w:rPr>
        <w:t>区域基础设施用地面积</w:t>
      </w:r>
      <w:r>
        <w:rPr>
          <w:rFonts w:ascii="Times New Roman" w:hAnsi="Times New Roman" w:eastAsia="仿宋" w:cs="Times New Roman"/>
          <w:sz w:val="32"/>
          <w:szCs w:val="32"/>
        </w:rPr>
        <w:t>29.88平方公里，占土地总面积的1.42%；</w:t>
      </w:r>
      <w:r>
        <w:rPr>
          <w:rFonts w:hint="eastAsia" w:ascii="Times New Roman" w:hAnsi="Times New Roman" w:eastAsia="仿宋" w:cs="Times New Roman"/>
          <w:sz w:val="32"/>
          <w:szCs w:val="32"/>
        </w:rPr>
        <w:t>农业设施建设用地面积</w:t>
      </w:r>
      <w:r>
        <w:rPr>
          <w:rFonts w:ascii="Times New Roman" w:hAnsi="Times New Roman" w:eastAsia="仿宋" w:cs="Times New Roman"/>
          <w:sz w:val="32"/>
          <w:szCs w:val="32"/>
        </w:rPr>
        <w:t>20.19平方公里，占土地总面积的0.96%；</w:t>
      </w:r>
      <w:r>
        <w:rPr>
          <w:rFonts w:hint="eastAsia" w:ascii="Times New Roman" w:hAnsi="Times New Roman" w:eastAsia="仿宋" w:cs="Times New Roman"/>
          <w:sz w:val="32"/>
          <w:szCs w:val="32"/>
        </w:rPr>
        <w:t>其他建设用地面积</w:t>
      </w:r>
      <w:r>
        <w:rPr>
          <w:rFonts w:ascii="Times New Roman" w:hAnsi="Times New Roman" w:eastAsia="仿宋" w:cs="Times New Roman"/>
          <w:sz w:val="32"/>
          <w:szCs w:val="32"/>
        </w:rPr>
        <w:t>4.40平方公里，占土地总面积的0.21%。</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（3）其他用地</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陆地</w:t>
      </w:r>
      <w:r>
        <w:rPr>
          <w:rFonts w:ascii="Times New Roman" w:hAnsi="Times New Roman" w:eastAsia="仿宋" w:cs="Times New Roman"/>
          <w:sz w:val="32"/>
          <w:szCs w:val="32"/>
        </w:rPr>
        <w:t>水域面积167.02</w:t>
      </w:r>
      <w:r>
        <w:rPr>
          <w:rFonts w:hint="eastAsia" w:ascii="Times New Roman" w:hAnsi="Times New Roman" w:eastAsia="仿宋" w:cs="Times New Roman"/>
          <w:sz w:val="32"/>
          <w:szCs w:val="32"/>
        </w:rPr>
        <w:t>平方公里</w:t>
      </w:r>
      <w:r>
        <w:rPr>
          <w:rFonts w:ascii="Times New Roman" w:hAnsi="Times New Roman" w:eastAsia="仿宋" w:cs="Times New Roman"/>
          <w:sz w:val="32"/>
          <w:szCs w:val="32"/>
        </w:rPr>
        <w:t>，占土地总面积的7.92%；</w:t>
      </w:r>
      <w:bookmarkStart w:id="11" w:name="_Hlk139378597"/>
      <w:r>
        <w:rPr>
          <w:rFonts w:hint="eastAsia" w:ascii="Times New Roman" w:hAnsi="Times New Roman" w:eastAsia="仿宋" w:cs="Times New Roman"/>
          <w:sz w:val="32"/>
          <w:szCs w:val="32"/>
        </w:rPr>
        <w:t>湿地面积</w:t>
      </w:r>
      <w:r>
        <w:rPr>
          <w:rFonts w:ascii="Times New Roman" w:hAnsi="Times New Roman" w:eastAsia="仿宋" w:cs="Times New Roman"/>
          <w:sz w:val="32"/>
          <w:szCs w:val="32"/>
        </w:rPr>
        <w:t>6.18平方公里，占土地总面积的0.29%；</w:t>
      </w:r>
      <w:r>
        <w:rPr>
          <w:rFonts w:hint="eastAsia" w:ascii="Times New Roman" w:hAnsi="Times New Roman" w:eastAsia="仿宋" w:cs="Times New Roman"/>
          <w:sz w:val="32"/>
          <w:szCs w:val="32"/>
        </w:rPr>
        <w:t>其他土地面积</w:t>
      </w:r>
      <w:r>
        <w:rPr>
          <w:rFonts w:ascii="Times New Roman" w:hAnsi="Times New Roman" w:eastAsia="仿宋" w:cs="Times New Roman"/>
          <w:sz w:val="32"/>
          <w:szCs w:val="32"/>
        </w:rPr>
        <w:t>15.74平方公里，占土地总面积的0.75%；</w:t>
      </w:r>
      <w:bookmarkEnd w:id="11"/>
    </w:p>
    <w:p>
      <w:pPr>
        <w:adjustRightInd w:val="0"/>
        <w:spacing w:line="360" w:lineRule="auto"/>
        <w:jc w:val="left"/>
        <w:outlineLvl w:val="1"/>
        <w:rPr>
          <w:rFonts w:ascii="Times New Roman" w:hAnsi="Times New Roman" w:eastAsia="黑体" w:cs="Times New Roman"/>
          <w:sz w:val="32"/>
          <w:szCs w:val="32"/>
        </w:rPr>
      </w:pPr>
      <w:bookmarkStart w:id="12" w:name="_Toc139438721"/>
      <w:r>
        <w:rPr>
          <w:rFonts w:ascii="Times New Roman" w:hAnsi="Times New Roman" w:eastAsia="黑体" w:cs="Times New Roman"/>
          <w:sz w:val="32"/>
          <w:szCs w:val="32"/>
        </w:rPr>
        <w:t>2.3 生态环境概况</w:t>
      </w:r>
      <w:bookmarkEnd w:id="12"/>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2.2.1 水环境质量状况</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舒城境内地表水质总体稳定，集中式饮用水水源水质达标率100%，万佛湖和杭埠河水质常年保持《地表水环境质量标准》（GB3838-2002）Ⅱ类，丰乐河稳定达到《地表水环境质量标准》（GB3838-2002）Ⅲ类标准。</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2.2.2 空气环境质量状况</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舒城县深化大气污染防治“五控”措施及“六个专项行动”，建立大气污染防治部门联动工作机制。截止2021年12月31日，城区PM10平均浓度60微克/立方米，PM2.5平均浓度34微克/立方米，优良天数比例达到85.2%。</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2.2.3 土壤环境质量状况</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舒城县目前无污染地块，耕地安全利用率100%。</w:t>
      </w:r>
    </w:p>
    <w:p>
      <w:pPr>
        <w:rPr>
          <w:rFonts w:ascii="Times New Roman" w:hAnsi="Times New Roman" w:eastAsia="仿宋" w:cs="Times New Roman"/>
          <w:sz w:val="32"/>
          <w:szCs w:val="32"/>
        </w:rPr>
      </w:pPr>
    </w:p>
    <w:p>
      <w:pPr>
        <w:rPr>
          <w:rFonts w:ascii="Times New Roman" w:hAnsi="Times New Roman" w:eastAsia="仿宋" w:cs="Times New Roman"/>
          <w:sz w:val="32"/>
          <w:szCs w:val="32"/>
        </w:rPr>
        <w:sectPr>
          <w:footerReference r:id="rId6" w:type="default"/>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13" w:name="_Toc139438722"/>
      <w:r>
        <w:rPr>
          <w:rFonts w:ascii="Times New Roman" w:hAnsi="Times New Roman" w:eastAsia="黑体" w:cs="Times New Roman"/>
          <w:sz w:val="44"/>
          <w:szCs w:val="44"/>
        </w:rPr>
        <w:t>第三章 畜禽养殖污染防治现状</w:t>
      </w:r>
      <w:bookmarkEnd w:id="13"/>
    </w:p>
    <w:p>
      <w:pPr>
        <w:adjustRightInd w:val="0"/>
        <w:spacing w:line="360" w:lineRule="auto"/>
        <w:jc w:val="left"/>
        <w:outlineLvl w:val="1"/>
        <w:rPr>
          <w:rFonts w:ascii="Times New Roman" w:hAnsi="Times New Roman" w:eastAsia="黑体" w:cs="Times New Roman"/>
          <w:sz w:val="32"/>
          <w:szCs w:val="32"/>
        </w:rPr>
      </w:pPr>
      <w:bookmarkStart w:id="14" w:name="_Toc139438723"/>
      <w:r>
        <w:rPr>
          <w:rFonts w:ascii="Times New Roman" w:hAnsi="Times New Roman" w:eastAsia="黑体" w:cs="Times New Roman"/>
          <w:sz w:val="32"/>
          <w:szCs w:val="32"/>
        </w:rPr>
        <w:t>3.1 畜禽养殖现状</w:t>
      </w:r>
      <w:bookmarkEnd w:id="14"/>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3.1.1 规模划分</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关于印发安徽省畜禽养殖场（小区）规模标准的通知》（皖农牧﹝2017﹞99号）的规定，规模养殖场的养殖标准为：生猪年出栏500头以上；肉鸡/鸭/鹅年出栏10000只以上；肉牛年出栏50头以上；肉羊年出栏100只以上；蛋鸡/鸭/鹅年存栏2000只以上；奶牛年存栏100头以上。未达到畜禽规模养殖场标准的为规模以下养殖户：50≤生猪＜500头（出栏）、5头≤奶牛＜100头（存栏）、10头≤肉牛＜50头（出栏）、500羽≤蛋鸡＜2000羽（存栏）、2000羽≤肉鸡＜10000羽（出栏）。其他为散养户。</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3.1.2 畜牧业发展概况</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据资料调研情况，2022年，舒城县全年生猪存栏14.0万头，出栏19.6万头，规模化猪场67家；家禽出栏2088.9万羽，存栏672.0万羽，其中，肉鸡存栏约332.2万只，年出栏约1716.2万只，规模化鸡场77家；肉牛存栏约0.59万头，年出栏约0.31万头，规模化牛场3家；肉羊存栏约0.75万头，年出栏约1.16万头，规模化牛场6家；商品蛋鸡存栏约25万只，年出栏约16万只，规模化蛋鸡场13家。舒城县养殖畜种主要为生猪和禽类。生猪养殖主要集中在</w:t>
      </w:r>
      <w:r>
        <w:rPr>
          <w:rFonts w:hint="eastAsia" w:ascii="Times New Roman" w:hAnsi="Times New Roman" w:eastAsia="仿宋" w:cs="Times New Roman"/>
          <w:sz w:val="32"/>
          <w:szCs w:val="32"/>
        </w:rPr>
        <w:t>棠</w:t>
      </w:r>
      <w:r>
        <w:rPr>
          <w:rFonts w:ascii="Times New Roman" w:hAnsi="Times New Roman" w:eastAsia="仿宋" w:cs="Times New Roman"/>
          <w:sz w:val="32"/>
          <w:szCs w:val="32"/>
        </w:rPr>
        <w:t>树乡、柏林乡和南港镇；禽类养殖主要集中在棠树乡、城关镇、柏林乡、杭埠镇、南港镇和桃溪镇。</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表3-1 舒城县各乡镇规模养殖场畜禽养殖设计存栏量</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（单位：头/只/羽）</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00"/>
        <w:gridCol w:w="1312"/>
        <w:gridCol w:w="1164"/>
        <w:gridCol w:w="1311"/>
        <w:gridCol w:w="1166"/>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序号</w:t>
            </w:r>
          </w:p>
        </w:tc>
        <w:tc>
          <w:tcPr>
            <w:tcW w:w="939"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乡镇</w:t>
            </w:r>
          </w:p>
        </w:tc>
        <w:tc>
          <w:tcPr>
            <w:tcW w:w="770"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生猪</w:t>
            </w:r>
          </w:p>
        </w:tc>
        <w:tc>
          <w:tcPr>
            <w:tcW w:w="683"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蛋鸡</w:t>
            </w:r>
          </w:p>
        </w:tc>
        <w:tc>
          <w:tcPr>
            <w:tcW w:w="769"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肉鸡</w:t>
            </w:r>
          </w:p>
        </w:tc>
        <w:tc>
          <w:tcPr>
            <w:tcW w:w="684"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肉牛</w:t>
            </w:r>
          </w:p>
        </w:tc>
        <w:tc>
          <w:tcPr>
            <w:tcW w:w="645"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桃溪镇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2500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14000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96000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2</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张母桥镇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1160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50000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3</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汤池镇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1050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4</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干汊河镇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4100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43000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35000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400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5</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千人桥镇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2100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24000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6</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万佛湖镇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3300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41000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500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7</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柏林乡</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13080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18000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139000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8</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百神庙镇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2950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40000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22000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9</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南港镇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9150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50000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72000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10</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舒茶镇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1660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30000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44000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11</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棠树乡</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15730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495000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120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12</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阙店乡</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3450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40000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13</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城关镇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8780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18000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233000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14</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五显镇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720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77000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15</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高峰乡</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18000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16</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春秋乡</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800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21000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45000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17</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杭埠镇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125000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18</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山七镇</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76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30000</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9" w:type="pct"/>
            <w:gridSpan w:val="2"/>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合计</w:t>
            </w:r>
          </w:p>
        </w:tc>
        <w:tc>
          <w:tcPr>
            <w:tcW w:w="770"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70530</w:t>
            </w:r>
          </w:p>
        </w:tc>
        <w:tc>
          <w:tcPr>
            <w:tcW w:w="683"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249000</w:t>
            </w:r>
          </w:p>
        </w:tc>
        <w:tc>
          <w:tcPr>
            <w:tcW w:w="769"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1586000</w:t>
            </w:r>
          </w:p>
        </w:tc>
        <w:tc>
          <w:tcPr>
            <w:tcW w:w="684"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1020</w:t>
            </w:r>
          </w:p>
        </w:tc>
        <w:tc>
          <w:tcPr>
            <w:tcW w:w="645"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5380</w:t>
            </w:r>
          </w:p>
        </w:tc>
      </w:tr>
    </w:tbl>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3.1.3 舒城县规模养殖概况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根据调查，舒城县规模养殖场共168家。规模场主要分布在柏林乡、棠树乡、桃溪镇、南港镇等乡镇。</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表3-2 舒城县各乡镇畜禽规模养殖场统计表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3058"/>
        <w:gridCol w:w="4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序号</w:t>
            </w:r>
          </w:p>
        </w:tc>
        <w:tc>
          <w:tcPr>
            <w:tcW w:w="1794"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乡镇</w:t>
            </w:r>
          </w:p>
        </w:tc>
        <w:tc>
          <w:tcPr>
            <w:tcW w:w="2351"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规模养殖场（家）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桃溪镇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2</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张母桥镇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3</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汤池镇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4</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干汊河镇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5</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千人桥镇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6</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万佛湖镇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7</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柏林乡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8</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百神庙镇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9</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南港镇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10</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舒茶镇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11</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棠树乡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12</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阙店乡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13</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城关镇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14</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五显镇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15</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高峰乡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16</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春秋乡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17</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杭埠镇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18</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山七镇</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合计</w:t>
            </w:r>
          </w:p>
        </w:tc>
        <w:tc>
          <w:tcPr>
            <w:tcW w:w="23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168</w:t>
            </w:r>
          </w:p>
        </w:tc>
      </w:tr>
    </w:tbl>
    <w:p>
      <w:pPr>
        <w:adjustRightInd w:val="0"/>
        <w:spacing w:line="360" w:lineRule="auto"/>
        <w:jc w:val="left"/>
        <w:outlineLvl w:val="1"/>
        <w:rPr>
          <w:rFonts w:ascii="Times New Roman" w:hAnsi="Times New Roman" w:eastAsia="黑体" w:cs="Times New Roman"/>
          <w:sz w:val="32"/>
          <w:szCs w:val="32"/>
        </w:rPr>
      </w:pPr>
      <w:bookmarkStart w:id="15" w:name="_Toc139438724"/>
      <w:r>
        <w:rPr>
          <w:rFonts w:ascii="Times New Roman" w:hAnsi="Times New Roman" w:eastAsia="黑体" w:cs="Times New Roman"/>
          <w:sz w:val="32"/>
          <w:szCs w:val="32"/>
        </w:rPr>
        <w:t>3.2 畜禽养殖污染物排放情况</w:t>
      </w:r>
      <w:bookmarkEnd w:id="15"/>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3.2.1 畜禽养殖业污染物排放量</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第二次全国污染源普查农业污染源产排污系数手册》和2022年6月24日农业农村部办公厅、生态环境部办公厅联合发布的《畜禽养殖场（户）粪污处理设施建设技术指南》中相关参数计算舒城县畜禽规模养殖场污染物产生量及排放量。</w:t>
      </w:r>
    </w:p>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3.2.1.1 舒城县生猪规模养殖场污染物产生情况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舒城县生猪规模养殖场产生污染物化学需氧量为4874.41t/yr、总氮391.53t/yr、氨氮108.77t/yr、总磷为93.59t/yr，各乡镇污染物产生量详见表3-3。</w:t>
      </w:r>
    </w:p>
    <w:p>
      <w:pPr>
        <w:snapToGrid w:val="0"/>
        <w:jc w:val="center"/>
        <w:rPr>
          <w:rFonts w:ascii="Times New Roman" w:hAnsi="Times New Roman" w:eastAsia="仿宋" w:cs="Times New Roman"/>
          <w:sz w:val="32"/>
        </w:rPr>
      </w:pPr>
      <w:r>
        <w:rPr>
          <w:rFonts w:ascii="Times New Roman" w:hAnsi="Times New Roman" w:eastAsia="仿宋" w:cs="Times New Roman"/>
          <w:sz w:val="30"/>
          <w:szCs w:val="30"/>
        </w:rPr>
        <w:t>表3-3 舒城县生猪规模养殖粪污产生情况（单位：t/yr）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450"/>
        <w:gridCol w:w="1657"/>
        <w:gridCol w:w="1464"/>
        <w:gridCol w:w="15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85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972" w:type="pct"/>
            <w:shd w:val="clear" w:color="auto" w:fill="auto"/>
            <w:noWrap/>
            <w:vAlign w:val="center"/>
          </w:tcPr>
          <w:p>
            <w:pPr>
              <w:widowControl/>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化学需氧量</w:t>
            </w:r>
          </w:p>
        </w:tc>
        <w:tc>
          <w:tcPr>
            <w:tcW w:w="859" w:type="pct"/>
            <w:shd w:val="clear" w:color="auto" w:fill="auto"/>
            <w:noWrap/>
            <w:vAlign w:val="center"/>
          </w:tcPr>
          <w:p>
            <w:pPr>
              <w:widowControl/>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总氮</w:t>
            </w:r>
          </w:p>
        </w:tc>
        <w:tc>
          <w:tcPr>
            <w:tcW w:w="916" w:type="pct"/>
            <w:shd w:val="clear" w:color="auto" w:fill="auto"/>
            <w:noWrap/>
            <w:vAlign w:val="center"/>
          </w:tcPr>
          <w:p>
            <w:pPr>
              <w:widowControl/>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氨氮</w:t>
            </w:r>
          </w:p>
        </w:tc>
        <w:tc>
          <w:tcPr>
            <w:tcW w:w="916" w:type="pct"/>
            <w:shd w:val="clear" w:color="auto" w:fill="auto"/>
            <w:noWrap/>
            <w:vAlign w:val="center"/>
          </w:tcPr>
          <w:p>
            <w:pPr>
              <w:widowControl/>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172.78</w:t>
            </w:r>
          </w:p>
        </w:tc>
        <w:tc>
          <w:tcPr>
            <w:tcW w:w="859"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13.88</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3.86</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80.17</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6.44</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1.79</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72.57</w:t>
            </w:r>
          </w:p>
        </w:tc>
        <w:tc>
          <w:tcPr>
            <w:tcW w:w="8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5.83</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1.62</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283.36</w:t>
            </w:r>
          </w:p>
        </w:tc>
        <w:tc>
          <w:tcPr>
            <w:tcW w:w="8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22.76</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6.32</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145.13</w:t>
            </w:r>
          </w:p>
        </w:tc>
        <w:tc>
          <w:tcPr>
            <w:tcW w:w="859"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11.66</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3.24</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228.07</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18.32</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5.09</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903.97</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72.61</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20.17</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203.88</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16.38</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4.55</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632.37</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50.79</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14.11</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114.72</w:t>
            </w:r>
          </w:p>
        </w:tc>
        <w:tc>
          <w:tcPr>
            <w:tcW w:w="8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9.21</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2.56</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1087.12</w:t>
            </w:r>
          </w:p>
        </w:tc>
        <w:tc>
          <w:tcPr>
            <w:tcW w:w="8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87.32</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24.26</w:t>
            </w:r>
          </w:p>
        </w:tc>
        <w:tc>
          <w:tcPr>
            <w:tcW w:w="91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238.43</w:t>
            </w:r>
          </w:p>
        </w:tc>
        <w:tc>
          <w:tcPr>
            <w:tcW w:w="859"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19.15</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5.32</w:t>
            </w:r>
          </w:p>
        </w:tc>
        <w:tc>
          <w:tcPr>
            <w:tcW w:w="916"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606.79</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48.74</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13.54</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49.76</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1.11</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55.29</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4.44</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1.23</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8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97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59"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合计</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4874.41</w:t>
            </w:r>
          </w:p>
        </w:tc>
        <w:tc>
          <w:tcPr>
            <w:tcW w:w="85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391.53</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108.77</w:t>
            </w:r>
          </w:p>
        </w:tc>
        <w:tc>
          <w:tcPr>
            <w:tcW w:w="91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93.59</w:t>
            </w:r>
          </w:p>
        </w:tc>
      </w:tr>
    </w:tbl>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3.2.1.2 舒城县蛋鸡规模养殖场污染物产生情况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舒城县蛋鸡规模养殖场产生污染物化学需氧量为3088.35t/yr、总氮152.64t/yr、氨氮11.94t/yr、总磷为43.32t/yr，各乡镇污染物产生量详见表3-4。</w:t>
      </w:r>
    </w:p>
    <w:p>
      <w:pPr>
        <w:snapToGrid w:val="0"/>
        <w:jc w:val="center"/>
        <w:rPr>
          <w:rFonts w:ascii="Times New Roman" w:hAnsi="Times New Roman" w:eastAsia="仿宋" w:cs="Times New Roman"/>
          <w:sz w:val="32"/>
        </w:rPr>
      </w:pPr>
      <w:r>
        <w:rPr>
          <w:rFonts w:ascii="Times New Roman" w:hAnsi="Times New Roman" w:eastAsia="仿宋" w:cs="Times New Roman"/>
          <w:sz w:val="30"/>
          <w:szCs w:val="30"/>
        </w:rPr>
        <w:t>表3-4 舒城县蛋鸡规模养殖粪污产生情况（单位：t/yr）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60"/>
        <w:gridCol w:w="1842"/>
        <w:gridCol w:w="1560"/>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108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832"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76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173.64</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8.58</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0.67</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533.33</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26.36</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2.06</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223.25</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11.03</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0.86</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496.12</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24.52</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1.92</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620.15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30.65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372.09</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18.39</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223.25</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11.03</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0.86</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186.05</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9.2</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0.72</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260.46</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12.87</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1.01</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3088.35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152.63</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11.94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43.32</w:t>
            </w:r>
          </w:p>
        </w:tc>
      </w:tr>
    </w:tbl>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3.2.1.3 舒城县肉鸡规模养殖场污染物产生情况</w:t>
      </w:r>
    </w:p>
    <w:p>
      <w:pPr>
        <w:spacing w:line="360" w:lineRule="auto"/>
        <w:ind w:firstLine="640" w:firstLineChars="200"/>
        <w:rPr>
          <w:rFonts w:ascii="Times New Roman" w:hAnsi="Times New Roman" w:eastAsia="仿宋" w:cs="Times New Roman"/>
          <w:sz w:val="32"/>
        </w:rPr>
      </w:pPr>
      <w:bookmarkStart w:id="16" w:name="_Hlk137558172"/>
      <w:r>
        <w:rPr>
          <w:rFonts w:ascii="Times New Roman" w:hAnsi="Times New Roman" w:eastAsia="仿宋" w:cs="Times New Roman"/>
          <w:sz w:val="32"/>
        </w:rPr>
        <w:t>舒城县肉鸡规模养殖场产生污染物化学需氧量为4279.03t/yr、总氮158.60t/yr、氨氮58.71t/yr、总磷为34.89t/yr，各乡镇污染物产生量详见表3-5。</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表3-5 舒城县蛋鸡规模养殖粪污产生情况（单位：t/yr）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60"/>
        <w:gridCol w:w="1842"/>
        <w:gridCol w:w="1560"/>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108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832"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76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bookmarkEnd w:id="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259.01</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9.6</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3.55</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134.9</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1.85</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94.43</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3.5</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64.75</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2.4</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0.89</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110.62</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4.1</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1.52</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375.02</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13.9</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5.14</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59.36</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0.81</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194.26</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7.2</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2.67</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118.71</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4.4</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1.63</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1335.51</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49.5</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18.32</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107.92</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1.48</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628.63</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23.3</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8.62</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207.75</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7.7</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2.85</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48.56</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0.67</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121.41</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4.5</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1.67</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337.25</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12.5</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4.63</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108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80.94</w:t>
            </w:r>
          </w:p>
        </w:tc>
        <w:tc>
          <w:tcPr>
            <w:tcW w:w="915"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w:t>
            </w:r>
          </w:p>
        </w:tc>
        <w:tc>
          <w:tcPr>
            <w:tcW w:w="832"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1.11</w:t>
            </w:r>
          </w:p>
        </w:tc>
        <w:tc>
          <w:tcPr>
            <w:tcW w:w="761" w:type="pct"/>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　</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总计</w:t>
            </w:r>
          </w:p>
        </w:tc>
        <w:tc>
          <w:tcPr>
            <w:tcW w:w="108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4279.03</w:t>
            </w:r>
          </w:p>
        </w:tc>
        <w:tc>
          <w:tcPr>
            <w:tcW w:w="91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158.6</w:t>
            </w:r>
          </w:p>
        </w:tc>
        <w:tc>
          <w:tcPr>
            <w:tcW w:w="832"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58.71</w:t>
            </w:r>
          </w:p>
        </w:tc>
        <w:tc>
          <w:tcPr>
            <w:tcW w:w="761"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34.89</w:t>
            </w:r>
          </w:p>
        </w:tc>
      </w:tr>
    </w:tbl>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3.2.1.4 舒城县肉牛规模养殖场污染物产生情况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舒城县肉牛规模养殖场产生污染物化学需氧量为1313.92t/yr、总氮32.83t/yr、氨氮7.81t/yr、总磷为5.30t/yr，各乡镇污染物产生量详见表3-6。</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表3-6 舒城县肉牛规模养殖粪污产生情况（单位：t/yr）</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1843"/>
        <w:gridCol w:w="1559"/>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1559" w:type="dxa"/>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1843" w:type="dxa"/>
            <w:tcBorders>
              <w:bottom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1559" w:type="dxa"/>
            <w:tcBorders>
              <w:bottom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1418" w:type="dxa"/>
            <w:tcBorders>
              <w:bottom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1297" w:type="dxa"/>
            <w:tcBorders>
              <w:bottom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515.26</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12.88</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3.06</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644.08</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16.09</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3.83</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154.58</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3.86</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0.92</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合计</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1313.92</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32.83</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7.81</w:t>
            </w:r>
          </w:p>
        </w:tc>
        <w:tc>
          <w:tcPr>
            <w:tcW w:w="12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5.30</w:t>
            </w:r>
          </w:p>
        </w:tc>
      </w:tr>
    </w:tbl>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3.2.1.5 舒城县羊规模养殖场污染物产生情况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舒城县羊规模养殖场产生污染物化学需氧量为148.73t/yr、总氮11.94t/yr、氨氮3.32t/yr、总磷为2.87t/yr，各乡镇污染物产生量详见表3-7。</w:t>
      </w:r>
    </w:p>
    <w:p>
      <w:pPr>
        <w:snapToGrid w:val="0"/>
        <w:jc w:val="center"/>
        <w:rPr>
          <w:rFonts w:ascii="Times New Roman" w:hAnsi="Times New Roman" w:eastAsia="仿宋" w:cs="Times New Roman"/>
          <w:sz w:val="32"/>
        </w:rPr>
      </w:pPr>
      <w:r>
        <w:rPr>
          <w:rFonts w:ascii="Times New Roman" w:hAnsi="Times New Roman" w:eastAsia="仿宋" w:cs="Times New Roman"/>
          <w:sz w:val="30"/>
          <w:szCs w:val="30"/>
        </w:rPr>
        <w:t>表3-7 舒城县羊规模养殖粪污产生情况（单位：t/yr）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60"/>
        <w:gridCol w:w="1842"/>
        <w:gridCol w:w="1560"/>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915"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1081"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915"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832"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761"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96.76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7.77</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2.16</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13.82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1.11</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0.31</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5.53</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0.44</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0.12</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27.64</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2.22</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0.62</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4.98</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0.4</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0.11</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　</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总计</w:t>
            </w:r>
          </w:p>
        </w:tc>
        <w:tc>
          <w:tcPr>
            <w:tcW w:w="1081" w:type="pc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bookmarkStart w:id="17" w:name="_Hlk137559825"/>
            <w:r>
              <w:rPr>
                <w:rFonts w:ascii="Times New Roman" w:hAnsi="Times New Roman" w:eastAsia="仿宋" w:cs="Times New Roman"/>
                <w:b/>
                <w:bCs/>
                <w:color w:val="000000"/>
                <w:kern w:val="0"/>
                <w:sz w:val="28"/>
                <w:szCs w:val="28"/>
              </w:rPr>
              <w:t>148.73</w:t>
            </w:r>
            <w:bookmarkEnd w:id="17"/>
          </w:p>
        </w:tc>
        <w:tc>
          <w:tcPr>
            <w:tcW w:w="915"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11.94</w:t>
            </w:r>
          </w:p>
        </w:tc>
        <w:tc>
          <w:tcPr>
            <w:tcW w:w="832"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3.32</w:t>
            </w:r>
          </w:p>
        </w:tc>
        <w:tc>
          <w:tcPr>
            <w:tcW w:w="761" w:type="pct"/>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2.87</w:t>
            </w:r>
          </w:p>
        </w:tc>
      </w:tr>
    </w:tbl>
    <w:p>
      <w:pPr>
        <w:outlineLvl w:val="3"/>
        <w:rPr>
          <w:rFonts w:ascii="Times New Roman" w:hAnsi="Times New Roman" w:eastAsia="仿宋" w:cs="Times New Roman"/>
          <w:sz w:val="32"/>
          <w:szCs w:val="32"/>
        </w:rPr>
      </w:pPr>
      <w:r>
        <w:rPr>
          <w:rFonts w:ascii="Times New Roman" w:hAnsi="Times New Roman" w:eastAsia="仿宋" w:cs="Times New Roman"/>
          <w:sz w:val="32"/>
          <w:szCs w:val="32"/>
        </w:rPr>
        <w:t>3.2.1.6舒城县规模养殖场污染物产生总体情况</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舒城县规模养殖场产生污染物总体情况为：化学需氧量为13704.43t/yr、总氮747.53t/yr、氨氮190.55t/yr、总磷为179.97t/yr，各乡镇污染物产生量详见表3-8，规模养殖畜种粪污产生情况详见表3-9。</w:t>
      </w:r>
    </w:p>
    <w:p>
      <w:pPr>
        <w:snapToGrid w:val="0"/>
        <w:jc w:val="center"/>
        <w:rPr>
          <w:rFonts w:ascii="Times New Roman" w:hAnsi="Times New Roman" w:eastAsia="仿宋" w:cs="Times New Roman"/>
          <w:sz w:val="32"/>
        </w:rPr>
      </w:pPr>
      <w:r>
        <w:rPr>
          <w:rFonts w:ascii="Times New Roman" w:hAnsi="Times New Roman" w:eastAsia="仿宋" w:cs="Times New Roman"/>
          <w:sz w:val="30"/>
          <w:szCs w:val="30"/>
        </w:rPr>
        <w:t>表3-8 舒城县规模养殖粪污产生情况（单位：t/yr）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60"/>
        <w:gridCol w:w="1842"/>
        <w:gridCol w:w="1560"/>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序号</w:t>
            </w:r>
          </w:p>
        </w:tc>
        <w:tc>
          <w:tcPr>
            <w:tcW w:w="915"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乡镇</w:t>
            </w:r>
          </w:p>
        </w:tc>
        <w:tc>
          <w:tcPr>
            <w:tcW w:w="1081"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915"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832"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761" w:type="pct"/>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桃溪镇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605.43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32.06</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8.08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张母桥镇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215.07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11.44</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3.64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汤池镇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72.57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5.83</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1.62</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干汊河镇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1426.38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65.5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12.74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千人桥镇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209.88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14.06</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4.13</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万佛湖镇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1079.53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46.28</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12.6</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柏林乡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1516.06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98.65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26.48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百神庙镇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764.89</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43.54</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7.4</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9</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南港镇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1446.78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88.64</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19.18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10</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舒茶镇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605.52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5.63</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11</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棠树乡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2604.85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142.9</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44.12</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12</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阙店乡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346.35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23.15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6.8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城关镇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1458.67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83.07</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23.02</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五显镇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443.56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20.9</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4.68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高峰乡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53.54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2.2</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0.78</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春秋乡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437.16</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21.81</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3.91</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杭埠镇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337.25</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12.5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4.63</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18</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山七镇</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80.94</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1.11</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　</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合计</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13704.43</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747.53</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190.55</w:t>
            </w:r>
          </w:p>
        </w:tc>
        <w:tc>
          <w:tcPr>
            <w:tcW w:w="7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179.97</w:t>
            </w:r>
          </w:p>
        </w:tc>
      </w:tr>
    </w:tbl>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根据畜种粪污产生情况，生猪和肉鸡养殖业的污染物产生量较大。各乡镇中</w:t>
      </w:r>
      <w:r>
        <w:rPr>
          <w:rFonts w:hint="eastAsia" w:ascii="Times New Roman" w:hAnsi="Times New Roman" w:eastAsia="仿宋" w:cs="Times New Roman"/>
          <w:sz w:val="32"/>
        </w:rPr>
        <w:t>棠</w:t>
      </w:r>
      <w:r>
        <w:rPr>
          <w:rFonts w:ascii="Times New Roman" w:hAnsi="Times New Roman" w:eastAsia="仿宋" w:cs="Times New Roman"/>
          <w:sz w:val="32"/>
        </w:rPr>
        <w:t>树乡、柏林乡、干汊河镇、南港镇、城关镇畜禽养殖污染物排放量较多。</w:t>
      </w:r>
    </w:p>
    <w:p>
      <w:pPr>
        <w:spacing w:line="400" w:lineRule="exact"/>
        <w:jc w:val="center"/>
        <w:rPr>
          <w:rFonts w:ascii="Times New Roman" w:hAnsi="Times New Roman" w:eastAsia="仿宋" w:cs="Times New Roman"/>
          <w:sz w:val="30"/>
          <w:szCs w:val="30"/>
        </w:rPr>
      </w:pPr>
      <w:r>
        <w:rPr>
          <w:rFonts w:ascii="Times New Roman" w:hAnsi="Times New Roman" w:eastAsia="仿宋" w:cs="Times New Roman"/>
          <w:sz w:val="30"/>
          <w:szCs w:val="30"/>
        </w:rPr>
        <w:t>表3-9 舒城县规模养殖畜种粪污产生情况（单位：t/yr）</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868"/>
        <w:gridCol w:w="1868"/>
        <w:gridCol w:w="1866"/>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畜种</w:t>
            </w:r>
          </w:p>
        </w:tc>
        <w:tc>
          <w:tcPr>
            <w:tcW w:w="10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化学需氧量</w:t>
            </w:r>
          </w:p>
        </w:tc>
        <w:tc>
          <w:tcPr>
            <w:tcW w:w="1096"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总氮</w:t>
            </w:r>
          </w:p>
        </w:tc>
        <w:tc>
          <w:tcPr>
            <w:tcW w:w="109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氨氮</w:t>
            </w:r>
          </w:p>
        </w:tc>
        <w:tc>
          <w:tcPr>
            <w:tcW w:w="1095" w:type="pct"/>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生猪</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4874.41</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391.53</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108.77</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93.59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蛋鸡</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3088.34</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152.63</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11.94</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肉鸡</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4279.03</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158.6</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58.71</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肉牛</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1313.92</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32.83</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7.81</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羊</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148.73</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11.94</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3.32</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合计</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13704.43</w:t>
            </w:r>
          </w:p>
        </w:tc>
        <w:tc>
          <w:tcPr>
            <w:tcW w:w="10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747.53</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190.55</w:t>
            </w:r>
          </w:p>
        </w:tc>
        <w:tc>
          <w:tcPr>
            <w:tcW w:w="10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179.97</w:t>
            </w:r>
          </w:p>
        </w:tc>
      </w:tr>
    </w:tbl>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3.2.2 畜禽养殖污染物处理方式和现状</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（1）舒城县畜禽养殖污染物处理方式</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因地制宜、因场施策，畜禽养殖业转型升级不断加快，绿色发展已成共识，过去养殖场粪便乱堆乱放、污水横流、蝇虫乱飞的现象早已彻底改变，取而代之的是场内干净整洁的环境、场外清澈见底的沟渠、场周明显改善的空气质量，种养结合紧密，农牧有效循环，粪肥（或有机肥）还田比例不断提升。目前，全县畜禽规模养殖场粪污处理设施装备配套合格率保持在95%以上，畜禽粪污综合利用率达到85%</w:t>
      </w:r>
      <w:r>
        <w:rPr>
          <w:rFonts w:hint="eastAsia" w:ascii="Times New Roman" w:hAnsi="Times New Roman" w:eastAsia="仿宋" w:cs="Times New Roman"/>
          <w:sz w:val="32"/>
          <w:szCs w:val="32"/>
        </w:rPr>
        <w:t>以上</w:t>
      </w:r>
      <w:r>
        <w:rPr>
          <w:rFonts w:ascii="Times New Roman" w:hAnsi="Times New Roman" w:eastAsia="仿宋" w:cs="Times New Roman"/>
          <w:sz w:val="32"/>
          <w:szCs w:val="32"/>
        </w:rPr>
        <w:t>。</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扎实推进畜禽粪污治理和资源化利用工作，始终坚持以项目实施为重要抓手，采用上级项目资金、县级财政资金和养殖主体的自筹资金等多方投入的方式，共同支持养殖场粪污处理和资源化利用设施建设，“十三五”期间先后组织实施了省财政畜禽粪污综合利用试点项目、舒城县农业面源污染治理项目、舒城县朱槽沟和民主河流域养殖场污染治理项目、舒城县秸秆综合利用试点项目等。2020年又成功申报中央预算内投资畜禽粪污资源化利用整县推进项目，极大的提高了全县养殖场粪污处理设施的配套，基本解决了全县养殖场粪污处理设施配套不足问题，为畜禽粪污资源化利用提供了前提条件和重要支撑。</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（2）积累畜禽粪污治理和资源化利用技术模式和典型经验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经过多年畜禽养殖污染物治理实践，舒城县总结凝练出“截污建池、就地制肥、就近还田”和“异地集中处理”二大模式，重点推广“干清粪+堆肥发酵+肥水(或沼液)农田利用”“粪污全量收集+干湿分离+堆肥发酵+肥水(或沼液)农田利用”“粪污全量收集+深度厌氧发酵+农田利用”“异位发酵床技术”“肉鸡垫料堆肥利用”“异地生产有机肥”六项技术。中小养殖户按照“截污-建池-腐熟-还田”环节，配套建设雨污分流、粪污贮存腐熟以及粪肥还田利用设施等，实现粪污就近就地还田利用；规模养殖场按照“减量-截污-建池-制肥-收运-还田”环节，采取雨污分流、饮污分流、干湿分离等措施，配套建设节水设施、雨污分流管网、干粪堆肥场、粪污贮存发酵池、沼气池、黑膜池、异位发酵床等设施，实现粪污减量产生、全量收集、发酵制肥，再通过自我配套土地或与种植大户或家庭农场进行对接实现粪肥还田利用；此外，建成了舒城县沃土肥业有限公司，将畜禽粪污的制成商品有机肥或复混肥还田利用，实现畜禽粪污异地集中处理模式。</w:t>
      </w:r>
    </w:p>
    <w:p>
      <w:pPr>
        <w:adjustRightInd w:val="0"/>
        <w:spacing w:line="360" w:lineRule="auto"/>
        <w:jc w:val="left"/>
        <w:outlineLvl w:val="1"/>
        <w:rPr>
          <w:rFonts w:ascii="Times New Roman" w:hAnsi="Times New Roman" w:eastAsia="黑体" w:cs="Times New Roman"/>
          <w:sz w:val="32"/>
          <w:szCs w:val="32"/>
        </w:rPr>
      </w:pPr>
      <w:bookmarkStart w:id="18" w:name="_Toc139438725"/>
      <w:r>
        <w:rPr>
          <w:rFonts w:ascii="Times New Roman" w:hAnsi="Times New Roman" w:eastAsia="黑体" w:cs="Times New Roman"/>
          <w:sz w:val="32"/>
          <w:szCs w:val="32"/>
        </w:rPr>
        <w:t>3.3 禁养区划分</w:t>
      </w:r>
      <w:bookmarkEnd w:id="18"/>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2016年6月，舒城县印发了《舒城县畜禽养殖禁养区划定方案》（舒政办秘〔2016〕61号），全县共划定禁养区数量26个，禁养区面积625平方公里。2019年，舒城县对全县禁养区进一步规范调整，调整后的禁养区数量为34个，禁养区面积360平方公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根据《舒城县畜禽养殖禁养区划定方案（修订）》（舒政办秘〔2019〕80号），禁养区划分范围如下：</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（1）饮用水水源保护区。饮用水水源保护区共18个，面积共计84.584平方公里，为舒城县集中式饮用水水源地一、二级保护区内。</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风景名胜区。万佛山-万佛湖(龙河口水库)风景名胜区含万佛山自然保护区核心区、缓冲区)，包含万佛山自然保护区，万佛湖镇等9个乡镇集中式饮用水源保护区，万佛湖镇、五显镇、山七镇、汤池镇、河棚镇5个城镇建成区，阙店、杜店、范家店、高峰、城冲5个人口集中区)，面积共计207平方公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（3）人口集中区。城关镇和建制镇建成区、县经济开发区(城关园区)居民区、乡政府所在地街道、文化教育等人口集中区域范围，共计15个，面积共计68.36平方公里。</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（4）法律、法规规定禁止畜禽养殖的其它区域。</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禁养区内严禁新建、扩建、改建各类畜禽规模养殖户或畜禽规模化养殖场（养殖区），禁止一切经营性畜禽规模养殖活动，农户自养畜禽必须圈养，并做好污染治理和废弃物综合利用。现有畜禽规模养殖户或畜禽规模化养殖场（养殖区）须在规定期限内完成关闭、搬迁，并拆除原有养殖设施。</w:t>
      </w:r>
    </w:p>
    <w:p>
      <w:pPr>
        <w:adjustRightInd w:val="0"/>
        <w:spacing w:line="360" w:lineRule="auto"/>
        <w:jc w:val="left"/>
        <w:outlineLvl w:val="1"/>
        <w:rPr>
          <w:rFonts w:ascii="Times New Roman" w:hAnsi="Times New Roman" w:eastAsia="黑体" w:cs="Times New Roman"/>
          <w:sz w:val="32"/>
          <w:szCs w:val="32"/>
        </w:rPr>
      </w:pPr>
      <w:bookmarkStart w:id="19" w:name="_Toc139438726"/>
      <w:r>
        <w:rPr>
          <w:rFonts w:ascii="Times New Roman" w:hAnsi="Times New Roman" w:eastAsia="黑体" w:cs="Times New Roman"/>
          <w:sz w:val="32"/>
          <w:szCs w:val="32"/>
        </w:rPr>
        <w:t>3.4 种养结合现状</w:t>
      </w:r>
      <w:bookmarkEnd w:id="19"/>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3.4.1 区域种植面积</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舒城县2022年农业农村工作总结，2022年舒城县粮食播种面积93.88万亩、同比增长0.16%，总产36.49万吨、同比增长0.08%，亩产389公斤，亩产基本持平。2022年油菜15万亩、总产2.38万吨，比去年14.36万亩、总产2.29万吨，面积增长4.5%，总产增长3.9%。全县蔬菜播种面积36.2万亩，产量66.1万吨，产值19.7亿元。食用菌产量1.4万吨，同比增长32%。</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2022年预计全县水果面积1.35万亩，产量2.0万吨，分别同比增长11.0%、21.3%。中药材面积2.3万亩，产量0.41万吨，分别同比增长12.5%、18.2%。全县茶园面积13.3万亩，产量4000吨，综合产值21.5亿元。</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表3-10 农林土地利用面积统计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类别</w:t>
            </w: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指标</w:t>
            </w: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面积（公顷）</w:t>
            </w: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产量（吨）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粮食作物</w:t>
            </w: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粮食</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62587</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364900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Merge w:val="restar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经济作物</w:t>
            </w: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油料</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10000</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Merge w:val="continue"/>
            <w:vAlign w:val="center"/>
          </w:tcPr>
          <w:p>
            <w:pPr>
              <w:snapToGrid w:val="0"/>
              <w:jc w:val="center"/>
              <w:rPr>
                <w:rFonts w:ascii="Times New Roman" w:hAnsi="Times New Roman" w:eastAsia="仿宋" w:cs="Times New Roman"/>
                <w:b/>
                <w:bCs/>
                <w:sz w:val="28"/>
                <w:szCs w:val="28"/>
              </w:rPr>
            </w:pP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中药材</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1533</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Merge w:val="continue"/>
            <w:vAlign w:val="center"/>
          </w:tcPr>
          <w:p>
            <w:pPr>
              <w:snapToGrid w:val="0"/>
              <w:jc w:val="center"/>
              <w:rPr>
                <w:rFonts w:ascii="Times New Roman" w:hAnsi="Times New Roman" w:eastAsia="仿宋" w:cs="Times New Roman"/>
                <w:b/>
                <w:bCs/>
                <w:sz w:val="28"/>
                <w:szCs w:val="28"/>
              </w:rPr>
            </w:pP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蔬菜</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24133</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Merge w:val="continue"/>
            <w:vAlign w:val="center"/>
          </w:tcPr>
          <w:p>
            <w:pPr>
              <w:snapToGrid w:val="0"/>
              <w:jc w:val="center"/>
              <w:rPr>
                <w:rFonts w:ascii="Times New Roman" w:hAnsi="Times New Roman" w:eastAsia="仿宋" w:cs="Times New Roman"/>
                <w:b/>
                <w:bCs/>
                <w:sz w:val="28"/>
                <w:szCs w:val="28"/>
              </w:rPr>
            </w:pP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水果</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900</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4" w:type="dxa"/>
            <w:vMerge w:val="continue"/>
            <w:vAlign w:val="center"/>
          </w:tcPr>
          <w:p>
            <w:pPr>
              <w:snapToGrid w:val="0"/>
              <w:jc w:val="center"/>
              <w:rPr>
                <w:rFonts w:ascii="Times New Roman" w:hAnsi="Times New Roman" w:eastAsia="仿宋" w:cs="Times New Roman"/>
                <w:b/>
                <w:bCs/>
                <w:sz w:val="28"/>
                <w:szCs w:val="28"/>
              </w:rPr>
            </w:pPr>
          </w:p>
        </w:tc>
        <w:tc>
          <w:tcPr>
            <w:tcW w:w="2074"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茶</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8867</w:t>
            </w:r>
          </w:p>
        </w:tc>
        <w:tc>
          <w:tcPr>
            <w:tcW w:w="2074" w:type="dxa"/>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4000</w:t>
            </w:r>
          </w:p>
        </w:tc>
      </w:tr>
    </w:tbl>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3.4.2 全县配套土地（消纳土地）情况分析</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舒城主要以种植水稻、小麦等粮食作物为主，根据《畜禽粪污土地承载力测算技术指南》测算原则，畜禽规模养殖场配套土地面积测算以粪肥氮养分供给进行核算，故养殖场粪肥养分供给量、单位土地粪肥养分需求量等均以氮为标的元素进行养分测算和比较。</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以保守原则进行测算，土壤氮养分为Ⅱ级，施肥供给养分占比45%，粪肥占施肥比例50%，当季利用率为25%，粪肥全部就地利用土地承载力为1.2猪当量/亩/当季，测算舒城各乡镇的配套土地粪肥消纳面积如表3-10所示。以《</w:t>
      </w:r>
      <w:r>
        <w:rPr>
          <w:rFonts w:hint="eastAsia" w:ascii="Times New Roman" w:hAnsi="Times New Roman" w:eastAsia="仿宋" w:cs="Times New Roman"/>
          <w:sz w:val="32"/>
        </w:rPr>
        <w:t>舒城县国土空间总体规划（</w:t>
      </w:r>
      <w:r>
        <w:rPr>
          <w:rFonts w:ascii="Times New Roman" w:hAnsi="Times New Roman" w:eastAsia="仿宋" w:cs="Times New Roman"/>
          <w:sz w:val="32"/>
        </w:rPr>
        <w:t>2021-2035年）》中</w:t>
      </w:r>
      <w:r>
        <w:rPr>
          <w:rFonts w:hint="eastAsia" w:ascii="Times New Roman" w:hAnsi="Times New Roman" w:eastAsia="仿宋" w:cs="Times New Roman"/>
          <w:sz w:val="32"/>
        </w:rPr>
        <w:t>基期耕地面积</w:t>
      </w:r>
      <w:r>
        <w:rPr>
          <w:rFonts w:ascii="Times New Roman" w:hAnsi="Times New Roman" w:eastAsia="仿宋" w:cs="Times New Roman"/>
          <w:sz w:val="32"/>
        </w:rPr>
        <w:t>为参考，</w:t>
      </w:r>
      <w:r>
        <w:rPr>
          <w:rFonts w:hint="eastAsia" w:ascii="Times New Roman" w:hAnsi="Times New Roman" w:eastAsia="仿宋" w:cs="Times New Roman"/>
          <w:sz w:val="32"/>
        </w:rPr>
        <w:t>现有农作物</w:t>
      </w:r>
      <w:r>
        <w:rPr>
          <w:rFonts w:ascii="Times New Roman" w:hAnsi="Times New Roman" w:eastAsia="仿宋" w:cs="Times New Roman"/>
          <w:sz w:val="32"/>
        </w:rPr>
        <w:t>种植面积还有</w:t>
      </w:r>
      <w:r>
        <w:rPr>
          <w:rFonts w:hint="eastAsia" w:ascii="Times New Roman" w:hAnsi="Times New Roman" w:eastAsia="仿宋" w:cs="Times New Roman"/>
          <w:sz w:val="32"/>
        </w:rPr>
        <w:t>较</w:t>
      </w:r>
      <w:r>
        <w:rPr>
          <w:rFonts w:ascii="Times New Roman" w:hAnsi="Times New Roman" w:eastAsia="仿宋" w:cs="Times New Roman"/>
          <w:sz w:val="32"/>
        </w:rPr>
        <w:t>大的空间消纳畜禽养殖所产生的粪肥。</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表3-11舒城县粪肥消纳土地情况表（单位：万亩）</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505"/>
        <w:gridCol w:w="4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乡镇</w:t>
            </w:r>
          </w:p>
        </w:tc>
        <w:tc>
          <w:tcPr>
            <w:tcW w:w="1470" w:type="pct"/>
            <w:vAlign w:val="center"/>
          </w:tcPr>
          <w:p>
            <w:pPr>
              <w:snapToGrid w:val="0"/>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耕地</w:t>
            </w:r>
            <w:r>
              <w:rPr>
                <w:rFonts w:ascii="Times New Roman" w:hAnsi="Times New Roman" w:eastAsia="仿宋" w:cs="Times New Roman"/>
                <w:b/>
                <w:bCs/>
                <w:sz w:val="28"/>
                <w:szCs w:val="28"/>
              </w:rPr>
              <w:t>面积</w:t>
            </w:r>
          </w:p>
        </w:tc>
        <w:tc>
          <w:tcPr>
            <w:tcW w:w="2533" w:type="pct"/>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现有粪肥需配套的消纳土地面积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桃溪镇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4.33</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张母桥镇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3.24</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汤池镇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2.64</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干汊河镇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5.32</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千人桥镇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6.19</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万佛湖镇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2.89</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柏林乡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8.34</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百神庙镇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5.70</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南港镇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4.82</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舒茶镇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3.42</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棠树乡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5.50</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阙店乡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2.96</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城关镇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5.45</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五显镇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2.31</w:t>
            </w:r>
          </w:p>
        </w:tc>
        <w:tc>
          <w:tcPr>
            <w:tcW w:w="25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高峰乡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1.62</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春秋乡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2.59</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杭埠镇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4.73</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山七镇</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1.71</w:t>
            </w:r>
          </w:p>
        </w:tc>
        <w:tc>
          <w:tcPr>
            <w:tcW w:w="253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总计</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73.72</w:t>
            </w:r>
          </w:p>
        </w:tc>
        <w:tc>
          <w:tcPr>
            <w:tcW w:w="2533" w:type="pct"/>
            <w:tcBorders>
              <w:top w:val="nil"/>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15.10</w:t>
            </w:r>
          </w:p>
        </w:tc>
      </w:tr>
    </w:tbl>
    <w:p>
      <w:pPr>
        <w:adjustRightInd w:val="0"/>
        <w:spacing w:line="360" w:lineRule="auto"/>
        <w:jc w:val="left"/>
        <w:outlineLvl w:val="1"/>
        <w:rPr>
          <w:rFonts w:ascii="Times New Roman" w:hAnsi="Times New Roman" w:eastAsia="黑体" w:cs="Times New Roman"/>
          <w:sz w:val="32"/>
          <w:szCs w:val="32"/>
        </w:rPr>
      </w:pPr>
      <w:bookmarkStart w:id="20" w:name="_Toc139438727"/>
      <w:r>
        <w:rPr>
          <w:rFonts w:ascii="Times New Roman" w:hAnsi="Times New Roman" w:eastAsia="黑体" w:cs="Times New Roman"/>
          <w:sz w:val="32"/>
          <w:szCs w:val="32"/>
        </w:rPr>
        <w:t>3.5 存在的问题</w:t>
      </w:r>
      <w:bookmarkEnd w:id="20"/>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w:t>
      </w:r>
      <w:r>
        <w:rPr>
          <w:rFonts w:hint="eastAsia" w:ascii="Times New Roman" w:hAnsi="Times New Roman" w:eastAsia="仿宋" w:cs="Times New Roman"/>
          <w:sz w:val="32"/>
          <w:szCs w:val="32"/>
        </w:rPr>
        <w:t>养殖主体畜禽粪污处理资金压力大。畜牧业经营属微利行业，市场波动性大，疫病风险高，一般</w:t>
      </w:r>
      <w:r>
        <w:rPr>
          <w:rFonts w:ascii="Times New Roman" w:hAnsi="Times New Roman" w:eastAsia="仿宋" w:cs="Times New Roman"/>
          <w:sz w:val="32"/>
          <w:szCs w:val="32"/>
        </w:rPr>
        <w:t>2-3年一个周期，中小规模养殖场投入粪污处理利用设施设备，维护运行等是一件极其困难的事情，这对于属微利的中小规模养殖场来说，资金投入难以承受。</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缺乏统筹规划，种养脱节矛盾仍然存在。“养畜的不种地、种地的不养畜”现象较为普遍。由于过于强调规模化、区域化发展，忽略了畜禽粪便等的综合利用，种养结合深度不够，导致种植业规模与养殖规模不相适应，无法完全消纳畜禽粪便，种养结合、互利共赢的生态循环模式难以大规模普及。此外，沼液、沼渣、腐熟的粪肥和肥水等是很好的有机肥料，但由于肥效低、肥效慢、施用量大，还田输送成本高，且气味难闻，不如化肥施用方便、快捷，还田难度大，广大种植户只顾眼前利益，不愿施用粪肥，易造成种养脱结。</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（3）由于舒城县特殊的地理环境，畜禽养殖体量偏小，沼气发电上网和生物天然气并网政策短期内难以落实；有机肥商品化生产、粪污资源化利用农机补贴政策落实等有待加强。</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粪污收储体系市场化运营水平仍需提升。实践表明，分区域建设畜禽粪便处理中心，通过专业化社会服务机构，将小规模的养殖场、散养户的畜禽粪便进行集中收集、运输、处理、利用，推进种养循环模式规模化推广，是解决中小规模养殖场粪便利用问题的有效措施。</w:t>
      </w:r>
      <w:r>
        <w:rPr>
          <w:rFonts w:hint="eastAsia" w:ascii="Times New Roman" w:hAnsi="Times New Roman" w:eastAsia="仿宋" w:cs="Times New Roman"/>
          <w:sz w:val="32"/>
          <w:szCs w:val="32"/>
        </w:rPr>
        <w:t>但舒城县现有粪污处理中心生产能力不足，畜禽粪污社会化服务体系建设不健全。</w:t>
      </w:r>
    </w:p>
    <w:p>
      <w:pPr>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21" w:name="_Toc139438728"/>
      <w:r>
        <w:rPr>
          <w:rFonts w:ascii="Times New Roman" w:hAnsi="Times New Roman" w:eastAsia="黑体" w:cs="Times New Roman"/>
          <w:sz w:val="44"/>
          <w:szCs w:val="44"/>
        </w:rPr>
        <w:t>第四章 《规划》目标</w:t>
      </w:r>
      <w:bookmarkEnd w:id="21"/>
    </w:p>
    <w:p>
      <w:pPr>
        <w:adjustRightInd w:val="0"/>
        <w:spacing w:line="360" w:lineRule="auto"/>
        <w:jc w:val="left"/>
        <w:outlineLvl w:val="1"/>
        <w:rPr>
          <w:rFonts w:ascii="Times New Roman" w:hAnsi="Times New Roman" w:eastAsia="黑体" w:cs="Times New Roman"/>
          <w:sz w:val="32"/>
          <w:szCs w:val="32"/>
        </w:rPr>
      </w:pPr>
      <w:bookmarkStart w:id="22" w:name="_Toc139438729"/>
      <w:r>
        <w:rPr>
          <w:rFonts w:ascii="Times New Roman" w:hAnsi="Times New Roman" w:eastAsia="黑体" w:cs="Times New Roman"/>
          <w:sz w:val="32"/>
          <w:szCs w:val="32"/>
        </w:rPr>
        <w:t>4.1 规划目标</w:t>
      </w:r>
      <w:bookmarkEnd w:id="22"/>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畜禽养殖业污染防治规划的总体目标：以城市总体规划和其他规划为基础、依据和引导，大力倡导发展生态畜牧业，构建种养结合、农牧循环发展模式，因地制宜建设粪污收集、贮存、处理、利用设施，实现以粪污资源化利用为主体的畜禽养殖污染防治目标</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到2025年，全县畜禽粪污综合利用率达到90%，畜禽规模养殖场粪污处理设施装备配套率达到97%，病死畜禽</w:t>
      </w:r>
      <w:r>
        <w:rPr>
          <w:rFonts w:hint="eastAsia" w:ascii="Times New Roman" w:hAnsi="Times New Roman" w:eastAsia="仿宋" w:cs="Times New Roman"/>
          <w:sz w:val="32"/>
          <w:szCs w:val="32"/>
        </w:rPr>
        <w:t>逐步</w:t>
      </w:r>
      <w:r>
        <w:rPr>
          <w:rFonts w:ascii="Times New Roman" w:hAnsi="Times New Roman" w:eastAsia="仿宋" w:cs="Times New Roman"/>
          <w:sz w:val="32"/>
          <w:szCs w:val="32"/>
        </w:rPr>
        <w:t>实现集中收集、统一无害化处理。畜禽规模养殖场粪污资源化利用台账建设</w:t>
      </w:r>
      <w:r>
        <w:rPr>
          <w:rFonts w:hint="eastAsia" w:ascii="Times New Roman" w:hAnsi="Times New Roman" w:eastAsia="仿宋" w:cs="Times New Roman"/>
          <w:sz w:val="32"/>
          <w:szCs w:val="32"/>
        </w:rPr>
        <w:t>全覆盖</w:t>
      </w:r>
      <w:r>
        <w:rPr>
          <w:rFonts w:ascii="Times New Roman" w:hAnsi="Times New Roman" w:eastAsia="仿宋" w:cs="Times New Roman"/>
          <w:sz w:val="32"/>
          <w:szCs w:val="32"/>
        </w:rPr>
        <w:t>。规模化畜禽养殖场新、改、扩建项目环境影响评价执行率达到100%。设有污水排放口的规模化畜禽养殖场（小区）排污许可证执行率100%。达标排放的畜禽规模养殖场自主监测覆盖率达到100%。</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到2027年，建立科学规范、权责清晰、约束有力的畜禽养殖废弃物资源化利用体系，构建种养结合循环发展机制。全县畜禽粪污综合利用率达到92%</w:t>
      </w:r>
      <w:r>
        <w:rPr>
          <w:rFonts w:hint="eastAsia" w:ascii="Times New Roman" w:hAnsi="Times New Roman" w:eastAsia="仿宋" w:cs="Times New Roman"/>
          <w:sz w:val="32"/>
          <w:szCs w:val="32"/>
        </w:rPr>
        <w:t>以上</w:t>
      </w:r>
      <w:r>
        <w:rPr>
          <w:rFonts w:ascii="Times New Roman" w:hAnsi="Times New Roman" w:eastAsia="仿宋" w:cs="Times New Roman"/>
          <w:sz w:val="32"/>
          <w:szCs w:val="32"/>
        </w:rPr>
        <w:t>，畜禽规模养殖场粪污处理设施装备配套率稳定在98%</w:t>
      </w:r>
      <w:r>
        <w:rPr>
          <w:rFonts w:hint="eastAsia" w:ascii="Times New Roman" w:hAnsi="Times New Roman" w:eastAsia="仿宋" w:cs="Times New Roman"/>
          <w:sz w:val="32"/>
          <w:szCs w:val="32"/>
        </w:rPr>
        <w:t>以上</w:t>
      </w:r>
      <w:r>
        <w:rPr>
          <w:rFonts w:ascii="Times New Roman" w:hAnsi="Times New Roman" w:eastAsia="仿宋" w:cs="Times New Roman"/>
          <w:sz w:val="32"/>
          <w:szCs w:val="32"/>
        </w:rPr>
        <w:t>，病死畜禽全面实现集中收集、统一无害化处理。畜禽规模养殖场粪污资源化利用台账建设</w:t>
      </w:r>
      <w:r>
        <w:rPr>
          <w:rFonts w:hint="eastAsia" w:ascii="Times New Roman" w:hAnsi="Times New Roman" w:eastAsia="仿宋" w:cs="Times New Roman"/>
          <w:sz w:val="32"/>
          <w:szCs w:val="32"/>
        </w:rPr>
        <w:t>保持全覆盖</w:t>
      </w:r>
      <w:r>
        <w:rPr>
          <w:rFonts w:ascii="Times New Roman" w:hAnsi="Times New Roman" w:eastAsia="仿宋" w:cs="Times New Roman"/>
          <w:sz w:val="32"/>
          <w:szCs w:val="32"/>
        </w:rPr>
        <w:t>。加强畜禽养殖废弃物资源化利用过程中的环境监管，规模养殖场年度执法检查做到全覆盖，禁养区内确需关闭搬迁的规模养殖场（户）实现全部整治，规模化畜禽养殖场新、改、扩建项目环境影响评价执行率稳定在100%。设有污水排放口的规模化畜禽养殖场（小区）排污许可证执行率稳定在100%。达标排放的畜禽规模养殖场自主监测覆盖率稳定在100%。</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w:t>
      </w:r>
      <w:r>
        <w:rPr>
          <w:rFonts w:ascii="Times New Roman" w:hAnsi="Times New Roman" w:eastAsia="仿宋" w:cs="Times New Roman"/>
          <w:bCs/>
          <w:color w:val="333333"/>
          <w:kern w:val="0"/>
          <w:sz w:val="30"/>
          <w:szCs w:val="30"/>
        </w:rPr>
        <w:t>4-1舒城县畜禽养殖污染防治规划目标</w:t>
      </w:r>
    </w:p>
    <w:tbl>
      <w:tblPr>
        <w:tblStyle w:val="8"/>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7"/>
        <w:gridCol w:w="3743"/>
        <w:gridCol w:w="1725"/>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b/>
                <w:bCs/>
                <w:kern w:val="0"/>
                <w:sz w:val="28"/>
                <w:szCs w:val="28"/>
              </w:rPr>
              <w:t>序号</w:t>
            </w:r>
          </w:p>
        </w:tc>
        <w:tc>
          <w:tcPr>
            <w:tcW w:w="2283"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b/>
                <w:bCs/>
                <w:kern w:val="0"/>
                <w:sz w:val="28"/>
                <w:szCs w:val="28"/>
              </w:rPr>
              <w:t>指标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b/>
                <w:bCs/>
                <w:kern w:val="0"/>
                <w:sz w:val="28"/>
                <w:szCs w:val="28"/>
              </w:rPr>
              <w:t>2025年目标</w:t>
            </w:r>
          </w:p>
        </w:tc>
        <w:tc>
          <w:tcPr>
            <w:tcW w:w="966" w:type="pct"/>
          </w:tcPr>
          <w:p>
            <w:pPr>
              <w:widowControl/>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2027年目标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w:t>
            </w:r>
          </w:p>
        </w:tc>
        <w:tc>
          <w:tcPr>
            <w:tcW w:w="2283" w:type="pct"/>
            <w:tcMar>
              <w:top w:w="0" w:type="dxa"/>
              <w:left w:w="108" w:type="dxa"/>
              <w:bottom w:w="0" w:type="dxa"/>
              <w:right w:w="108" w:type="dxa"/>
            </w:tcMar>
            <w:vAlign w:val="center"/>
          </w:tcPr>
          <w:p>
            <w:pPr>
              <w:widowControl/>
              <w:spacing w:line="44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畜禽粪污综合利用率（%）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90</w:t>
            </w:r>
          </w:p>
        </w:tc>
        <w:tc>
          <w:tcPr>
            <w:tcW w:w="966" w:type="pct"/>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2</w:t>
            </w:r>
          </w:p>
        </w:tc>
        <w:tc>
          <w:tcPr>
            <w:tcW w:w="2283" w:type="pct"/>
            <w:tcMar>
              <w:top w:w="0" w:type="dxa"/>
              <w:left w:w="108" w:type="dxa"/>
              <w:bottom w:w="0" w:type="dxa"/>
              <w:right w:w="108" w:type="dxa"/>
            </w:tcMar>
            <w:vAlign w:val="center"/>
          </w:tcPr>
          <w:p>
            <w:pPr>
              <w:widowControl/>
              <w:spacing w:line="44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畜禽规模养殖场粪污处理设施装备配套率（%）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97</w:t>
            </w:r>
          </w:p>
        </w:tc>
        <w:tc>
          <w:tcPr>
            <w:tcW w:w="966" w:type="pct"/>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3</w:t>
            </w:r>
          </w:p>
        </w:tc>
        <w:tc>
          <w:tcPr>
            <w:tcW w:w="2283" w:type="pct"/>
            <w:tcMar>
              <w:top w:w="0" w:type="dxa"/>
              <w:left w:w="108" w:type="dxa"/>
              <w:bottom w:w="0" w:type="dxa"/>
              <w:right w:w="108" w:type="dxa"/>
            </w:tcMar>
            <w:vAlign w:val="center"/>
          </w:tcPr>
          <w:p>
            <w:pPr>
              <w:widowControl/>
              <w:spacing w:line="44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规模化畜禽养殖场新、改、扩建项目环境影响评价执行率（%）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66" w:type="pct"/>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4</w:t>
            </w:r>
          </w:p>
        </w:tc>
        <w:tc>
          <w:tcPr>
            <w:tcW w:w="2283" w:type="pct"/>
            <w:tcMar>
              <w:top w:w="0" w:type="dxa"/>
              <w:left w:w="108" w:type="dxa"/>
              <w:bottom w:w="0" w:type="dxa"/>
              <w:right w:w="108" w:type="dxa"/>
            </w:tcMar>
            <w:vAlign w:val="center"/>
          </w:tcPr>
          <w:p>
            <w:pPr>
              <w:widowControl/>
              <w:spacing w:line="44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设有污水排放口的规模养殖场排污许可证执行率（%）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66" w:type="pct"/>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0"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5</w:t>
            </w:r>
          </w:p>
        </w:tc>
        <w:tc>
          <w:tcPr>
            <w:tcW w:w="2283" w:type="pct"/>
            <w:tcMar>
              <w:top w:w="0" w:type="dxa"/>
              <w:left w:w="108" w:type="dxa"/>
              <w:bottom w:w="0" w:type="dxa"/>
              <w:right w:w="108" w:type="dxa"/>
            </w:tcMar>
            <w:vAlign w:val="center"/>
          </w:tcPr>
          <w:p>
            <w:pPr>
              <w:widowControl/>
              <w:spacing w:line="44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排污的畜禽规模养殖场自行监测覆盖率（%）</w:t>
            </w:r>
          </w:p>
        </w:tc>
        <w:tc>
          <w:tcPr>
            <w:tcW w:w="1052" w:type="pct"/>
            <w:tcMar>
              <w:top w:w="0" w:type="dxa"/>
              <w:left w:w="108" w:type="dxa"/>
              <w:bottom w:w="0" w:type="dxa"/>
              <w:right w:w="108" w:type="dxa"/>
            </w:tcMar>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66" w:type="pct"/>
            <w:vAlign w:val="center"/>
          </w:tcPr>
          <w:p>
            <w:pPr>
              <w:widowControl/>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bl>
    <w:p>
      <w:pPr>
        <w:adjustRightInd w:val="0"/>
        <w:spacing w:line="360" w:lineRule="auto"/>
        <w:jc w:val="left"/>
        <w:outlineLvl w:val="1"/>
        <w:rPr>
          <w:rFonts w:ascii="Times New Roman" w:hAnsi="Times New Roman" w:eastAsia="黑体" w:cs="Times New Roman"/>
          <w:color w:val="FF0000"/>
          <w:sz w:val="32"/>
          <w:szCs w:val="32"/>
        </w:rPr>
      </w:pPr>
      <w:bookmarkStart w:id="23" w:name="_Toc25789"/>
      <w:bookmarkStart w:id="24" w:name="_Toc139438730"/>
      <w:r>
        <w:rPr>
          <w:rFonts w:ascii="Times New Roman" w:hAnsi="Times New Roman" w:eastAsia="黑体" w:cs="Times New Roman"/>
          <w:sz w:val="32"/>
          <w:szCs w:val="32"/>
        </w:rPr>
        <w:t>4.2 畜禽养殖环境承载力分析</w:t>
      </w:r>
      <w:bookmarkEnd w:id="23"/>
      <w:bookmarkEnd w:id="24"/>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4.2.1 土地承载力分析</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根据《畜禽粪污土地承载力测算技术指南》测算原则，以保守的方式，计算现有各乡镇耕地若全部为规模养殖场配套土地面积的情况下可以消纳的猪当量，即为各乡镇土地承载力情况。畜禽规模养殖场配套土地面积测算以粪肥氮养分供给进行核算，故养殖场粪肥养分供给量、单位土地粪肥养分需求量等均以氮为标的元素进行养分测算和比较。（主要参数：</w:t>
      </w:r>
      <w:r>
        <w:rPr>
          <w:rFonts w:hint="eastAsia" w:ascii="Times New Roman" w:hAnsi="Times New Roman" w:eastAsia="仿宋" w:cs="Times New Roman"/>
          <w:sz w:val="32"/>
          <w:szCs w:val="32"/>
        </w:rPr>
        <w:t>土壤氮养分为Ⅱ级，施肥供给养分占比</w:t>
      </w:r>
      <w:r>
        <w:rPr>
          <w:rFonts w:ascii="Times New Roman" w:hAnsi="Times New Roman" w:eastAsia="仿宋" w:cs="Times New Roman"/>
          <w:sz w:val="32"/>
          <w:szCs w:val="32"/>
        </w:rPr>
        <w:t>45%，粪肥占施肥比例50%，当季利用率为25%，粪肥全部就地利用土地承载力为1.2猪当量/亩/当季</w:t>
      </w:r>
      <w:r>
        <w:rPr>
          <w:rFonts w:hint="eastAsia" w:ascii="Times New Roman" w:hAnsi="Times New Roman" w:eastAsia="仿宋" w:cs="Times New Roman"/>
          <w:sz w:val="32"/>
          <w:szCs w:val="32"/>
        </w:rPr>
        <w:t>）</w:t>
      </w:r>
      <w:r>
        <w:rPr>
          <w:rFonts w:ascii="Times New Roman" w:hAnsi="Times New Roman" w:eastAsia="仿宋" w:cs="Times New Roman"/>
          <w:sz w:val="32"/>
          <w:szCs w:val="32"/>
        </w:rPr>
        <w:t>。</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舒城县现状畜禽规模</w:t>
      </w:r>
      <w:r>
        <w:rPr>
          <w:rFonts w:hint="eastAsia" w:ascii="Times New Roman" w:hAnsi="Times New Roman" w:eastAsia="仿宋" w:cs="Times New Roman"/>
          <w:sz w:val="32"/>
          <w:szCs w:val="32"/>
        </w:rPr>
        <w:t>养殖</w:t>
      </w:r>
      <w:r>
        <w:rPr>
          <w:rFonts w:ascii="Times New Roman" w:hAnsi="Times New Roman" w:eastAsia="仿宋" w:cs="Times New Roman"/>
          <w:sz w:val="32"/>
          <w:szCs w:val="32"/>
        </w:rPr>
        <w:t>折算成猪当量约为14.95万头，根据养殖现状和土地承载能力测算，舒城县土地可承载的畜禽养殖量为72.48万头猪当量，还有剩余79.37%的养殖环境容量</w:t>
      </w:r>
      <w:r>
        <w:rPr>
          <w:rFonts w:hint="eastAsia" w:ascii="Times New Roman" w:hAnsi="Times New Roman" w:eastAsia="仿宋" w:cs="Times New Roman"/>
          <w:sz w:val="32"/>
          <w:szCs w:val="32"/>
        </w:rPr>
        <w:t>，各乡镇土地承载情况如下表4</w:t>
      </w:r>
      <w:r>
        <w:rPr>
          <w:rFonts w:ascii="Times New Roman" w:hAnsi="Times New Roman" w:eastAsia="仿宋" w:cs="Times New Roman"/>
          <w:sz w:val="32"/>
          <w:szCs w:val="32"/>
        </w:rPr>
        <w:t>-2</w:t>
      </w:r>
      <w:r>
        <w:rPr>
          <w:rFonts w:hint="eastAsia" w:ascii="Times New Roman" w:hAnsi="Times New Roman" w:eastAsia="仿宋" w:cs="Times New Roman"/>
          <w:sz w:val="32"/>
          <w:szCs w:val="32"/>
        </w:rPr>
        <w:t>所示</w:t>
      </w:r>
      <w:r>
        <w:rPr>
          <w:rFonts w:ascii="Times New Roman" w:hAnsi="Times New Roman" w:eastAsia="仿宋" w:cs="Times New Roman"/>
          <w:sz w:val="32"/>
          <w:szCs w:val="32"/>
        </w:rPr>
        <w:t>。</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根据《舒城县农业十四五规划（</w:t>
      </w:r>
      <w:r>
        <w:rPr>
          <w:rFonts w:ascii="Times New Roman" w:hAnsi="Times New Roman" w:eastAsia="仿宋" w:cs="Times New Roman"/>
          <w:sz w:val="32"/>
          <w:szCs w:val="32"/>
        </w:rPr>
        <w:t>2021-2025年）》，舒城县畜禽养殖量达到“十四五”规划量时，约为38.5万个猪当量</w:t>
      </w:r>
      <w:r>
        <w:rPr>
          <w:rFonts w:hint="eastAsia" w:ascii="Times New Roman" w:hAnsi="Times New Roman" w:eastAsia="仿宋" w:cs="Times New Roman"/>
          <w:sz w:val="32"/>
          <w:szCs w:val="32"/>
        </w:rPr>
        <w:t>（含规模养殖场、养殖户），在土地承载力保持不变的情况下，到2</w:t>
      </w:r>
      <w:r>
        <w:rPr>
          <w:rFonts w:ascii="Times New Roman" w:hAnsi="Times New Roman" w:eastAsia="仿宋" w:cs="Times New Roman"/>
          <w:sz w:val="32"/>
          <w:szCs w:val="32"/>
        </w:rPr>
        <w:t>025</w:t>
      </w:r>
      <w:r>
        <w:rPr>
          <w:rFonts w:hint="eastAsia" w:ascii="Times New Roman" w:hAnsi="Times New Roman" w:eastAsia="仿宋" w:cs="Times New Roman"/>
          <w:sz w:val="32"/>
          <w:szCs w:val="32"/>
        </w:rPr>
        <w:t>年舒城县还剩余4</w:t>
      </w:r>
      <w:r>
        <w:rPr>
          <w:rFonts w:ascii="Times New Roman" w:hAnsi="Times New Roman" w:eastAsia="仿宋" w:cs="Times New Roman"/>
          <w:sz w:val="32"/>
          <w:szCs w:val="32"/>
        </w:rPr>
        <w:t>6.88</w:t>
      </w:r>
      <w:r>
        <w:rPr>
          <w:rFonts w:hint="eastAsia" w:ascii="Times New Roman" w:hAnsi="Times New Roman" w:eastAsia="仿宋" w:cs="Times New Roman"/>
          <w:sz w:val="32"/>
          <w:szCs w:val="32"/>
        </w:rPr>
        <w:t>%的养殖环境容量。</w:t>
      </w:r>
    </w:p>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表4-2舒城县畜禽粪污土地承载力分析表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2"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乡镇</w:t>
            </w:r>
          </w:p>
        </w:tc>
        <w:tc>
          <w:tcPr>
            <w:tcW w:w="1701"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现状畜禽养殖规模（猪当量/万头）</w:t>
            </w:r>
          </w:p>
        </w:tc>
        <w:tc>
          <w:tcPr>
            <w:tcW w:w="1701"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消纳的最大畜禽粪污量（猪当量/万头）</w:t>
            </w:r>
          </w:p>
        </w:tc>
        <w:tc>
          <w:tcPr>
            <w:tcW w:w="1701" w:type="dxa"/>
            <w:vAlign w:val="center"/>
          </w:tcPr>
          <w:p>
            <w:pPr>
              <w:snapToGrid w:val="0"/>
              <w:jc w:val="center"/>
              <w:rPr>
                <w:rFonts w:ascii="Times New Roman" w:hAnsi="Times New Roman" w:eastAsia="仿宋" w:cs="Times New Roman"/>
                <w:b/>
                <w:bCs/>
                <w:sz w:val="28"/>
                <w:szCs w:val="28"/>
                <w:vertAlign w:val="superscript"/>
              </w:rPr>
            </w:pPr>
            <w:r>
              <w:rPr>
                <w:rFonts w:ascii="Times New Roman" w:hAnsi="Times New Roman" w:eastAsia="仿宋" w:cs="Times New Roman"/>
                <w:b/>
                <w:bCs/>
                <w:sz w:val="28"/>
                <w:szCs w:val="28"/>
              </w:rPr>
              <w:t>畜禽粪污土地承载力（猪当量/万头）</w:t>
            </w:r>
            <w:r>
              <w:rPr>
                <w:rFonts w:ascii="Times New Roman" w:hAnsi="Times New Roman" w:eastAsia="仿宋" w:cs="Times New Roman"/>
                <w:b/>
                <w:bCs/>
                <w:sz w:val="28"/>
                <w:szCs w:val="28"/>
                <w:vertAlign w:val="superscript"/>
              </w:rPr>
              <w:t>1</w:t>
            </w:r>
          </w:p>
        </w:tc>
        <w:tc>
          <w:tcPr>
            <w:tcW w:w="1701" w:type="dxa"/>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剩余环境容量（猪当量/万头）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桃溪镇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0.69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4.87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3.89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张母桥镇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0.32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3.68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2.95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汤池镇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0.11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3.18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2.55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干汊河镇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0.86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6.57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5.25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千人桥镇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0.31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6.95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5.56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万佛湖镇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0.80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2.91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2.33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柏林乡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1.96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8.54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6.83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百神庙镇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0.55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6.48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5.18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南港镇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1.40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5.61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4.49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舒茶镇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0.46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3.73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2.98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棠树乡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3.63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6.53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5.22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阙店乡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0.51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3.55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2.84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城关镇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1.88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5.36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4.29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五显镇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0.44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2.73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2.18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高峰乡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0.08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2.68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2.14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春秋乡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0.34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3.55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2.84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杭埠镇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0.50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3.74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2.99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山七镇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0.12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2.55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2.04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河棚镇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2.69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2.15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庐镇乡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1.16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0.93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晓天镇</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3.53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2.82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14.95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90.59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72.48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 xml:space="preserve">57.53 </w:t>
            </w:r>
          </w:p>
        </w:tc>
      </w:tr>
    </w:tbl>
    <w:p>
      <w:pPr>
        <w:spacing w:line="400" w:lineRule="exact"/>
        <w:ind w:firstLine="480" w:firstLineChars="200"/>
        <w:rPr>
          <w:rFonts w:ascii="Times New Roman" w:hAnsi="Times New Roman" w:eastAsia="仿宋" w:cs="Times New Roman"/>
          <w:sz w:val="24"/>
          <w:szCs w:val="24"/>
        </w:rPr>
      </w:pPr>
      <w:r>
        <w:rPr>
          <w:rFonts w:ascii="Times New Roman" w:hAnsi="Times New Roman" w:eastAsia="仿宋" w:cs="Times New Roman"/>
          <w:sz w:val="24"/>
          <w:szCs w:val="24"/>
        </w:rPr>
        <w:t>注：</w:t>
      </w:r>
      <w:r>
        <w:rPr>
          <w:rFonts w:ascii="Times New Roman" w:hAnsi="Times New Roman" w:eastAsia="仿宋" w:cs="Times New Roman"/>
          <w:sz w:val="24"/>
          <w:szCs w:val="24"/>
          <w:vertAlign w:val="superscript"/>
        </w:rPr>
        <w:t>1</w:t>
      </w:r>
      <w:r>
        <w:rPr>
          <w:rFonts w:ascii="Times New Roman" w:hAnsi="Times New Roman" w:eastAsia="仿宋" w:cs="Times New Roman"/>
          <w:sz w:val="24"/>
          <w:szCs w:val="24"/>
        </w:rPr>
        <w:t>考虑到禁养区面积和耕地资源空间分布差异，理论畜禽粪污土地承载力按消纳的最大畜禽粪污量的80%计。</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4.2.2 水环境承载力分析</w:t>
      </w:r>
    </w:p>
    <w:p>
      <w:pPr>
        <w:spacing w:line="360" w:lineRule="auto"/>
        <w:ind w:firstLine="640" w:firstLineChars="200"/>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依据《水环境承载力评价办法（试行）》，统计2022年舒城县境内主要国考河流水质达标情况，计算得到舒城县主要河流环境承载力。水环境承载力指数Rc越大，表明区域水环境系统对社会经济系统支持能力越强。当Rc＜70%时，判定该区域为超载状态；当70%≤Rc＜90%时，判定该区域为临界超载状态；当Rc≥90%时，判定该区域为未超载状态。舒城县有三条地表水水质国考断面，水质情况如表4-3所示，承载力指数Rc均为100%，舒城国考断面环境承载力均为未超载状况。</w:t>
      </w:r>
    </w:p>
    <w:p>
      <w:pPr>
        <w:snapToGrid w:val="0"/>
        <w:jc w:val="center"/>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表4-3主要河流现状水环境承载力评价</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943"/>
        <w:gridCol w:w="787"/>
        <w:gridCol w:w="781"/>
        <w:gridCol w:w="781"/>
        <w:gridCol w:w="1479"/>
        <w:gridCol w:w="1566"/>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6"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河流</w:t>
            </w:r>
          </w:p>
        </w:tc>
        <w:tc>
          <w:tcPr>
            <w:tcW w:w="553"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断面名称</w:t>
            </w:r>
          </w:p>
        </w:tc>
        <w:tc>
          <w:tcPr>
            <w:tcW w:w="462"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断面考核</w:t>
            </w:r>
          </w:p>
        </w:tc>
        <w:tc>
          <w:tcPr>
            <w:tcW w:w="458"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达标次数</w:t>
            </w:r>
          </w:p>
        </w:tc>
        <w:tc>
          <w:tcPr>
            <w:tcW w:w="458"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监测次数</w:t>
            </w:r>
          </w:p>
        </w:tc>
        <w:tc>
          <w:tcPr>
            <w:tcW w:w="868"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水质时间达标率A</w:t>
            </w:r>
            <w:r>
              <w:rPr>
                <w:rFonts w:ascii="Times New Roman" w:hAnsi="Times New Roman" w:eastAsia="仿宋" w:cs="Times New Roman"/>
                <w:b/>
                <w:bCs/>
                <w:kern w:val="0"/>
                <w:sz w:val="28"/>
                <w:szCs w:val="28"/>
                <w:vertAlign w:val="subscript"/>
              </w:rPr>
              <w:t>1</w:t>
            </w:r>
            <w:r>
              <w:rPr>
                <w:rFonts w:ascii="Times New Roman" w:hAnsi="Times New Roman" w:eastAsia="仿宋" w:cs="Times New Roman"/>
                <w:b/>
                <w:bCs/>
                <w:kern w:val="0"/>
                <w:sz w:val="28"/>
                <w:szCs w:val="28"/>
              </w:rPr>
              <w:t>（%）</w:t>
            </w:r>
          </w:p>
        </w:tc>
        <w:tc>
          <w:tcPr>
            <w:tcW w:w="919"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水质空间达标率A</w:t>
            </w:r>
            <w:r>
              <w:rPr>
                <w:rFonts w:ascii="Times New Roman" w:hAnsi="Times New Roman" w:eastAsia="仿宋" w:cs="Times New Roman"/>
                <w:b/>
                <w:bCs/>
                <w:kern w:val="0"/>
                <w:sz w:val="28"/>
                <w:szCs w:val="28"/>
                <w:vertAlign w:val="subscript"/>
              </w:rPr>
              <w:t>2</w:t>
            </w:r>
            <w:r>
              <w:rPr>
                <w:rFonts w:ascii="Times New Roman" w:hAnsi="Times New Roman" w:eastAsia="仿宋" w:cs="Times New Roman"/>
                <w:b/>
                <w:bCs/>
                <w:kern w:val="0"/>
                <w:sz w:val="28"/>
                <w:szCs w:val="28"/>
              </w:rPr>
              <w:t>（%）</w:t>
            </w:r>
          </w:p>
        </w:tc>
        <w:tc>
          <w:tcPr>
            <w:tcW w:w="826"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承载力指数R</w:t>
            </w:r>
            <w:r>
              <w:rPr>
                <w:rFonts w:ascii="Times New Roman" w:hAnsi="Times New Roman" w:eastAsia="仿宋" w:cs="Times New Roman"/>
                <w:b/>
                <w:bCs/>
                <w:kern w:val="0"/>
                <w:sz w:val="28"/>
                <w:szCs w:val="28"/>
                <w:vertAlign w:val="subscript"/>
              </w:rPr>
              <w:t>c</w:t>
            </w:r>
            <w:r>
              <w:rPr>
                <w:rFonts w:ascii="Times New Roman" w:hAnsi="Times New Roman" w:eastAsia="仿宋" w:cs="Times New Roman"/>
                <w:b/>
                <w:bCs/>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杭埠河</w:t>
            </w:r>
          </w:p>
        </w:tc>
        <w:tc>
          <w:tcPr>
            <w:tcW w:w="553"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河口大桥</w:t>
            </w:r>
          </w:p>
        </w:tc>
        <w:tc>
          <w:tcPr>
            <w:tcW w:w="462"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国控</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86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19" w:type="pct"/>
            <w:vMerge w:val="restart"/>
            <w:vAlign w:val="center"/>
          </w:tcPr>
          <w:p>
            <w:pPr>
              <w:spacing w:line="400" w:lineRule="exact"/>
              <w:jc w:val="center"/>
              <w:rPr>
                <w:rFonts w:ascii="Times New Roman" w:hAnsi="Times New Roman" w:eastAsia="仿宋" w:cs="Times New Roman"/>
                <w:kern w:val="0"/>
                <w:sz w:val="28"/>
                <w:szCs w:val="28"/>
              </w:rPr>
            </w:pPr>
          </w:p>
          <w:p>
            <w:pPr>
              <w:spacing w:line="400" w:lineRule="exact"/>
              <w:jc w:val="center"/>
              <w:rPr>
                <w:rFonts w:ascii="Times New Roman" w:hAnsi="Times New Roman" w:eastAsia="仿宋" w:cs="Times New Roman"/>
                <w:kern w:val="0"/>
                <w:sz w:val="28"/>
                <w:szCs w:val="28"/>
              </w:rPr>
            </w:pPr>
          </w:p>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p>
            <w:pPr>
              <w:spacing w:line="400" w:lineRule="exact"/>
              <w:jc w:val="center"/>
              <w:rPr>
                <w:rFonts w:ascii="Times New Roman" w:hAnsi="Times New Roman" w:eastAsia="仿宋" w:cs="Times New Roman"/>
                <w:kern w:val="0"/>
                <w:sz w:val="28"/>
                <w:szCs w:val="28"/>
              </w:rPr>
            </w:pPr>
          </w:p>
          <w:p>
            <w:pPr>
              <w:spacing w:line="400" w:lineRule="exact"/>
              <w:jc w:val="center"/>
              <w:rPr>
                <w:rFonts w:ascii="Times New Roman" w:hAnsi="Times New Roman" w:eastAsia="仿宋" w:cs="Times New Roman"/>
                <w:kern w:val="0"/>
                <w:sz w:val="28"/>
                <w:szCs w:val="28"/>
              </w:rPr>
            </w:pPr>
          </w:p>
        </w:tc>
        <w:tc>
          <w:tcPr>
            <w:tcW w:w="826"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56"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杭埠河</w:t>
            </w:r>
          </w:p>
        </w:tc>
        <w:tc>
          <w:tcPr>
            <w:tcW w:w="553"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将军宕大桥</w:t>
            </w:r>
          </w:p>
        </w:tc>
        <w:tc>
          <w:tcPr>
            <w:tcW w:w="462"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国控</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86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19" w:type="pct"/>
            <w:vMerge w:val="continue"/>
            <w:vAlign w:val="center"/>
          </w:tcPr>
          <w:p>
            <w:pPr>
              <w:spacing w:line="400" w:lineRule="exact"/>
              <w:jc w:val="center"/>
              <w:rPr>
                <w:rFonts w:ascii="Times New Roman" w:hAnsi="Times New Roman" w:eastAsia="仿宋" w:cs="Times New Roman"/>
                <w:kern w:val="0"/>
                <w:sz w:val="28"/>
                <w:szCs w:val="28"/>
              </w:rPr>
            </w:pPr>
          </w:p>
        </w:tc>
        <w:tc>
          <w:tcPr>
            <w:tcW w:w="826"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丰乐河</w:t>
            </w:r>
          </w:p>
        </w:tc>
        <w:tc>
          <w:tcPr>
            <w:tcW w:w="553"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三河镇大桥</w:t>
            </w:r>
          </w:p>
        </w:tc>
        <w:tc>
          <w:tcPr>
            <w:tcW w:w="462" w:type="pct"/>
            <w:vAlign w:val="center"/>
          </w:tcPr>
          <w:p>
            <w:pPr>
              <w:spacing w:line="400" w:lineRule="exact"/>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国控</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45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12</w:t>
            </w:r>
          </w:p>
        </w:tc>
        <w:tc>
          <w:tcPr>
            <w:tcW w:w="868"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c>
          <w:tcPr>
            <w:tcW w:w="919" w:type="pct"/>
            <w:vMerge w:val="continue"/>
            <w:vAlign w:val="center"/>
          </w:tcPr>
          <w:p>
            <w:pPr>
              <w:spacing w:line="400" w:lineRule="exact"/>
              <w:jc w:val="center"/>
              <w:rPr>
                <w:rFonts w:ascii="Times New Roman" w:hAnsi="Times New Roman" w:eastAsia="仿宋" w:cs="Times New Roman"/>
                <w:kern w:val="0"/>
                <w:sz w:val="28"/>
                <w:szCs w:val="28"/>
              </w:rPr>
            </w:pPr>
          </w:p>
        </w:tc>
        <w:tc>
          <w:tcPr>
            <w:tcW w:w="826" w:type="pct"/>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100</w:t>
            </w:r>
          </w:p>
        </w:tc>
      </w:tr>
    </w:tbl>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4.2.3 水资源承载力分析</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根据《2021年六安市水资源公报》，舒城县2021年水资源总量为17.45亿m</w:t>
      </w:r>
      <w:r>
        <w:rPr>
          <w:rFonts w:ascii="Times New Roman" w:hAnsi="Times New Roman" w:eastAsia="仿宋" w:cs="Times New Roman"/>
          <w:sz w:val="32"/>
          <w:vertAlign w:val="superscript"/>
        </w:rPr>
        <w:t>3</w:t>
      </w:r>
      <w:r>
        <w:rPr>
          <w:rFonts w:ascii="Times New Roman" w:hAnsi="Times New Roman" w:eastAsia="仿宋" w:cs="Times New Roman"/>
          <w:sz w:val="32"/>
        </w:rPr>
        <w:t>，降水量30.54亿m</w:t>
      </w:r>
      <w:r>
        <w:rPr>
          <w:rFonts w:ascii="Times New Roman" w:hAnsi="Times New Roman" w:eastAsia="仿宋" w:cs="Times New Roman"/>
          <w:sz w:val="32"/>
          <w:vertAlign w:val="superscript"/>
        </w:rPr>
        <w:t>3</w:t>
      </w:r>
      <w:r>
        <w:rPr>
          <w:rFonts w:ascii="Times New Roman" w:hAnsi="Times New Roman" w:eastAsia="仿宋" w:cs="Times New Roman"/>
          <w:sz w:val="32"/>
        </w:rPr>
        <w:t>。根据《舒城县农业十四五规划（2021-2025年）》，舒城县畜禽养殖量达到“十四五”规划量时，约为38.5万个猪当量，依据《安徽省行业用水定额》（DB34/T 679-2019），取一个猪当量日用水量为30L/日·头（规模化养殖），养殖需水量为421.57万m</w:t>
      </w:r>
      <w:r>
        <w:rPr>
          <w:rFonts w:ascii="Times New Roman" w:hAnsi="Times New Roman" w:eastAsia="仿宋" w:cs="Times New Roman"/>
          <w:sz w:val="32"/>
          <w:vertAlign w:val="superscript"/>
        </w:rPr>
        <w:t>3</w:t>
      </w:r>
      <w:r>
        <w:rPr>
          <w:rFonts w:ascii="Times New Roman" w:hAnsi="Times New Roman" w:eastAsia="仿宋" w:cs="Times New Roman"/>
          <w:sz w:val="32"/>
        </w:rPr>
        <w:t>，占舒城县2021年水资源总量17.45亿m</w:t>
      </w:r>
      <w:r>
        <w:rPr>
          <w:rFonts w:ascii="Times New Roman" w:hAnsi="Times New Roman" w:eastAsia="仿宋" w:cs="Times New Roman"/>
          <w:sz w:val="32"/>
          <w:vertAlign w:val="superscript"/>
        </w:rPr>
        <w:t>3</w:t>
      </w:r>
      <w:r>
        <w:rPr>
          <w:rFonts w:ascii="Times New Roman" w:hAnsi="Times New Roman" w:eastAsia="仿宋" w:cs="Times New Roman"/>
          <w:sz w:val="32"/>
        </w:rPr>
        <w:t>的0.24%，水资源承载力可满足畜禽养殖发展需要。舒城县不是畜禽养殖大县，其畜禽养殖量基本保持稳定，预期2027年水资源承载力也可满足畜禽养殖发展需要。</w:t>
      </w:r>
    </w:p>
    <w:p>
      <w:pPr>
        <w:adjustRightInd w:val="0"/>
        <w:spacing w:line="360" w:lineRule="auto"/>
        <w:jc w:val="left"/>
        <w:outlineLvl w:val="1"/>
        <w:rPr>
          <w:rFonts w:ascii="Times New Roman" w:hAnsi="Times New Roman" w:eastAsia="黑体" w:cs="Times New Roman"/>
          <w:sz w:val="32"/>
          <w:szCs w:val="32"/>
        </w:rPr>
      </w:pPr>
      <w:bookmarkStart w:id="25" w:name="_Toc139438731"/>
      <w:r>
        <w:rPr>
          <w:rFonts w:ascii="Times New Roman" w:hAnsi="Times New Roman" w:eastAsia="黑体" w:cs="Times New Roman"/>
          <w:sz w:val="32"/>
          <w:szCs w:val="32"/>
        </w:rPr>
        <w:t>4.3 目标可实现性分析</w:t>
      </w:r>
      <w:bookmarkEnd w:id="25"/>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截至2022年底，舒城县现有粪肥需配套的消纳土地面积远远低于农作物种植面积，剩余环境容量约为57.53万头猪当量，具备就地就农处理和资源化利用畜禽养殖粪便的潜力。</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预计到2027年，通过优化畜禽养殖布局、明确治污总体要求、提升畜禽粪污资源化利用水平、完善粪污处理和利用设施等任务的完成，以及舒城县“十四五”畜禽粪污治理和资源化利用发展规划和相关规划的实施，畜禽粪污综合利用率将得到进一步的巩固和加强。通过严格执行《关于加强畜禽粪污资源化利用计划和台账管理的通知》（农办牧〔2021〕46号），畜禽规模养殖场粪污资源化利用台账建设率将达到国家和省相关要求。</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综上，预计到2027年，舒城县畜禽养殖污染防治规划目标能如期实现。</w:t>
      </w:r>
    </w:p>
    <w:p>
      <w:pPr>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26" w:name="_Toc15934"/>
      <w:bookmarkStart w:id="27" w:name="_Toc139438732"/>
      <w:r>
        <w:rPr>
          <w:rFonts w:ascii="Times New Roman" w:hAnsi="Times New Roman" w:eastAsia="黑体" w:cs="Times New Roman"/>
          <w:sz w:val="44"/>
          <w:szCs w:val="44"/>
        </w:rPr>
        <w:t>第五章 主要任务</w:t>
      </w:r>
      <w:bookmarkEnd w:id="26"/>
      <w:bookmarkEnd w:id="27"/>
    </w:p>
    <w:p>
      <w:pPr>
        <w:adjustRightInd w:val="0"/>
        <w:spacing w:line="360" w:lineRule="auto"/>
        <w:jc w:val="left"/>
        <w:outlineLvl w:val="1"/>
        <w:rPr>
          <w:rFonts w:ascii="Times New Roman" w:hAnsi="Times New Roman" w:eastAsia="黑体" w:cs="Times New Roman"/>
          <w:sz w:val="32"/>
          <w:szCs w:val="32"/>
        </w:rPr>
      </w:pPr>
      <w:bookmarkStart w:id="28" w:name="_Toc169"/>
      <w:bookmarkStart w:id="29" w:name="_Toc139438733"/>
      <w:r>
        <w:rPr>
          <w:rFonts w:ascii="Times New Roman" w:hAnsi="Times New Roman" w:eastAsia="黑体" w:cs="Times New Roman"/>
          <w:sz w:val="32"/>
          <w:szCs w:val="32"/>
        </w:rPr>
        <w:t>5.1</w:t>
      </w:r>
      <w:bookmarkEnd w:id="28"/>
      <w:r>
        <w:rPr>
          <w:rFonts w:ascii="Times New Roman" w:hAnsi="Times New Roman" w:eastAsia="黑体" w:cs="Times New Roman"/>
          <w:sz w:val="32"/>
          <w:szCs w:val="32"/>
        </w:rPr>
        <w:t>畜禽污染防治总体要求</w:t>
      </w:r>
      <w:bookmarkEnd w:id="29"/>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5.1.1调整和优化全县养殖业结构和布局</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严格执行</w:t>
      </w:r>
      <w:r>
        <w:rPr>
          <w:rFonts w:hint="eastAsia" w:ascii="Times New Roman" w:hAnsi="Times New Roman" w:eastAsia="仿宋" w:cs="Times New Roman"/>
          <w:sz w:val="32"/>
        </w:rPr>
        <w:t>全</w:t>
      </w:r>
      <w:r>
        <w:rPr>
          <w:rFonts w:ascii="Times New Roman" w:hAnsi="Times New Roman" w:eastAsia="仿宋" w:cs="Times New Roman"/>
          <w:sz w:val="32"/>
        </w:rPr>
        <w:t>县</w:t>
      </w:r>
      <w:r>
        <w:rPr>
          <w:rFonts w:hint="eastAsia" w:ascii="Times New Roman" w:hAnsi="Times New Roman" w:eastAsia="仿宋" w:cs="Times New Roman"/>
          <w:sz w:val="32"/>
        </w:rPr>
        <w:t>“三区三线”管控要求及</w:t>
      </w:r>
      <w:r>
        <w:rPr>
          <w:rFonts w:ascii="Times New Roman" w:hAnsi="Times New Roman" w:eastAsia="仿宋" w:cs="Times New Roman"/>
          <w:sz w:val="32"/>
        </w:rPr>
        <w:t>划定的禁养区规定，严禁在禁养区内复养或新建规模养殖场。逐步调整和优化全县养殖业布局和结构，丘岗区重点发展生猪、牛羊和蛋禽等高粪污量养殖品种，圩畈区重点发展肉鸡、肉鸭、白鹅和肉鸽等低粪污量养殖品种，山库区则利用当地丰富的饲草资源和山场，发展适度规模肉牛、肉羊和林下土鸡养殖等。万佛湖上游乡镇要充分考虑环境承载能力</w:t>
      </w:r>
      <w:r>
        <w:rPr>
          <w:rFonts w:hint="eastAsia" w:ascii="Times New Roman" w:hAnsi="Times New Roman" w:eastAsia="仿宋" w:cs="Times New Roman"/>
          <w:sz w:val="32"/>
        </w:rPr>
        <w:t>、</w:t>
      </w:r>
      <w:r>
        <w:rPr>
          <w:rFonts w:ascii="Times New Roman" w:hAnsi="Times New Roman" w:eastAsia="仿宋" w:cs="Times New Roman"/>
          <w:sz w:val="32"/>
        </w:rPr>
        <w:t>土地消纳容量</w:t>
      </w:r>
      <w:r>
        <w:rPr>
          <w:rFonts w:hint="eastAsia" w:ascii="Times New Roman" w:hAnsi="Times New Roman" w:eastAsia="仿宋" w:cs="Times New Roman"/>
          <w:sz w:val="32"/>
        </w:rPr>
        <w:t>和饮用水源保护</w:t>
      </w:r>
      <w:r>
        <w:rPr>
          <w:rFonts w:ascii="Times New Roman" w:hAnsi="Times New Roman" w:eastAsia="仿宋" w:cs="Times New Roman"/>
          <w:sz w:val="32"/>
        </w:rPr>
        <w:t>，严控高粪污量的规模养殖。</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因地制宜发展规模化</w:t>
      </w:r>
      <w:r>
        <w:rPr>
          <w:rFonts w:hint="eastAsia" w:ascii="Times New Roman" w:hAnsi="Times New Roman" w:eastAsia="仿宋" w:cs="Times New Roman"/>
          <w:sz w:val="32"/>
        </w:rPr>
        <w:t>、标准化、生态化、设施化</w:t>
      </w:r>
      <w:r>
        <w:rPr>
          <w:rFonts w:ascii="Times New Roman" w:hAnsi="Times New Roman" w:eastAsia="仿宋" w:cs="Times New Roman"/>
          <w:sz w:val="32"/>
        </w:rPr>
        <w:t>养殖，引导养殖场户改造提升基础设施条件，提升标准化养殖水平。加快养殖专业合作社和现代家庭牧场发展，鼓励其以产权、资金、劳动、技术、产品为纽带，开展合作和联合经营。鼓励畜禽养殖龙头企业发挥引领带动作用，与养殖专业合作社、家庭牧场紧密合作，通过统一生产、统一服务、统一营销、技术共享、品牌共创等方式，形成稳定的产业联合体，为畜禽养殖污染防治打好产业基础。</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 xml:space="preserve">5.1.2推进畜禽养殖场粪污治理设施升级改造 </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通过项目支持、企业自筹等多种渠道加大资金投入，配足配齐规模养殖场粪污处理和资源化利用设施，逐年完成规模以下养殖场户的粪污处理设施配套。通过建设雨污分流、节水节料设施、粪污收集、贮存和处理等设施，实现养殖场粪污源头减量产生，过程全量收集，用前充分腐熟。对全县畜禽养殖场</w:t>
      </w:r>
      <w:r>
        <w:rPr>
          <w:rFonts w:hint="eastAsia" w:ascii="Times New Roman" w:hAnsi="Times New Roman" w:eastAsia="仿宋" w:cs="Times New Roman"/>
          <w:sz w:val="32"/>
        </w:rPr>
        <w:t>污染防治设施</w:t>
      </w:r>
      <w:r>
        <w:rPr>
          <w:rFonts w:ascii="Times New Roman" w:hAnsi="Times New Roman" w:eastAsia="仿宋" w:cs="Times New Roman"/>
          <w:sz w:val="32"/>
        </w:rPr>
        <w:t>实行动态监管，新建规模养殖场必须严格落实环保“三同时”，配套相应的粪污处理设施</w:t>
      </w:r>
      <w:r>
        <w:rPr>
          <w:rFonts w:hint="eastAsia" w:ascii="Times New Roman" w:hAnsi="Times New Roman" w:eastAsia="仿宋" w:cs="Times New Roman"/>
          <w:sz w:val="32"/>
        </w:rPr>
        <w:t>和污染防治设施</w:t>
      </w:r>
      <w:r>
        <w:rPr>
          <w:rFonts w:ascii="Times New Roman" w:hAnsi="Times New Roman" w:eastAsia="仿宋" w:cs="Times New Roman"/>
          <w:sz w:val="32"/>
        </w:rPr>
        <w:t>，验收合格后方可从事养殖；老旧养殖场要利用自筹资金或项目支持等途径，逐步完成粪污处理设施</w:t>
      </w:r>
      <w:r>
        <w:rPr>
          <w:rFonts w:hint="eastAsia" w:ascii="Times New Roman" w:hAnsi="Times New Roman" w:eastAsia="仿宋" w:cs="Times New Roman"/>
          <w:sz w:val="32"/>
        </w:rPr>
        <w:t>及污染防治设施</w:t>
      </w:r>
      <w:r>
        <w:rPr>
          <w:rFonts w:ascii="Times New Roman" w:hAnsi="Times New Roman" w:eastAsia="仿宋" w:cs="Times New Roman"/>
          <w:sz w:val="32"/>
        </w:rPr>
        <w:t>配套或改造升级，逾期无法完成，造成环境污染的，责令退出养殖。</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5.1.3督促养殖场户畜禽养殖污染防治主体责任落实。</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养殖场户是畜禽养殖污染防治的责任主体，实践证明只有坚持源头减量、过程控制、末端利用的治理路径才是解决养殖污染的根本出路，加大宣传引导和</w:t>
      </w:r>
      <w:r>
        <w:rPr>
          <w:rFonts w:hint="eastAsia" w:ascii="Times New Roman" w:hAnsi="Times New Roman" w:eastAsia="仿宋" w:cs="Times New Roman"/>
          <w:sz w:val="32"/>
        </w:rPr>
        <w:t>执法</w:t>
      </w:r>
      <w:r>
        <w:rPr>
          <w:rFonts w:ascii="Times New Roman" w:hAnsi="Times New Roman" w:eastAsia="仿宋" w:cs="Times New Roman"/>
          <w:sz w:val="32"/>
        </w:rPr>
        <w:t>监管力度，让广大养殖场户树立种养结合、农牧循环理念，自觉加大对养殖粪污治理和资源化利用设施的投入，为实现粪肥还田创造前提条件，积极主动寻找粪肥出路，严格落实畜禽粪污资源化利用计划+台账管理制度，及时制定粪肥还田年度计划，规范填写粪污综合利用台帐。对粪污处理设施配套不到位或不正常运行的，畜禽粪污去向不明，未实行还田利用的，采取偷排、漏排的，由生态环境部门依法进行严厉处罚，以最严格的</w:t>
      </w:r>
      <w:r>
        <w:rPr>
          <w:rFonts w:hint="eastAsia" w:ascii="Times New Roman" w:hAnsi="Times New Roman" w:eastAsia="仿宋" w:cs="Times New Roman"/>
          <w:sz w:val="32"/>
        </w:rPr>
        <w:t>执法</w:t>
      </w:r>
      <w:r>
        <w:rPr>
          <w:rFonts w:ascii="Times New Roman" w:hAnsi="Times New Roman" w:eastAsia="仿宋" w:cs="Times New Roman"/>
          <w:sz w:val="32"/>
        </w:rPr>
        <w:t>倒逼养殖场主体责任落实。</w:t>
      </w:r>
    </w:p>
    <w:p>
      <w:pPr>
        <w:adjustRightInd w:val="0"/>
        <w:spacing w:line="360" w:lineRule="auto"/>
        <w:jc w:val="left"/>
        <w:outlineLvl w:val="1"/>
        <w:rPr>
          <w:rFonts w:ascii="Times New Roman" w:hAnsi="Times New Roman" w:eastAsia="黑体" w:cs="Times New Roman"/>
          <w:sz w:val="32"/>
          <w:szCs w:val="32"/>
        </w:rPr>
      </w:pPr>
      <w:bookmarkStart w:id="30" w:name="_Toc14060"/>
      <w:bookmarkStart w:id="31" w:name="_Toc139438734"/>
      <w:r>
        <w:rPr>
          <w:rFonts w:ascii="Times New Roman" w:hAnsi="Times New Roman" w:eastAsia="黑体" w:cs="Times New Roman"/>
          <w:sz w:val="32"/>
          <w:szCs w:val="32"/>
        </w:rPr>
        <w:t>5.2 提升畜禽粪污资源化利用水平</w:t>
      </w:r>
      <w:bookmarkEnd w:id="30"/>
      <w:bookmarkEnd w:id="31"/>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5.2.1优化畜禽粪污资源化利用模式</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根据环境承载力、土地消纳能力和畜禽养殖现状，优化畜禽粪污资源化利用模式。对配套土地面积充足的畜禽养殖场户，优先采用低成本、低排放、易操作的粪污处理工艺，粪肥就近还田利用。当畜禽规模养殖场周边粪污消纳土地不足时，</w:t>
      </w:r>
      <w:r>
        <w:rPr>
          <w:rFonts w:hint="eastAsia" w:ascii="Times New Roman" w:hAnsi="Times New Roman" w:eastAsia="仿宋" w:cs="Times New Roman"/>
          <w:sz w:val="32"/>
        </w:rPr>
        <w:t>实行异地</w:t>
      </w:r>
      <w:r>
        <w:rPr>
          <w:rFonts w:ascii="Times New Roman" w:hAnsi="Times New Roman" w:eastAsia="仿宋" w:cs="Times New Roman"/>
          <w:sz w:val="32"/>
        </w:rPr>
        <w:t>委托处理，通过与有机肥厂、专业沼气工程企业、社会化粪肥服务机构、果菜种植基地、种植企业或合作社等第三方签订用肥协议，确定种养两端粪肥产用合作关系。液体粪污用于畜禽规模养殖场自有土地或与周边种植户签订消纳协议，施用于附近农地。畜禽养殖户分布集中的区域，建设粪污转运中心，统一收集、统一处理利用。鼓励各地探索建立第三方粪肥服务机构集有机肥生产、配送、施用和有机食品电商等全程服务模式。当区域消纳土地不足时，针对畜禽规模养殖场和畜禽养殖户需要优化土地利用模式、核减养殖量、提高粪肥替代化肥比例、养殖污水深度处理达标排放、增加有机肥外售量或者是能源化、基质化等粪污资源化利用措施，实现区域养殖总量与环境承载力的相互匹配。</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（1）粪污全量收集+肥水就近就地还田利用模式。此模式主要适用于：尿泡粪和刮粪板清粪工艺的生猪养殖场户，对养殖规模没有严格要求。</w:t>
      </w:r>
    </w:p>
    <w:p>
      <w:pPr>
        <w:spacing w:line="360" w:lineRule="auto"/>
        <w:jc w:val="center"/>
        <w:rPr>
          <w:rFonts w:ascii="Times New Roman" w:hAnsi="Times New Roman" w:eastAsia="仿宋" w:cs="Times New Roman"/>
          <w:sz w:val="32"/>
        </w:rPr>
      </w:pPr>
      <w:r>
        <w:rPr>
          <w:rFonts w:ascii="Times New Roman" w:hAnsi="Times New Roman" w:eastAsia="仿宋" w:cs="Times New Roman"/>
          <w:sz w:val="32"/>
        </w:rPr>
        <w:drawing>
          <wp:inline distT="0" distB="0" distL="0" distR="0">
            <wp:extent cx="5118100" cy="19431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stretch>
                      <a:fillRect/>
                    </a:stretch>
                  </pic:blipFill>
                  <pic:spPr>
                    <a:xfrm>
                      <a:off x="0" y="0"/>
                      <a:ext cx="5118363" cy="1943200"/>
                    </a:xfrm>
                    <a:prstGeom prst="rect">
                      <a:avLst/>
                    </a:prstGeom>
                  </pic:spPr>
                </pic:pic>
              </a:graphicData>
            </a:graphic>
          </wp:inline>
        </w:drawing>
      </w:r>
    </w:p>
    <w:p>
      <w:pPr>
        <w:spacing w:line="360" w:lineRule="auto"/>
        <w:jc w:val="center"/>
        <w:rPr>
          <w:rFonts w:ascii="Times New Roman" w:hAnsi="Times New Roman" w:eastAsia="仿宋" w:cs="Times New Roman"/>
          <w:sz w:val="28"/>
        </w:rPr>
      </w:pPr>
      <w:r>
        <w:rPr>
          <w:rFonts w:ascii="Times New Roman" w:hAnsi="Times New Roman" w:eastAsia="仿宋" w:cs="Times New Roman"/>
          <w:sz w:val="28"/>
        </w:rPr>
        <w:t>图5-1 粪污全量收集+肥水就近就地还田利用模式示意图</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2）固体有机肥+肥水还田利用模式。“固体有机肥+肥水还田利用模式”是典型的畜禽固体粪污和液体粪污分别收集、处理，并实现肥料化利用的模式，主要适用于：尿泡粪清粪工艺再进行固液分离的生猪养殖场户；刮粪板清粪工艺再进行固液分离的生猪、牛、和羊等养殖场户；传送带清粪的禽类和羊养殖场户；人工干清粪并实现固液分离的生猪和牛养殖场，该模式对养殖规模没有严格要求。养殖场户周边须有充足粪污消纳土地的，农家有机肥可做基肥在作物播种前集中还田，或作为商品有机肥原料外售。</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drawing>
          <wp:inline distT="0" distB="0" distL="0" distR="0">
            <wp:extent cx="4368800" cy="2098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4374918" cy="2101523"/>
                    </a:xfrm>
                    <a:prstGeom prst="rect">
                      <a:avLst/>
                    </a:prstGeom>
                  </pic:spPr>
                </pic:pic>
              </a:graphicData>
            </a:graphic>
          </wp:inline>
        </w:drawing>
      </w:r>
    </w:p>
    <w:p>
      <w:pPr>
        <w:spacing w:line="360" w:lineRule="auto"/>
        <w:jc w:val="center"/>
        <w:rPr>
          <w:rFonts w:ascii="Times New Roman" w:hAnsi="Times New Roman" w:eastAsia="仿宋" w:cs="Times New Roman"/>
          <w:sz w:val="28"/>
        </w:rPr>
      </w:pPr>
      <w:r>
        <w:rPr>
          <w:rFonts w:ascii="Times New Roman" w:hAnsi="Times New Roman" w:eastAsia="仿宋" w:cs="Times New Roman"/>
          <w:sz w:val="28"/>
        </w:rPr>
        <w:t>图5-2 固体有机肥+肥水还田利用模式示意图</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3）粪污能源化利用模式。适用于大中型规模养殖场，对养殖畜种、清粪工艺等没有严格要求。畜禽粪污经厌氧工艺发酵后，沼渣和沼液作为有机肥还田/进园利用；沼气回收作为生活生产用能，或利用发电机组发电自用或并网。</w:t>
      </w:r>
    </w:p>
    <w:p>
      <w:pPr>
        <w:spacing w:line="360" w:lineRule="auto"/>
        <w:jc w:val="center"/>
        <w:rPr>
          <w:rFonts w:ascii="Times New Roman" w:hAnsi="Times New Roman" w:eastAsia="仿宋" w:cs="Times New Roman"/>
          <w:sz w:val="32"/>
        </w:rPr>
      </w:pPr>
      <w:r>
        <w:rPr>
          <w:rFonts w:ascii="Times New Roman" w:hAnsi="Times New Roman" w:eastAsia="仿宋" w:cs="Times New Roman"/>
          <w:sz w:val="32"/>
        </w:rPr>
        <w:drawing>
          <wp:inline distT="0" distB="0" distL="0" distR="0">
            <wp:extent cx="3524250" cy="18986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3524431" cy="1898748"/>
                    </a:xfrm>
                    <a:prstGeom prst="rect">
                      <a:avLst/>
                    </a:prstGeom>
                  </pic:spPr>
                </pic:pic>
              </a:graphicData>
            </a:graphic>
          </wp:inline>
        </w:drawing>
      </w:r>
    </w:p>
    <w:p>
      <w:pPr>
        <w:spacing w:line="360" w:lineRule="auto"/>
        <w:jc w:val="center"/>
        <w:rPr>
          <w:rFonts w:ascii="Times New Roman" w:hAnsi="Times New Roman" w:eastAsia="仿宋" w:cs="Times New Roman"/>
          <w:sz w:val="28"/>
        </w:rPr>
      </w:pPr>
      <w:r>
        <w:rPr>
          <w:rFonts w:ascii="Times New Roman" w:hAnsi="Times New Roman" w:eastAsia="仿宋" w:cs="Times New Roman"/>
          <w:sz w:val="28"/>
        </w:rPr>
        <w:t>图5-3 粪污能源化利用模式示意图</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5.2.2提升畜禽粪污资源化利用产业化发展</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按照政府支持、企业主体、市场化运作的方针，督促畜禽养殖废弃物资源化利用用地、用电、环保、农机补贴等配套政策落实落地。充分调动社会资本积极性，大力培育畜禽粪污处理社会化服务组织，为畜禽粪污收集、处理、运输和施用等环节提供专业服务。加大商品有机肥和有机-无机复混肥生产支持力度，大力提升畜禽粪污集中处理能力，提高畜禽粪肥专业化生产，品牌化运作、市场化经营比例，探索畜禽粪污资源化利用产业化发展新模式。</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5.2.3促进畜禽粪肥科学还田</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畜禽粪污还田必须经充分发酵腐熟，符合《畜禽粪便还田技术规范》（GB/T25246-2010）标准，防止产生二次污染。畜牧部门要在养殖环节围绕粪污处理设施建设、粪污减量产生和收集处理等方面，大力推广“截污建池、就地制肥、就近还田”和“异地集中处理”二大模式和六项配套技术，为粪肥还田创造尽可能的便利条件；农技部门要在粪肥还田利用环节，根据作物类型分类指导种植户科学使用堆（沤）肥、沼渣、沼液、肥水或有机肥，在施肥的关键时间节点，要加大宣传和技术指导，引导种植户集中基施或追施，并加强粪肥还田土壤环境监测，促进粪肥科学还田。</w:t>
      </w:r>
    </w:p>
    <w:p>
      <w:pPr>
        <w:adjustRightInd w:val="0"/>
        <w:spacing w:line="360" w:lineRule="auto"/>
        <w:jc w:val="left"/>
        <w:outlineLvl w:val="1"/>
        <w:rPr>
          <w:rFonts w:ascii="Times New Roman" w:hAnsi="Times New Roman" w:eastAsia="黑体" w:cs="Times New Roman"/>
          <w:sz w:val="32"/>
          <w:szCs w:val="32"/>
        </w:rPr>
      </w:pPr>
      <w:bookmarkStart w:id="32" w:name="_Toc32513"/>
      <w:bookmarkStart w:id="33" w:name="_Toc139438735"/>
      <w:r>
        <w:rPr>
          <w:rFonts w:ascii="Times New Roman" w:hAnsi="Times New Roman" w:eastAsia="黑体" w:cs="Times New Roman"/>
          <w:sz w:val="32"/>
          <w:szCs w:val="32"/>
        </w:rPr>
        <w:t>5.3 提档升级粪污处理利用设施</w:t>
      </w:r>
      <w:bookmarkEnd w:id="32"/>
      <w:bookmarkEnd w:id="33"/>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5.3.1提档升级源头减量设施</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鼓励畜禽规模养殖场及规模以下养殖户采用干清粪、水泡粪等节水型清粪方式，逐步淘汰全程水冲粪清粪方式。制定相关管理措施，明确畜禽饮水器具改造、栏舍清洗等源头节水设施建设要求。科学指导畜禽养殖场户做好雨污分流，及时清理雨水渠内杂物、防止淤泥堵塞；及时检查、完善雨污分流设施，防止混流、雨水漫灌、污水外溢等。</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5.3.2提档升级粪污处理设施</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按照属地管理原则，指导养殖场户加强粪污处理设施建设，及时验收并投入使用。采用畜禽粪污资源化利用模式的畜禽养殖场户应建设完善沼气池、干粪堆积池、贮存池等粪污贮存和处理设施。采用达标排放的规模养殖场，应建设酸化调节池、高效生物处理池、好氧膜生物反应池等设施，并定期进行自行监测。</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5.3.3完善田间配套设施</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充分调动社会资本积极性，推动田间粪肥暂存设施、粪肥输送及施用管网建设，提供粪污收集转运服务，解决粪肥还田“最后一公里”问题。加强还田利用设施装备的引进，着力推广适用于丘陵山区、零散地块的中小型固态和液态粪肥施用机具，降低粪肥施用劳动强度。鼓励通过机械深施、注射施肥等方式进行粪肥还田，提高氮素利用率，减少养分损失和氨气挥发。</w:t>
      </w:r>
    </w:p>
    <w:p>
      <w:pPr>
        <w:adjustRightInd w:val="0"/>
        <w:spacing w:line="360" w:lineRule="auto"/>
        <w:jc w:val="left"/>
        <w:outlineLvl w:val="1"/>
        <w:rPr>
          <w:rFonts w:ascii="Times New Roman" w:hAnsi="Times New Roman" w:eastAsia="黑体" w:cs="Times New Roman"/>
          <w:sz w:val="32"/>
          <w:szCs w:val="32"/>
        </w:rPr>
      </w:pPr>
      <w:bookmarkStart w:id="34" w:name="_Toc32055"/>
      <w:bookmarkStart w:id="35" w:name="_Toc139438736"/>
      <w:r>
        <w:rPr>
          <w:rFonts w:ascii="Times New Roman" w:hAnsi="Times New Roman" w:eastAsia="黑体" w:cs="Times New Roman"/>
          <w:sz w:val="32"/>
          <w:szCs w:val="32"/>
        </w:rPr>
        <w:t>5.4 建立健全台账管理制度</w:t>
      </w:r>
      <w:bookmarkEnd w:id="34"/>
      <w:bookmarkEnd w:id="35"/>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5.4.1加强宣传服务，逐步推进粪肥利用台账制度实施</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严格执行《关于加强畜禽粪污资源化利用计划和台账管理的通知》（农办牧〔2021〕46号），进一步提高畜禽粪污资源化利用的规范化、标准化水平，积极推动畜禽粪肥就地就近还田利用。落实畜禽规模养殖场主体责任，建立畜禽规模养殖场粪污资源化利用台账制度，落实环境管理台账记录的责任部门和责任人，明确工作职责，包括台账的记录、整理、维护和管理等并对环境管理台账的真实性、完整性和规范性负责。</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乡镇要加强相关法律法规以及粪污资源化利用有关政策要求的宣传，要让规模养殖场知悉主体责任，树立粪肥台账记录的自觉性，提高填报信息的准确性、及时性。以大型规模养殖场、规模养殖场为重点，大力推进粪肥利用台账制度，鼓励有条件的畜禽养殖场户填报，逐步完善粪肥利用台帐。</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5.4.2落实责任，做好台账记录</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台账内容包括但不限于各畜禽规模养殖场的畜禽养殖品种、规模以及畜禽养殖废弃物的产生、排放和综合利用等情况，确保畜禽粪污去向可追溯。台账应定期报市级环境保护主管部门备案，环境保护主管部门应当定期将台账抄送同级农牧主管部门，农业农村部门要组织精干力量采取多种方式加强对台账填报的培训，要让畜禽养殖场户熟悉填报的具体项目内容、如何填写等。配套土地面积不足无法就地就近还田的畜禽规模养殖场，应委托第三方代为实现资源化利用，及时准确记录相关信息。台账应按照电子化储存和纸质储存两种形式同步管理。</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乡镇可参照省市下发的台帐格式，按照适用、方便的原则，探索建立符合养殖场养殖畜禽种类实际以及粪污处理利用现状的台账格式。养殖场是台帐填报主体，需按照要求记录粪污资源化利用的管理台账，台账应至少保留2年以上。</w:t>
      </w:r>
    </w:p>
    <w:p>
      <w:pPr>
        <w:adjustRightInd w:val="0"/>
        <w:spacing w:line="360" w:lineRule="auto"/>
        <w:jc w:val="left"/>
        <w:outlineLvl w:val="1"/>
        <w:rPr>
          <w:rFonts w:ascii="Times New Roman" w:hAnsi="Times New Roman" w:eastAsia="黑体" w:cs="Times New Roman"/>
          <w:sz w:val="32"/>
          <w:szCs w:val="32"/>
        </w:rPr>
      </w:pPr>
      <w:bookmarkStart w:id="36" w:name="_Toc20324"/>
      <w:bookmarkStart w:id="37" w:name="_Toc139438737"/>
      <w:r>
        <w:rPr>
          <w:rFonts w:ascii="Times New Roman" w:hAnsi="Times New Roman" w:eastAsia="黑体" w:cs="Times New Roman"/>
          <w:sz w:val="32"/>
          <w:szCs w:val="32"/>
        </w:rPr>
        <w:t>5.5 加强养殖户、养殖散户的监管</w:t>
      </w:r>
      <w:bookmarkEnd w:id="36"/>
      <w:bookmarkEnd w:id="37"/>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鼓励畜禽养殖户、养殖散户自行建设畜禽养殖废弃物综合利用和无害化处理设施。鼓励畜禽养殖户、养殖散户根据养殖规模和污染防治需要，建设或者配备相应的防雨、防渗漏、防外溢的畜禽粪便和污水收集、贮存等污染防治配套设施。污染防治配套设施应当符合相关标准，并保证其正常使用。畜禽养殖户、养殖散户自行建设综合利用和无害化处理设施，采取措施减少污染物排放的，可以依照《畜禽规模养殖污染防治条例》的规定享受税收、用电以及环境保护资金支持等相关激励和扶持政策。</w:t>
      </w:r>
    </w:p>
    <w:p>
      <w:pPr>
        <w:adjustRightInd w:val="0"/>
        <w:spacing w:line="360" w:lineRule="auto"/>
        <w:jc w:val="left"/>
        <w:outlineLvl w:val="1"/>
        <w:rPr>
          <w:rFonts w:ascii="Times New Roman" w:hAnsi="Times New Roman" w:eastAsia="黑体" w:cs="Times New Roman"/>
          <w:sz w:val="32"/>
          <w:szCs w:val="32"/>
        </w:rPr>
      </w:pPr>
      <w:bookmarkStart w:id="38" w:name="_Toc139438738"/>
      <w:bookmarkStart w:id="39" w:name="_Toc16868"/>
      <w:r>
        <w:rPr>
          <w:rFonts w:ascii="Times New Roman" w:hAnsi="Times New Roman" w:eastAsia="黑体" w:cs="Times New Roman"/>
          <w:sz w:val="32"/>
          <w:szCs w:val="32"/>
        </w:rPr>
        <w:t>5.6 强化环境监管</w:t>
      </w:r>
      <w:bookmarkEnd w:id="38"/>
      <w:bookmarkEnd w:id="39"/>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5.6.1严格审批监管</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规范畜禽规模养殖项目审批程序和排污许可管理要求。严格执行畜禽养殖申报、初步选址、审核、环评审批、用地备案、审核动物防疫条件、验收及排污许可、养殖备案等审批备案流程。推动畜禽养殖审批监管信息化建设，进一步优化工作程序，提高办事效率，为畜禽养殖场户提供便捷服务。</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5.6.2强化日常监管</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通过环境监管、执法、指导等措施，推动畜禽养殖污染防治政策和举措的落实。要明确各级各部门畜禽养殖污染防治监督管理职责，县级生态环境部门负责本行政区域内畜禽养殖污染防治的统一监督管理；县级农业农村部门负责畜禽养殖废弃物综合利用的指导和服务；乡镇人民政府负责协助有关部门做好本行政区域的畜禽养殖污染防治工作。加强各有关部门协调配合，组织对畜禽养殖场户定期进行现场核查，检查畜禽粪污处理设施装备配套情况，并定期向社会公布核查结果。对超过整改时限，畜禽粪污处理设施装备仍不合格的畜禽养殖场户，依法责令停止生产或使用。</w:t>
      </w:r>
    </w:p>
    <w:p>
      <w:pPr>
        <w:adjustRightInd w:val="0"/>
        <w:spacing w:line="360" w:lineRule="auto"/>
        <w:outlineLvl w:val="2"/>
        <w:rPr>
          <w:rFonts w:ascii="Times New Roman" w:hAnsi="Times New Roman" w:eastAsia="黑体" w:cs="Times New Roman"/>
          <w:sz w:val="30"/>
          <w:szCs w:val="30"/>
        </w:rPr>
      </w:pPr>
      <w:r>
        <w:rPr>
          <w:rFonts w:ascii="Times New Roman" w:hAnsi="Times New Roman" w:eastAsia="黑体" w:cs="Times New Roman"/>
          <w:sz w:val="30"/>
          <w:szCs w:val="30"/>
        </w:rPr>
        <w:t>5.6.3防范环境污染</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全面做好辖区环境质量状况监测，重点加强对畜禽养殖密集区的空气、水、土壤环境质量监测，加强对饮用水水源地水质状况的监测。重点加强对未达标点位周边区域的畜禽养殖监管，避免畜禽养殖给水体造成污染。探索开展畜禽粪粪肥消纳土地的质量监测与评价工作，及时掌握粪污养分和有害物质含量，指导粪污利用，防范还田风险。健全投诉举报机制，鼓励广大群众及时发现畜禽养殖违法行为，防范化解畜禽养殖污染风险。</w:t>
      </w:r>
    </w:p>
    <w:p>
      <w:pPr>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40" w:name="_Toc249"/>
      <w:bookmarkStart w:id="41" w:name="_Toc139438739"/>
      <w:r>
        <w:rPr>
          <w:rFonts w:ascii="Times New Roman" w:hAnsi="Times New Roman" w:eastAsia="黑体" w:cs="Times New Roman"/>
          <w:sz w:val="44"/>
          <w:szCs w:val="44"/>
        </w:rPr>
        <w:t>第六章 重点工程</w:t>
      </w:r>
      <w:bookmarkEnd w:id="40"/>
      <w:bookmarkEnd w:id="41"/>
    </w:p>
    <w:p>
      <w:pPr>
        <w:adjustRightInd w:val="0"/>
        <w:spacing w:line="360" w:lineRule="auto"/>
        <w:jc w:val="left"/>
        <w:outlineLvl w:val="1"/>
        <w:rPr>
          <w:rFonts w:ascii="Times New Roman" w:hAnsi="Times New Roman" w:eastAsia="黑体" w:cs="Times New Roman"/>
          <w:sz w:val="32"/>
          <w:szCs w:val="32"/>
        </w:rPr>
      </w:pPr>
      <w:bookmarkStart w:id="42" w:name="_Toc19176"/>
      <w:bookmarkStart w:id="43" w:name="_Toc139438740"/>
      <w:r>
        <w:rPr>
          <w:rFonts w:ascii="Times New Roman" w:hAnsi="Times New Roman" w:eastAsia="黑体" w:cs="Times New Roman"/>
          <w:sz w:val="32"/>
          <w:szCs w:val="32"/>
        </w:rPr>
        <w:t>6.1 实施畜禽养殖场粪污处理设施升级改造工程</w:t>
      </w:r>
      <w:bookmarkEnd w:id="42"/>
      <w:bookmarkEnd w:id="43"/>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持续推进畜禽规模养殖场及畜禽养殖户粪污收集、贮存、处理和利用设施设备建设与改造，加快养殖场雨污分流、饮污分流、干湿分离等改造，督促养殖场户粪污收集、存储、处理设施的正常运行和管护，</w:t>
      </w:r>
      <w:r>
        <w:rPr>
          <w:rFonts w:ascii="Times New Roman" w:hAnsi="Times New Roman" w:eastAsia="仿宋" w:cs="Times New Roman"/>
          <w:sz w:val="32"/>
        </w:rPr>
        <w:t>避免因设施设备配套不到位或运行管护不正常对环境造成污染。</w:t>
      </w:r>
    </w:p>
    <w:p>
      <w:pPr>
        <w:adjustRightInd w:val="0"/>
        <w:spacing w:line="360" w:lineRule="auto"/>
        <w:jc w:val="left"/>
        <w:outlineLvl w:val="1"/>
        <w:rPr>
          <w:rFonts w:ascii="Times New Roman" w:hAnsi="Times New Roman" w:eastAsia="仿宋" w:cs="Times New Roman"/>
          <w:b/>
          <w:bCs/>
          <w:sz w:val="32"/>
          <w:szCs w:val="32"/>
        </w:rPr>
      </w:pPr>
      <w:bookmarkStart w:id="44" w:name="_Toc139438741"/>
      <w:bookmarkStart w:id="45" w:name="_Toc14017"/>
      <w:r>
        <w:rPr>
          <w:rFonts w:ascii="Times New Roman" w:hAnsi="Times New Roman" w:eastAsia="黑体" w:cs="Times New Roman"/>
          <w:sz w:val="32"/>
          <w:szCs w:val="32"/>
        </w:rPr>
        <w:t>6.2 实施畜禽粪污收集转运工程</w:t>
      </w:r>
      <w:bookmarkEnd w:id="44"/>
      <w:bookmarkEnd w:id="45"/>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鼓励支持畜禽粪污收集转运企业的组建与发展，鼓励通过有偿服务的形式运营，与畜禽粪污集中处理中心、有机肥厂、沼气工程企业、养殖场户及种植基地分别签订协议，提供畜禽粪污收集转运服务。探索对畜禽粪污收集转运项目给予专用车辆扶持或资金补助，培育和支持社会第三方服务组织的组建与发展，促进畜禽粪污资源化利用体系建设。</w:t>
      </w:r>
    </w:p>
    <w:p>
      <w:pPr>
        <w:adjustRightInd w:val="0"/>
        <w:spacing w:line="360" w:lineRule="auto"/>
        <w:jc w:val="left"/>
        <w:outlineLvl w:val="1"/>
        <w:rPr>
          <w:rFonts w:ascii="Times New Roman" w:hAnsi="Times New Roman" w:eastAsia="黑体" w:cs="Times New Roman"/>
          <w:sz w:val="32"/>
          <w:szCs w:val="32"/>
        </w:rPr>
      </w:pPr>
      <w:bookmarkStart w:id="46" w:name="_Toc14518"/>
      <w:bookmarkStart w:id="47" w:name="_Toc139438742"/>
      <w:r>
        <w:rPr>
          <w:rFonts w:ascii="Times New Roman" w:hAnsi="Times New Roman" w:eastAsia="黑体" w:cs="Times New Roman"/>
          <w:sz w:val="32"/>
          <w:szCs w:val="32"/>
        </w:rPr>
        <w:t>6.3 田间配套设施建设工程</w:t>
      </w:r>
      <w:bookmarkEnd w:id="46"/>
      <w:bookmarkEnd w:id="47"/>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引导和探索种植或养殖主体配套建设田间粪肥暂存设施及输送管网，鼓励支持购买粪肥运输、施用等设施设备。为着力解决大型养猪企业液体粪肥还田的难点和堵点，结合农业相关项目，大胆探索肥水、沼液就近沟渠或管网配比还田试点。</w:t>
      </w:r>
    </w:p>
    <w:p>
      <w:pPr>
        <w:adjustRightInd w:val="0"/>
        <w:spacing w:line="360" w:lineRule="auto"/>
        <w:jc w:val="left"/>
        <w:outlineLvl w:val="1"/>
        <w:rPr>
          <w:rFonts w:ascii="Times New Roman" w:hAnsi="Times New Roman" w:eastAsia="黑体" w:cs="Times New Roman"/>
          <w:sz w:val="32"/>
          <w:szCs w:val="32"/>
        </w:rPr>
      </w:pPr>
      <w:bookmarkStart w:id="48" w:name="_Toc139438743"/>
      <w:bookmarkStart w:id="49" w:name="_Toc15116"/>
      <w:r>
        <w:rPr>
          <w:rFonts w:ascii="Times New Roman" w:hAnsi="Times New Roman" w:eastAsia="黑体" w:cs="Times New Roman"/>
          <w:sz w:val="32"/>
          <w:szCs w:val="32"/>
        </w:rPr>
        <w:t>6.4 监管体系建设工程</w:t>
      </w:r>
      <w:bookmarkEnd w:id="48"/>
      <w:bookmarkEnd w:id="49"/>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将畜禽规模养殖场、养殖小区列入日常监督性监测范围，鼓励安装污水排放在线监测、固体废弃处理设施视频监控等设备。加强畜禽养殖业环境监督执法、严禁偷排、漏排。建设畜禽信息化管理平台，提升精细化管理水平。</w:t>
      </w:r>
    </w:p>
    <w:p>
      <w:pPr>
        <w:spacing w:line="360" w:lineRule="auto"/>
        <w:rPr>
          <w:rFonts w:ascii="Times New Roman" w:hAnsi="Times New Roman" w:eastAsia="仿宋" w:cs="Times New Roman"/>
          <w:sz w:val="32"/>
        </w:rPr>
      </w:pPr>
      <w:r>
        <w:rPr>
          <w:rFonts w:ascii="Times New Roman" w:hAnsi="Times New Roman" w:eastAsia="仿宋" w:cs="Times New Roman"/>
          <w:sz w:val="32"/>
        </w:rPr>
        <w:br w:type="page"/>
      </w: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50" w:name="_Toc139438744"/>
      <w:bookmarkStart w:id="51" w:name="_Toc20826"/>
      <w:r>
        <w:rPr>
          <w:rFonts w:ascii="Times New Roman" w:hAnsi="Times New Roman" w:eastAsia="黑体" w:cs="Times New Roman"/>
          <w:sz w:val="44"/>
          <w:szCs w:val="44"/>
        </w:rPr>
        <w:t>第七章 工程投资估算与资金筹措</w:t>
      </w:r>
      <w:bookmarkEnd w:id="50"/>
      <w:bookmarkEnd w:id="51"/>
    </w:p>
    <w:p>
      <w:pPr>
        <w:adjustRightInd w:val="0"/>
        <w:spacing w:line="360" w:lineRule="auto"/>
        <w:jc w:val="left"/>
        <w:outlineLvl w:val="1"/>
        <w:rPr>
          <w:rFonts w:ascii="Times New Roman" w:hAnsi="Times New Roman" w:eastAsia="黑体" w:cs="Times New Roman"/>
          <w:sz w:val="32"/>
          <w:szCs w:val="32"/>
        </w:rPr>
      </w:pPr>
      <w:bookmarkStart w:id="52" w:name="_Toc139438745"/>
      <w:bookmarkStart w:id="53" w:name="_Toc21676"/>
      <w:r>
        <w:rPr>
          <w:rFonts w:ascii="Times New Roman" w:hAnsi="Times New Roman" w:eastAsia="黑体" w:cs="Times New Roman"/>
          <w:sz w:val="32"/>
          <w:szCs w:val="32"/>
        </w:rPr>
        <w:t>7.1 工程投资估算</w:t>
      </w:r>
      <w:bookmarkEnd w:id="52"/>
      <w:bookmarkEnd w:id="53"/>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项目投资估算根据其性质不同，2023－2027年舒城县畜禽养殖污染防治建设项目投资共计4200万元，详见表7-1。</w:t>
      </w:r>
    </w:p>
    <w:p>
      <w:pPr>
        <w:spacing w:line="360" w:lineRule="auto"/>
        <w:jc w:val="center"/>
        <w:rPr>
          <w:rFonts w:ascii="Times New Roman" w:hAnsi="Times New Roman" w:eastAsia="仿宋" w:cs="Times New Roman"/>
          <w:sz w:val="32"/>
        </w:rPr>
      </w:pPr>
      <w:r>
        <w:rPr>
          <w:rFonts w:ascii="Times New Roman" w:hAnsi="Times New Roman" w:eastAsia="仿宋" w:cs="Times New Roman"/>
          <w:sz w:val="30"/>
          <w:szCs w:val="30"/>
        </w:rPr>
        <w:t>表7-1 舒城县重点工程投资估算</w:t>
      </w:r>
    </w:p>
    <w:tbl>
      <w:tblPr>
        <w:tblStyle w:val="14"/>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795"/>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名称</w:t>
            </w:r>
          </w:p>
        </w:tc>
        <w:tc>
          <w:tcPr>
            <w:tcW w:w="2795" w:type="dxa"/>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建设内容</w:t>
            </w:r>
          </w:p>
        </w:tc>
        <w:tc>
          <w:tcPr>
            <w:tcW w:w="2127" w:type="dxa"/>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建设主体</w:t>
            </w:r>
          </w:p>
        </w:tc>
        <w:tc>
          <w:tcPr>
            <w:tcW w:w="1984" w:type="dxa"/>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舒城县畜禽粪污资源化利用整县推进项目建设与运行管护工程</w:t>
            </w:r>
          </w:p>
        </w:tc>
        <w:tc>
          <w:tcPr>
            <w:tcW w:w="2795"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支持</w:t>
            </w:r>
            <w:r>
              <w:rPr>
                <w:rFonts w:ascii="Times New Roman" w:hAnsi="Times New Roman" w:eastAsia="仿宋" w:cs="Times New Roman"/>
                <w:kern w:val="0"/>
                <w:sz w:val="28"/>
                <w:szCs w:val="28"/>
              </w:rPr>
              <w:t>148家养殖场（户）按照“一场一策”要求，对粪污治理和资源化利用设施进行“填平补齐”与升级改造，以及后期运行管护监管。</w:t>
            </w:r>
          </w:p>
        </w:tc>
        <w:tc>
          <w:tcPr>
            <w:tcW w:w="2127"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舒城县农业农村局、六安市舒城县生态环境分局等。</w:t>
            </w:r>
          </w:p>
        </w:tc>
        <w:tc>
          <w:tcPr>
            <w:tcW w:w="1984" w:type="dxa"/>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舒城县绿色种养循环农业试点项目</w:t>
            </w:r>
          </w:p>
        </w:tc>
        <w:tc>
          <w:tcPr>
            <w:tcW w:w="2795"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以促进种养循环为重点，探索粪肥就地就近还田利用模式经验，通过项目实施打通粪肥还田“最后一公里”，将我县打造成巢湖流域粪肥还田利用示范基地</w:t>
            </w:r>
          </w:p>
        </w:tc>
        <w:tc>
          <w:tcPr>
            <w:tcW w:w="2127"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w:t>
            </w:r>
            <w:r>
              <w:rPr>
                <w:rFonts w:ascii="Times New Roman" w:hAnsi="Times New Roman" w:eastAsia="仿宋" w:cs="Times New Roman"/>
                <w:kern w:val="0"/>
                <w:sz w:val="28"/>
                <w:szCs w:val="28"/>
              </w:rPr>
              <w:t>农业农村局</w:t>
            </w:r>
            <w:r>
              <w:rPr>
                <w:rFonts w:hint="eastAsia" w:ascii="Times New Roman" w:hAnsi="Times New Roman" w:eastAsia="仿宋" w:cs="Times New Roman"/>
                <w:kern w:val="0"/>
                <w:sz w:val="28"/>
                <w:szCs w:val="28"/>
              </w:rPr>
              <w:t>、六安市舒城县生态环境分局等。</w:t>
            </w:r>
          </w:p>
        </w:tc>
        <w:tc>
          <w:tcPr>
            <w:tcW w:w="1984" w:type="dxa"/>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粪污集中处理中心升级改造与扩能项目</w:t>
            </w:r>
          </w:p>
        </w:tc>
        <w:tc>
          <w:tcPr>
            <w:tcW w:w="2795"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依托舒城县桃溪国家级现代农业产业园，升级改造舒城县沃土肥业有限公司，支持舒城县浪森肥业有限公司生产有机无机复混肥、增强畜禽粪污集中处理能力，扩大商品有机肥产能，定期与周边乡镇养殖场签订粪污集中收集处理协议，收集无法就地利用的养殖场畜禽粪便。</w:t>
            </w:r>
          </w:p>
        </w:tc>
        <w:tc>
          <w:tcPr>
            <w:tcW w:w="2127" w:type="dxa"/>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舒城县沃土肥业有限公司等</w:t>
            </w:r>
          </w:p>
        </w:tc>
        <w:tc>
          <w:tcPr>
            <w:tcW w:w="1984"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5</w:t>
            </w:r>
            <w:r>
              <w:rPr>
                <w:rFonts w:ascii="Times New Roman" w:hAnsi="Times New Roman" w:eastAsia="仿宋" w:cs="Times New Roman"/>
                <w:kern w:val="0"/>
                <w:sz w:val="28"/>
                <w:szCs w:val="2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畜禽污染防治宣传监管体系工程</w:t>
            </w:r>
          </w:p>
        </w:tc>
        <w:tc>
          <w:tcPr>
            <w:tcW w:w="2795"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加大养殖污染防治宣传，实施养殖环境监测、固体废物管理等机构标准化建设，全面达到国家标准，装备水平满足日常监管工作需要。强化畜禽粪污资源化利用技术指导与监管台账建立。</w:t>
            </w:r>
          </w:p>
        </w:tc>
        <w:tc>
          <w:tcPr>
            <w:tcW w:w="2127" w:type="dxa"/>
            <w:vAlign w:val="center"/>
          </w:tcPr>
          <w:p>
            <w:pPr>
              <w:spacing w:line="400" w:lineRule="exact"/>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六安市舒城县生态环境分局、舒城县农业农村局等</w:t>
            </w:r>
          </w:p>
        </w:tc>
        <w:tc>
          <w:tcPr>
            <w:tcW w:w="1984" w:type="dxa"/>
            <w:vAlign w:val="center"/>
          </w:tcPr>
          <w:p>
            <w:pPr>
              <w:spacing w:line="400" w:lineRule="exact"/>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200</w:t>
            </w:r>
          </w:p>
        </w:tc>
      </w:tr>
    </w:tbl>
    <w:p>
      <w:pPr>
        <w:adjustRightInd w:val="0"/>
        <w:spacing w:line="360" w:lineRule="auto"/>
        <w:jc w:val="left"/>
        <w:outlineLvl w:val="1"/>
        <w:rPr>
          <w:rFonts w:ascii="Times New Roman" w:hAnsi="Times New Roman" w:eastAsia="黑体" w:cs="Times New Roman"/>
          <w:sz w:val="32"/>
          <w:szCs w:val="32"/>
        </w:rPr>
      </w:pPr>
      <w:bookmarkStart w:id="54" w:name="_Toc23927"/>
      <w:bookmarkStart w:id="55" w:name="_Toc139438746"/>
      <w:r>
        <w:rPr>
          <w:rFonts w:ascii="Times New Roman" w:hAnsi="Times New Roman" w:eastAsia="黑体" w:cs="Times New Roman"/>
          <w:sz w:val="32"/>
          <w:szCs w:val="32"/>
        </w:rPr>
        <w:t>7.2 资金筹措</w:t>
      </w:r>
      <w:bookmarkEnd w:id="54"/>
      <w:bookmarkEnd w:id="55"/>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规划》所需资金主要包括涵盖粪污治理和资源化利用升级改造、田间配套粪肥还田“最后一公里”、粪污集中处理中心升级改造等大型综合项目，主要依托中央财政资金及地方配套资金，其余为实施主体自筹资金。</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鼓励和要求新建养殖场按照污染防治要求做好配套雨污分流、集污池和“三防”建设。县市积极争取帮扶资金，对畜禽污染防治工作完成较好的城镇进行一定资金奖励。密切关注中央及省厅财政政策，及时争取中央和省厅财政补助支持。</w:t>
      </w:r>
    </w:p>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56" w:name="_Toc6788"/>
      <w:bookmarkStart w:id="57" w:name="_Toc139438747"/>
      <w:r>
        <w:rPr>
          <w:rFonts w:ascii="Times New Roman" w:hAnsi="Times New Roman" w:eastAsia="黑体" w:cs="Times New Roman"/>
          <w:sz w:val="44"/>
          <w:szCs w:val="44"/>
        </w:rPr>
        <w:t>第八章 效益分析</w:t>
      </w:r>
      <w:bookmarkEnd w:id="56"/>
      <w:bookmarkEnd w:id="57"/>
    </w:p>
    <w:p>
      <w:pPr>
        <w:adjustRightInd w:val="0"/>
        <w:spacing w:line="360" w:lineRule="auto"/>
        <w:jc w:val="left"/>
        <w:outlineLvl w:val="1"/>
        <w:rPr>
          <w:rFonts w:ascii="Times New Roman" w:hAnsi="Times New Roman" w:eastAsia="黑体" w:cs="Times New Roman"/>
          <w:sz w:val="32"/>
          <w:szCs w:val="32"/>
        </w:rPr>
      </w:pPr>
      <w:bookmarkStart w:id="58" w:name="_Toc139438748"/>
      <w:r>
        <w:rPr>
          <w:rFonts w:hint="eastAsia" w:ascii="Times New Roman" w:hAnsi="Times New Roman" w:eastAsia="黑体" w:cs="Times New Roman"/>
          <w:sz w:val="32"/>
          <w:szCs w:val="32"/>
        </w:rPr>
        <w:t>8</w:t>
      </w:r>
      <w:r>
        <w:rPr>
          <w:rFonts w:ascii="Times New Roman" w:hAnsi="Times New Roman" w:eastAsia="黑体" w:cs="Times New Roman"/>
          <w:sz w:val="32"/>
          <w:szCs w:val="32"/>
        </w:rPr>
        <w:t xml:space="preserve">.1 </w:t>
      </w:r>
      <w:r>
        <w:rPr>
          <w:rFonts w:hint="eastAsia" w:ascii="Times New Roman" w:hAnsi="Times New Roman" w:eastAsia="黑体" w:cs="Times New Roman"/>
          <w:sz w:val="32"/>
          <w:szCs w:val="32"/>
        </w:rPr>
        <w:t>环境效益</w:t>
      </w:r>
      <w:bookmarkEnd w:id="58"/>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（1）</w:t>
      </w:r>
      <w:r>
        <w:rPr>
          <w:rFonts w:ascii="Times New Roman" w:hAnsi="Times New Roman" w:eastAsia="仿宋" w:cs="Times New Roman"/>
          <w:sz w:val="32"/>
        </w:rPr>
        <w:t>减少污染物产生</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通过改造畜舍排污系统、雨污分流改造等工程措施，能够明显降低污水的产生量。项目通过工艺、工程、设备等多维度的改造，从源头减少了废弃物的产生，符合循环农业中的减量化原则。</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（2）</w:t>
      </w:r>
      <w:r>
        <w:rPr>
          <w:rFonts w:ascii="Times New Roman" w:hAnsi="Times New Roman" w:eastAsia="仿宋" w:cs="Times New Roman"/>
          <w:sz w:val="32"/>
        </w:rPr>
        <w:t>减少化肥施用量</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畜禽粪污资源化利用重点采用肥料化的方式，畜禽粪便中含有丰富的有机质、微量元素及氮、磷、钾，因此畜禽粪便是制造肥料的有效原料。将畜禽粪便制造成有机肥，施于农田后有助于改良土壤结构、提高土壤有机质含量、提供作物养分、培肥地力，确保农作物稳产高产。将畜禽粪污就近还田的方式构建农牧良性循环，可以从根本上解决畜禽养殖污染问题。通过肥料化的方式在解决畜禽养殖污染的同时，还能够降低种植环节化肥的施用量。</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（3）</w:t>
      </w:r>
      <w:r>
        <w:rPr>
          <w:rFonts w:ascii="Times New Roman" w:hAnsi="Times New Roman" w:eastAsia="仿宋" w:cs="Times New Roman"/>
          <w:sz w:val="32"/>
        </w:rPr>
        <w:t>改善养殖场周边环境</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通过粪污全收集处理，集污池、堆肥间等防漏防渗，雨污分流系统的建设，防止污水渗入周边地下水，减少恶臭其他对周边大气环境的影响，改善周边环境质量。</w:t>
      </w:r>
    </w:p>
    <w:p>
      <w:pPr>
        <w:adjustRightInd w:val="0"/>
        <w:spacing w:line="360" w:lineRule="auto"/>
        <w:jc w:val="left"/>
        <w:outlineLvl w:val="1"/>
        <w:rPr>
          <w:rFonts w:ascii="Times New Roman" w:hAnsi="Times New Roman" w:eastAsia="黑体" w:cs="Times New Roman"/>
          <w:sz w:val="32"/>
          <w:szCs w:val="32"/>
        </w:rPr>
      </w:pPr>
      <w:bookmarkStart w:id="59" w:name="_Toc139438749"/>
      <w:r>
        <w:rPr>
          <w:rFonts w:hint="eastAsia" w:ascii="Times New Roman" w:hAnsi="Times New Roman" w:eastAsia="黑体" w:cs="Times New Roman"/>
          <w:sz w:val="32"/>
          <w:szCs w:val="32"/>
        </w:rPr>
        <w:t>8</w:t>
      </w:r>
      <w:r>
        <w:rPr>
          <w:rFonts w:ascii="Times New Roman" w:hAnsi="Times New Roman" w:eastAsia="黑体" w:cs="Times New Roman"/>
          <w:sz w:val="32"/>
          <w:szCs w:val="32"/>
        </w:rPr>
        <w:t xml:space="preserve">.2 </w:t>
      </w:r>
      <w:r>
        <w:rPr>
          <w:rFonts w:hint="eastAsia" w:ascii="Times New Roman" w:hAnsi="Times New Roman" w:eastAsia="黑体" w:cs="Times New Roman"/>
          <w:sz w:val="32"/>
          <w:szCs w:val="32"/>
        </w:rPr>
        <w:t>经济效益</w:t>
      </w:r>
      <w:bookmarkEnd w:id="59"/>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rPr>
        <w:t>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提高农产品品质和价值，提升产业综合效益，拓宽农民创收渠道，增加农民收入。</w:t>
      </w:r>
    </w:p>
    <w:p>
      <w:pPr>
        <w:adjustRightInd w:val="0"/>
        <w:spacing w:line="360" w:lineRule="auto"/>
        <w:jc w:val="left"/>
        <w:outlineLvl w:val="1"/>
        <w:rPr>
          <w:rFonts w:ascii="Times New Roman" w:hAnsi="Times New Roman" w:eastAsia="黑体" w:cs="Times New Roman"/>
          <w:sz w:val="32"/>
          <w:szCs w:val="32"/>
        </w:rPr>
      </w:pPr>
      <w:bookmarkStart w:id="60" w:name="_Toc139438750"/>
      <w:r>
        <w:rPr>
          <w:rFonts w:hint="eastAsia" w:ascii="Times New Roman" w:hAnsi="Times New Roman" w:eastAsia="黑体" w:cs="Times New Roman"/>
          <w:sz w:val="32"/>
          <w:szCs w:val="32"/>
        </w:rPr>
        <w:t>8</w:t>
      </w:r>
      <w:r>
        <w:rPr>
          <w:rFonts w:ascii="Times New Roman" w:hAnsi="Times New Roman" w:eastAsia="黑体" w:cs="Times New Roman"/>
          <w:sz w:val="32"/>
          <w:szCs w:val="32"/>
        </w:rPr>
        <w:t xml:space="preserve">.3 </w:t>
      </w:r>
      <w:r>
        <w:rPr>
          <w:rFonts w:hint="eastAsia" w:ascii="Times New Roman" w:hAnsi="Times New Roman" w:eastAsia="黑体" w:cs="Times New Roman"/>
          <w:sz w:val="32"/>
          <w:szCs w:val="32"/>
        </w:rPr>
        <w:t>社会效益</w:t>
      </w:r>
      <w:bookmarkEnd w:id="60"/>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通过统筹安排、合理布局畜禽养殖废弃物综合利用和污染治理项目，在全县水污染防治重点流域和区域有效缓解农业面源污染、改善区域环境质量。通过推进养殖密集区的养殖户入区入园经营或污染物（沼液）第三方运输，发挥废弃物统一收集、集中处理的环境成效，农村地区粪便乱堆、污水乱排的现象有所改观，村容村貌得到改善，农村人居环境质量得到提高。通过依法划定禁养区并强化污染防治，对饮用水水源地等环境敏感区域进行重点整治，将有效提升农村饮用水安全保障水平，农村居民健康得到保障</w:t>
      </w:r>
      <w:r>
        <w:rPr>
          <w:rFonts w:hint="eastAsia" w:ascii="Times New Roman" w:hAnsi="Times New Roman" w:eastAsia="仿宋" w:cs="Times New Roman"/>
          <w:sz w:val="32"/>
        </w:rPr>
        <w:t>，具有巨大的社会效益。</w:t>
      </w:r>
    </w:p>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360" w:lineRule="auto"/>
        <w:jc w:val="center"/>
        <w:outlineLvl w:val="0"/>
        <w:rPr>
          <w:rFonts w:ascii="Times New Roman" w:hAnsi="Times New Roman" w:eastAsia="黑体" w:cs="Times New Roman"/>
          <w:sz w:val="44"/>
          <w:szCs w:val="44"/>
        </w:rPr>
      </w:pPr>
      <w:bookmarkStart w:id="61" w:name="_Toc28160"/>
      <w:bookmarkStart w:id="62" w:name="_Toc139438751"/>
      <w:r>
        <w:rPr>
          <w:rFonts w:ascii="Times New Roman" w:hAnsi="Times New Roman" w:eastAsia="黑体" w:cs="Times New Roman"/>
          <w:sz w:val="44"/>
          <w:szCs w:val="44"/>
        </w:rPr>
        <w:t>第九章 保障措施</w:t>
      </w:r>
      <w:bookmarkEnd w:id="61"/>
      <w:bookmarkEnd w:id="62"/>
    </w:p>
    <w:p>
      <w:pPr>
        <w:adjustRightInd w:val="0"/>
        <w:spacing w:line="360" w:lineRule="auto"/>
        <w:jc w:val="left"/>
        <w:outlineLvl w:val="1"/>
        <w:rPr>
          <w:rFonts w:ascii="Times New Roman" w:hAnsi="Times New Roman" w:eastAsia="黑体" w:cs="Times New Roman"/>
          <w:sz w:val="32"/>
          <w:szCs w:val="32"/>
        </w:rPr>
      </w:pPr>
      <w:bookmarkStart w:id="63" w:name="_Toc24789"/>
      <w:bookmarkStart w:id="64" w:name="_Toc139438752"/>
      <w:r>
        <w:rPr>
          <w:rFonts w:ascii="Times New Roman" w:hAnsi="Times New Roman" w:eastAsia="黑体" w:cs="Times New Roman"/>
          <w:sz w:val="32"/>
          <w:szCs w:val="32"/>
        </w:rPr>
        <w:t>9.1 制度保障措施</w:t>
      </w:r>
      <w:bookmarkEnd w:id="63"/>
      <w:bookmarkEnd w:id="64"/>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加强组织领导。</w:t>
      </w:r>
      <w:r>
        <w:rPr>
          <w:rFonts w:ascii="Times New Roman" w:hAnsi="Times New Roman" w:eastAsia="仿宋" w:cs="Times New Roman"/>
          <w:sz w:val="32"/>
        </w:rPr>
        <w:t>进一步加强对畜禽养殖污染防治工作的组织领导，加强污染防治工作协调，建立有效的部门沟通协作机制，按照部门职责分工，分解落实畜禽养殖污染防治任务，实现资源和信息共享，形成部门合力。</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统筹解决用地。</w:t>
      </w:r>
      <w:r>
        <w:rPr>
          <w:rFonts w:ascii="Times New Roman" w:hAnsi="Times New Roman" w:eastAsia="仿宋" w:cs="Times New Roman"/>
          <w:sz w:val="32"/>
        </w:rPr>
        <w:t>落实畜禽规模养殖场用地，并与</w:t>
      </w:r>
      <w:r>
        <w:rPr>
          <w:rFonts w:hint="eastAsia" w:ascii="Times New Roman" w:hAnsi="Times New Roman" w:eastAsia="仿宋" w:cs="Times New Roman"/>
          <w:sz w:val="32"/>
        </w:rPr>
        <w:t>县级及乡镇</w:t>
      </w:r>
      <w:r>
        <w:rPr>
          <w:rFonts w:ascii="Times New Roman" w:hAnsi="Times New Roman" w:eastAsia="仿宋" w:cs="Times New Roman"/>
          <w:sz w:val="32"/>
        </w:rPr>
        <w:t>国土空间总体规划相衔接。完善畜禽规模养殖场用地政策，提高设施用地利用效率，提高畜禽规模养殖场粪污资源化利用和有机肥生产建造设施用地占比及规模上限。将以畜禽养殖废弃物为主要原料的有机肥厂、集中预处理中心建设用地纳入各级国土空间总体规划，在年度用地计划中优先安排。</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细化工作职责。</w:t>
      </w:r>
      <w:r>
        <w:rPr>
          <w:rFonts w:ascii="Times New Roman" w:hAnsi="Times New Roman" w:eastAsia="仿宋" w:cs="Times New Roman"/>
          <w:sz w:val="32"/>
        </w:rPr>
        <w:t>按照“统一管理、分级监管、部门落实、责任到人”的原则，明确县乡镇（街道）、行政村、养殖场（户）的工作职责，相关单位和各乡镇人民政府等根据自身职责和领导小组安排，积极做好畜禽养殖污染防治与种养结合的相关工作。</w:t>
      </w:r>
    </w:p>
    <w:p>
      <w:pPr>
        <w:spacing w:line="360" w:lineRule="auto"/>
        <w:ind w:firstLine="640" w:firstLineChars="200"/>
        <w:rPr>
          <w:rFonts w:ascii="Times New Roman" w:hAnsi="Times New Roman" w:eastAsia="仿宋" w:cs="Times New Roman"/>
          <w:sz w:val="32"/>
        </w:rPr>
      </w:pPr>
      <w:r>
        <w:rPr>
          <w:rFonts w:ascii="Times New Roman" w:hAnsi="Times New Roman" w:eastAsia="仿宋" w:cs="Times New Roman"/>
          <w:sz w:val="32"/>
        </w:rPr>
        <w:t>生态环境部门负责畜禽养殖污染防治的统一监督</w:t>
      </w:r>
      <w:r>
        <w:rPr>
          <w:rFonts w:hint="eastAsia" w:ascii="Times New Roman" w:hAnsi="Times New Roman" w:eastAsia="仿宋" w:cs="Times New Roman"/>
          <w:sz w:val="32"/>
        </w:rPr>
        <w:t>执法</w:t>
      </w:r>
      <w:r>
        <w:rPr>
          <w:rFonts w:ascii="Times New Roman" w:hAnsi="Times New Roman" w:eastAsia="仿宋" w:cs="Times New Roman"/>
          <w:sz w:val="32"/>
        </w:rPr>
        <w:t>；农业农村部门负责畜牧业监督管理，对畜禽养殖废弃物综合利用的指导和服务；乡镇、农场按照职责做好畜禽养殖污染防治工作，负责对本行政区域内畜禽养殖污染治理设施建设与运行情况进行监督管理，协助生态环境部门、农业农村部门以及其他有关部门实施畜禽养殖污染防治工作；行政村可以制定和实施有关畜禽养殖废弃物处置等村规民约，对居民开展畜禽养殖污染防治的宣传教育，发现畜禽养殖污染环境的，应当及时制止并向生态环境部门报告；区发改、经信、住建、自规、城管、财政、卫健、市场等行政主管部门按照各自职责，做好畜禽养殖污染防治相关工作。</w:t>
      </w:r>
    </w:p>
    <w:p>
      <w:pPr>
        <w:adjustRightInd w:val="0"/>
        <w:spacing w:line="360" w:lineRule="auto"/>
        <w:jc w:val="left"/>
        <w:outlineLvl w:val="1"/>
        <w:rPr>
          <w:rFonts w:ascii="Times New Roman" w:hAnsi="Times New Roman" w:eastAsia="黑体" w:cs="Times New Roman"/>
          <w:sz w:val="32"/>
          <w:szCs w:val="32"/>
        </w:rPr>
      </w:pPr>
      <w:bookmarkStart w:id="65" w:name="_Toc139438753"/>
      <w:bookmarkStart w:id="66" w:name="_Toc22756"/>
      <w:r>
        <w:rPr>
          <w:rFonts w:ascii="Times New Roman" w:hAnsi="Times New Roman" w:eastAsia="黑体" w:cs="Times New Roman"/>
          <w:sz w:val="32"/>
          <w:szCs w:val="32"/>
        </w:rPr>
        <w:t>9.2 政策保障措施</w:t>
      </w:r>
      <w:bookmarkEnd w:id="65"/>
      <w:bookmarkEnd w:id="66"/>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落实激励政策。</w:t>
      </w:r>
      <w:r>
        <w:rPr>
          <w:rFonts w:ascii="Times New Roman" w:hAnsi="Times New Roman" w:eastAsia="仿宋" w:cs="Times New Roman"/>
          <w:sz w:val="32"/>
        </w:rPr>
        <w:t>国家重点扶持的农业项目、环保项目向畜禽规模养殖场标准化改造和粪污综合利用设施、污染防治设施建设与改造倾斜，鼓励分散饲养向集约饲养方式转变。畜禽养殖场（户）排放污染物符合国家规定的污染物排放标准和总量控制指标，自愿与生态环境主管部门签订进一步削减污染物排放量协议的，按照国家有关规定给予奖励，优先列入环境保护和畜禽养殖发展相关财政资金扶持范围。</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落实用地政策。</w:t>
      </w:r>
      <w:r>
        <w:rPr>
          <w:rFonts w:ascii="Times New Roman" w:hAnsi="Times New Roman" w:eastAsia="仿宋" w:cs="Times New Roman"/>
          <w:sz w:val="32"/>
        </w:rPr>
        <w:t>在组织编制国土空间规划过程中，将规模化畜禽养殖用地纳入规划，落实养殖用地。畜禽养殖用地按农用地管理，并按照有关规定确定生产设施用地和必要的污染防治等附属设施用地。</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落实财税政策。</w:t>
      </w:r>
      <w:r>
        <w:rPr>
          <w:rFonts w:ascii="Times New Roman" w:hAnsi="Times New Roman" w:eastAsia="仿宋" w:cs="Times New Roman"/>
          <w:sz w:val="32"/>
        </w:rPr>
        <w:t>建设和改造畜禽养殖污染防治设施，可以按照规定申请包括污染治理贷款贴息补助在内的环境保护等相关资金支持。进行畜禽养殖污染防治，从事利用畜禽养殖废弃物进行有机肥产品生产经营等畜禽养殖废弃物综合利用活动的，享受国家规定的相关税收优惠政策。</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落实优惠政策。</w:t>
      </w:r>
      <w:r>
        <w:rPr>
          <w:rFonts w:ascii="Times New Roman" w:hAnsi="Times New Roman" w:eastAsia="仿宋" w:cs="Times New Roman"/>
          <w:sz w:val="32"/>
        </w:rPr>
        <w:t>利用畜禽养殖废弃物生产有机肥产品的，享受国家关于化肥运力安排等支持政策；购买使用有机肥的，享受不低于国家关于化肥的使用补贴等优惠政策。畜禽养殖场的畜禽养殖污染防治设施运行用电执行农业用电价格。</w:t>
      </w:r>
    </w:p>
    <w:p>
      <w:pPr>
        <w:adjustRightInd w:val="0"/>
        <w:spacing w:line="360" w:lineRule="auto"/>
        <w:jc w:val="left"/>
        <w:outlineLvl w:val="1"/>
        <w:rPr>
          <w:rFonts w:ascii="Times New Roman" w:hAnsi="Times New Roman" w:eastAsia="黑体" w:cs="Times New Roman"/>
          <w:sz w:val="32"/>
          <w:szCs w:val="32"/>
        </w:rPr>
      </w:pPr>
      <w:bookmarkStart w:id="67" w:name="_Toc139438754"/>
      <w:bookmarkStart w:id="68" w:name="_Toc30142"/>
      <w:r>
        <w:rPr>
          <w:rFonts w:ascii="Times New Roman" w:hAnsi="Times New Roman" w:eastAsia="黑体" w:cs="Times New Roman"/>
          <w:sz w:val="32"/>
          <w:szCs w:val="32"/>
        </w:rPr>
        <w:t>9.3 监管保障措施</w:t>
      </w:r>
      <w:bookmarkEnd w:id="67"/>
      <w:bookmarkEnd w:id="68"/>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建立考核机制。</w:t>
      </w:r>
      <w:r>
        <w:rPr>
          <w:rFonts w:ascii="Times New Roman" w:hAnsi="Times New Roman" w:eastAsia="仿宋" w:cs="Times New Roman"/>
          <w:sz w:val="32"/>
        </w:rPr>
        <w:t>制定出台符合县情实际的畜禽养殖资源化利用工作考核办法，对乡镇畜禽养殖废弃物资源化利用工作情况进行年度考核。建立畜禽养殖废弃物资源化利用绩效评价考核制度，并纳入乡镇绩效评价考核体系。强化考核结果应用，建立激励和责任追究机制。</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强化督查推进。</w:t>
      </w:r>
      <w:r>
        <w:rPr>
          <w:rFonts w:ascii="Times New Roman" w:hAnsi="Times New Roman" w:eastAsia="仿宋" w:cs="Times New Roman"/>
          <w:sz w:val="32"/>
        </w:rPr>
        <w:t>县生态环境分局会同县农业农村局定期、不定期开展专项督查，实行“一季一督查、半年一推进，一年一考核”制度，各乡镇每个季度填报上一季度标准化改造进度、关闭拆除进度、养殖废弃物治理与资源化利用进度以季度报表的形式报送至县生态环境分局及县农业农村局。</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注重公开监督。</w:t>
      </w:r>
      <w:r>
        <w:rPr>
          <w:rFonts w:ascii="Times New Roman" w:hAnsi="Times New Roman" w:eastAsia="仿宋" w:cs="Times New Roman"/>
          <w:sz w:val="32"/>
        </w:rPr>
        <w:t>充分发挥乡村、社区等基层组织的作用，尤其是鼓励群众和媒体对未经规范处理违法直排粪污，抛弃病死畜禽等违法行为进行监督和举报。对于违法排污企业，将其列入“黑名单”并公开曝光，并依据《畜禽规模养殖污染防治条例》给予相应处罚。</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加强项目监管。</w:t>
      </w:r>
      <w:r>
        <w:rPr>
          <w:rFonts w:ascii="Times New Roman" w:hAnsi="Times New Roman" w:eastAsia="仿宋" w:cs="Times New Roman"/>
          <w:sz w:val="32"/>
        </w:rPr>
        <w:t>坚持“按规划定项目、按项目定资金”的原则，科学合理安排使用资金，专账核算、专款专用，不得截留、挤占和挪用。严格执行工程建设经费报账制度和公示制度，确保专项资金的规范化管理，在项目集中招标工作中，指导项目所在乡镇与工程建设单位签订施工合同，签订工程项目统一监理合同，定期调度，组织检查。</w:t>
      </w:r>
    </w:p>
    <w:p>
      <w:pPr>
        <w:adjustRightInd w:val="0"/>
        <w:spacing w:line="360" w:lineRule="auto"/>
        <w:jc w:val="left"/>
        <w:outlineLvl w:val="1"/>
        <w:rPr>
          <w:rFonts w:ascii="Times New Roman" w:hAnsi="Times New Roman" w:eastAsia="黑体" w:cs="Times New Roman"/>
          <w:sz w:val="32"/>
          <w:szCs w:val="32"/>
        </w:rPr>
      </w:pPr>
      <w:bookmarkStart w:id="69" w:name="_Toc27661"/>
      <w:bookmarkStart w:id="70" w:name="_Toc139438755"/>
      <w:r>
        <w:rPr>
          <w:rFonts w:ascii="Times New Roman" w:hAnsi="Times New Roman" w:eastAsia="黑体" w:cs="Times New Roman"/>
          <w:sz w:val="32"/>
          <w:szCs w:val="32"/>
        </w:rPr>
        <w:t>9.4 资金保障措施</w:t>
      </w:r>
      <w:bookmarkEnd w:id="69"/>
      <w:bookmarkEnd w:id="70"/>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多渠道筹集资金。</w:t>
      </w:r>
      <w:r>
        <w:rPr>
          <w:rFonts w:ascii="Times New Roman" w:hAnsi="Times New Roman" w:eastAsia="仿宋" w:cs="Times New Roman"/>
          <w:sz w:val="32"/>
        </w:rPr>
        <w:t>一是发挥财政资金引导作用。利用现有环保和涉农财政资金，加大对畜禽养殖污染防治投入，通过财政资金投入引导市场向畜禽养殖废弃物资源化利用方向发展。二是拓宽资金筹集渠道。土地出让收益长期以来是“取之于农、用之于农”，配合有关部门调整完善土地出让收入使用范围，分阶段逐步提高用于畜禽养殖废弃物治理与资源化利用的投入比例。三是充分发挥财政资金的引导作用。因地制宜推行一事一议、以奖代补、先建后补、贷款贴息等，通过PPP、BOT、BT等方式降低畜禽养殖污染防治领域的运营成本和市场风险。</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推进畜禽保险。</w:t>
      </w:r>
      <w:r>
        <w:rPr>
          <w:rFonts w:ascii="Times New Roman" w:hAnsi="Times New Roman" w:eastAsia="仿宋" w:cs="Times New Roman"/>
          <w:sz w:val="32"/>
        </w:rPr>
        <w:t>按照“政府引导、市场运作、自主自愿、协同推进”的原则，全面推进畜禽保险工作。加大财政支持力度，落实保费补贴，扩大保险覆盖面、提高参保率，做到应保尽保。将病死畜禽无害化处理作为保险理赔的前提条件，不能确认无害化处理的，保险机构不予赔偿。</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制定激励政策。</w:t>
      </w:r>
      <w:r>
        <w:rPr>
          <w:rFonts w:ascii="Times New Roman" w:hAnsi="Times New Roman" w:eastAsia="仿宋" w:cs="Times New Roman"/>
          <w:sz w:val="32"/>
        </w:rPr>
        <w:t>制定畜禽养殖废弃物综合利用环境经济激励政策，对采用清洁生产技术、减排成效好、废弃物资源化利用水平高的畜禽规模养殖场实施税收减免、奖励补贴等优惠措施。出台有利于有机肥生产和利用的土壤有机质提升奖励等畜禽养殖废弃物综合利用扶持政策，针对有机肥生产等畜禽养殖废弃物综合利用工程，综合运用信贷、税收、补贴等机制模式，加大畜禽废弃物资源化利用支持力度。</w:t>
      </w:r>
    </w:p>
    <w:p>
      <w:pPr>
        <w:adjustRightInd w:val="0"/>
        <w:spacing w:line="360" w:lineRule="auto"/>
        <w:jc w:val="left"/>
        <w:outlineLvl w:val="1"/>
        <w:rPr>
          <w:rFonts w:ascii="Times New Roman" w:hAnsi="Times New Roman" w:eastAsia="黑体" w:cs="Times New Roman"/>
          <w:sz w:val="32"/>
          <w:szCs w:val="32"/>
        </w:rPr>
      </w:pPr>
      <w:bookmarkStart w:id="71" w:name="_Toc139438756"/>
      <w:bookmarkStart w:id="72" w:name="_Toc20152"/>
      <w:r>
        <w:rPr>
          <w:rFonts w:ascii="Times New Roman" w:hAnsi="Times New Roman" w:eastAsia="黑体" w:cs="Times New Roman"/>
          <w:sz w:val="32"/>
          <w:szCs w:val="32"/>
        </w:rPr>
        <w:t>9.5 技术保障措施</w:t>
      </w:r>
      <w:bookmarkEnd w:id="71"/>
      <w:bookmarkEnd w:id="72"/>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强化信息共享。</w:t>
      </w:r>
      <w:r>
        <w:rPr>
          <w:rFonts w:ascii="Times New Roman" w:hAnsi="Times New Roman" w:eastAsia="仿宋" w:cs="Times New Roman"/>
          <w:sz w:val="32"/>
        </w:rPr>
        <w:t>县生态环境分局、农业农村局等充分发挥各自技术优势，适时组织畜禽养殖污染防治法规、技术等培训。县生态环境分局、农业农村局应实现联网共享畜禽养殖及污染防控信息。</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加强环境监测。</w:t>
      </w:r>
      <w:r>
        <w:rPr>
          <w:rFonts w:ascii="Times New Roman" w:hAnsi="Times New Roman" w:eastAsia="仿宋" w:cs="Times New Roman"/>
          <w:sz w:val="32"/>
        </w:rPr>
        <w:t>县生态环境主管部门应利用现有监测条件，并根据需要适当增配一定数量的检测设备仪器、应急监测设备等，或委托第三方监测机构，制定监测计划，逐步完善环境监测体系，制定重点防控区域、重点养殖场的污染物在线监控制度，动态掌握畜禽养殖污染物排放和污染状况，为治理与控制畜禽养殖污染提供科学依据。</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提高监测水平。</w:t>
      </w:r>
      <w:r>
        <w:rPr>
          <w:rFonts w:ascii="Times New Roman" w:hAnsi="Times New Roman" w:eastAsia="仿宋" w:cs="Times New Roman"/>
          <w:sz w:val="32"/>
        </w:rPr>
        <w:t>各级生态环境部门应充分利用现有的监测设备和手段，并根据需要适当增配车辆、摄像机、暗管探测仪等设施设备，增强技术手段，提升畜禽养殖业环境监察工作规范化、科技化水平。</w:t>
      </w:r>
    </w:p>
    <w:p>
      <w:pPr>
        <w:spacing w:line="360" w:lineRule="auto"/>
        <w:ind w:firstLine="643" w:firstLineChars="200"/>
        <w:rPr>
          <w:rFonts w:ascii="Times New Roman" w:hAnsi="Times New Roman" w:eastAsia="仿宋" w:cs="Times New Roman"/>
          <w:sz w:val="32"/>
        </w:rPr>
      </w:pPr>
      <w:r>
        <w:rPr>
          <w:rFonts w:ascii="Times New Roman" w:hAnsi="Times New Roman" w:eastAsia="仿宋" w:cs="Times New Roman"/>
          <w:b/>
          <w:bCs/>
          <w:sz w:val="32"/>
        </w:rPr>
        <w:t>加强技术推广。</w:t>
      </w:r>
      <w:r>
        <w:rPr>
          <w:rFonts w:ascii="Times New Roman" w:hAnsi="Times New Roman" w:eastAsia="仿宋" w:cs="Times New Roman"/>
          <w:sz w:val="32"/>
        </w:rPr>
        <w:t>完善政、产、学、研创新联盟合作模式，发挥企业技术创新主体作用，加强环保成果共享平台建设，推动技术成果共享与转化。推动畜禽养殖废弃物治理与资源化利用装备开发，探索养殖废弃物资源化利用新模式。</w:t>
      </w:r>
    </w:p>
    <w:p>
      <w:pPr>
        <w:spacing w:line="360" w:lineRule="auto"/>
        <w:rPr>
          <w:rFonts w:ascii="Times New Roman" w:hAnsi="Times New Roman" w:eastAsia="仿宋" w:cs="Times New Roman"/>
          <w:sz w:val="32"/>
        </w:rPr>
        <w:sectPr>
          <w:footerReference r:id="rId8" w:type="first"/>
          <w:footerReference r:id="rId7" w:type="default"/>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仿宋" w:cs="Times New Roman"/>
          <w:b/>
          <w:bCs/>
          <w:sz w:val="32"/>
        </w:rPr>
      </w:pPr>
      <w:bookmarkStart w:id="73" w:name="_Toc139438757"/>
      <w:r>
        <w:rPr>
          <w:rFonts w:ascii="Times New Roman" w:hAnsi="Times New Roman" w:eastAsia="仿宋" w:cs="Times New Roman"/>
          <w:b/>
          <w:bCs/>
          <w:sz w:val="32"/>
        </w:rPr>
        <w:t>附件</w:t>
      </w:r>
      <w:bookmarkEnd w:id="73"/>
    </w:p>
    <w:p>
      <w:pPr>
        <w:spacing w:line="360" w:lineRule="auto"/>
        <w:outlineLvl w:val="0"/>
        <w:rPr>
          <w:rFonts w:ascii="Times New Roman" w:hAnsi="Times New Roman" w:eastAsia="仿宋" w:cs="Times New Roman"/>
          <w:sz w:val="32"/>
        </w:rPr>
      </w:pPr>
      <w:bookmarkStart w:id="74" w:name="_Toc139438758"/>
      <w:r>
        <w:rPr>
          <w:rFonts w:ascii="Times New Roman" w:hAnsi="Times New Roman" w:eastAsia="仿宋" w:cs="Times New Roman"/>
          <w:sz w:val="32"/>
        </w:rPr>
        <w:t>规划编制说明</w:t>
      </w:r>
      <w:bookmarkEnd w:id="74"/>
    </w:p>
    <w:p>
      <w:pPr>
        <w:spacing w:line="360" w:lineRule="auto"/>
        <w:outlineLvl w:val="0"/>
        <w:rPr>
          <w:rFonts w:ascii="Times New Roman" w:hAnsi="Times New Roman" w:eastAsia="仿宋" w:cs="Times New Roman"/>
          <w:b/>
          <w:bCs/>
          <w:sz w:val="32"/>
        </w:rPr>
      </w:pPr>
      <w:bookmarkStart w:id="75" w:name="_Toc139438759"/>
      <w:r>
        <w:rPr>
          <w:rFonts w:ascii="Times New Roman" w:hAnsi="Times New Roman" w:eastAsia="仿宋" w:cs="Times New Roman"/>
          <w:b/>
          <w:bCs/>
          <w:sz w:val="32"/>
        </w:rPr>
        <w:t>附图、表</w:t>
      </w:r>
      <w:bookmarkEnd w:id="75"/>
    </w:p>
    <w:p>
      <w:pPr>
        <w:spacing w:line="360" w:lineRule="auto"/>
        <w:rPr>
          <w:rFonts w:ascii="Times New Roman" w:hAnsi="Times New Roman" w:eastAsia="仿宋" w:cs="Times New Roman"/>
          <w:sz w:val="32"/>
        </w:rPr>
      </w:pPr>
      <w:r>
        <w:rPr>
          <w:rFonts w:ascii="Times New Roman" w:hAnsi="Times New Roman" w:eastAsia="仿宋" w:cs="Times New Roman"/>
          <w:sz w:val="32"/>
        </w:rPr>
        <w:t>附表1 舒城县畜禽规模养殖场基础信息表</w:t>
      </w:r>
    </w:p>
    <w:p>
      <w:pPr>
        <w:spacing w:line="360" w:lineRule="auto"/>
        <w:rPr>
          <w:rFonts w:ascii="Times New Roman" w:hAnsi="Times New Roman" w:eastAsia="仿宋" w:cs="Times New Roman"/>
          <w:sz w:val="32"/>
        </w:rPr>
      </w:pPr>
      <w:r>
        <w:rPr>
          <w:rFonts w:ascii="Times New Roman" w:hAnsi="Times New Roman" w:eastAsia="仿宋" w:cs="Times New Roman"/>
          <w:sz w:val="32"/>
        </w:rPr>
        <w:t>附表2 畜禽养殖污染防治重点工程支持主体和内容清单</w:t>
      </w:r>
    </w:p>
    <w:p>
      <w:pPr>
        <w:spacing w:line="360" w:lineRule="auto"/>
        <w:rPr>
          <w:rFonts w:ascii="Times New Roman" w:hAnsi="Times New Roman" w:eastAsia="仿宋" w:cs="Times New Roman"/>
          <w:sz w:val="32"/>
        </w:rPr>
      </w:pPr>
      <w:r>
        <w:rPr>
          <w:rFonts w:ascii="Times New Roman" w:hAnsi="Times New Roman" w:eastAsia="仿宋" w:cs="Times New Roman"/>
          <w:sz w:val="32"/>
        </w:rPr>
        <w:t>附表3 行政区域内耕地、园地、林地、草地面积清单</w:t>
      </w:r>
    </w:p>
    <w:p>
      <w:pPr>
        <w:spacing w:line="360" w:lineRule="auto"/>
        <w:rPr>
          <w:rFonts w:ascii="Times New Roman" w:hAnsi="Times New Roman" w:eastAsia="仿宋" w:cs="Times New Roman"/>
          <w:sz w:val="32"/>
        </w:rPr>
      </w:pPr>
      <w:r>
        <w:rPr>
          <w:rFonts w:ascii="Times New Roman" w:hAnsi="Times New Roman" w:eastAsia="仿宋" w:cs="Times New Roman"/>
          <w:sz w:val="32"/>
        </w:rPr>
        <w:t>附图1 舒城行政区划图</w:t>
      </w:r>
    </w:p>
    <w:p>
      <w:pPr>
        <w:spacing w:line="360" w:lineRule="auto"/>
        <w:rPr>
          <w:rFonts w:ascii="Times New Roman" w:hAnsi="Times New Roman" w:eastAsia="仿宋" w:cs="Times New Roman"/>
          <w:sz w:val="32"/>
        </w:rPr>
      </w:pPr>
      <w:r>
        <w:rPr>
          <w:rFonts w:ascii="Times New Roman" w:hAnsi="Times New Roman" w:eastAsia="仿宋" w:cs="Times New Roman"/>
          <w:sz w:val="32"/>
        </w:rPr>
        <w:t>附图2 舒城县水功能区划图</w:t>
      </w:r>
    </w:p>
    <w:p>
      <w:pPr>
        <w:spacing w:line="360" w:lineRule="auto"/>
        <w:rPr>
          <w:rFonts w:ascii="Times New Roman" w:hAnsi="Times New Roman" w:eastAsia="仿宋" w:cs="Times New Roman"/>
          <w:sz w:val="32"/>
        </w:rPr>
      </w:pPr>
      <w:r>
        <w:rPr>
          <w:rFonts w:ascii="Times New Roman" w:hAnsi="Times New Roman" w:eastAsia="仿宋" w:cs="Times New Roman"/>
          <w:sz w:val="32"/>
        </w:rPr>
        <w:t>附图3 舒城县畜禽规模养殖场分布图</w:t>
      </w:r>
    </w:p>
    <w:p>
      <w:pPr>
        <w:spacing w:line="360" w:lineRule="auto"/>
        <w:rPr>
          <w:rFonts w:ascii="Times New Roman" w:hAnsi="Times New Roman" w:eastAsia="仿宋" w:cs="Times New Roman"/>
          <w:sz w:val="32"/>
        </w:rPr>
      </w:pPr>
      <w:r>
        <w:rPr>
          <w:rFonts w:ascii="Times New Roman" w:hAnsi="Times New Roman" w:eastAsia="仿宋" w:cs="Times New Roman"/>
          <w:sz w:val="32"/>
        </w:rPr>
        <w:t>附图4 舒城县禁养区分布图</w:t>
      </w:r>
    </w:p>
    <w:p>
      <w:pPr>
        <w:spacing w:line="360" w:lineRule="auto"/>
        <w:rPr>
          <w:rFonts w:ascii="Times New Roman" w:hAnsi="Times New Roman" w:eastAsia="仿宋" w:cs="Times New Roman"/>
          <w:sz w:val="32"/>
        </w:rPr>
      </w:pPr>
      <w:r>
        <w:rPr>
          <w:rFonts w:ascii="Times New Roman" w:hAnsi="Times New Roman" w:eastAsia="仿宋" w:cs="Times New Roman"/>
          <w:sz w:val="32"/>
        </w:rPr>
        <w:t>附图5 舒城县耕地、园地、林地、草地分布图</w:t>
      </w: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pStyle w:val="7"/>
        <w:shd w:val="clear" w:color="auto" w:fill="FFFFFF"/>
        <w:spacing w:before="0" w:beforeAutospacing="0" w:after="0" w:afterAutospacing="0"/>
        <w:jc w:val="center"/>
        <w:rPr>
          <w:rFonts w:ascii="Times New Roman" w:hAnsi="Times New Roman" w:eastAsia="仿宋" w:cs="Times New Roman"/>
          <w:b/>
          <w:bCs/>
          <w:color w:val="333333"/>
          <w:sz w:val="36"/>
          <w:szCs w:val="36"/>
          <w:shd w:val="clear" w:color="auto" w:fill="FFFFFF"/>
        </w:rPr>
      </w:pPr>
      <w:r>
        <w:rPr>
          <w:rFonts w:ascii="Times New Roman" w:hAnsi="Times New Roman" w:eastAsia="仿宋" w:cs="Times New Roman"/>
          <w:b/>
          <w:bCs/>
          <w:color w:val="333333"/>
          <w:sz w:val="36"/>
          <w:szCs w:val="36"/>
          <w:shd w:val="clear" w:color="auto" w:fill="FFFFFF"/>
        </w:rPr>
        <w:t>舒城县畜禽养殖污染防治规划（2023-2027年）   编制说明</w:t>
      </w: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一、规划编制背景</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（一）规划编制背景</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为进一步加强畜禽养殖污染防治工作，加快推进畜牧业高质量发展，以促进畜牧业绿色高质量发展为目标，以改善生态环境质量为核心，以规模化畜禽养殖场为重点，加快形成以种养结合、农牧循环、就近消纳、产业化综合利用为主线的畜禽养殖污染治理体系，为实施乡村振兴战略和“美好安徽”建设提供有力支撑，六安市舒城县生态环境分局组织开展了《舒城</w:t>
      </w:r>
      <w:r>
        <w:rPr>
          <w:rFonts w:hint="eastAsia" w:ascii="Times New Roman" w:hAnsi="Times New Roman" w:eastAsia="仿宋" w:cs="Times New Roman"/>
          <w:color w:val="333333"/>
          <w:sz w:val="32"/>
          <w:szCs w:val="32"/>
        </w:rPr>
        <w:t>县</w:t>
      </w:r>
      <w:r>
        <w:rPr>
          <w:rFonts w:ascii="Times New Roman" w:hAnsi="Times New Roman" w:eastAsia="仿宋" w:cs="Times New Roman"/>
          <w:color w:val="333333"/>
          <w:sz w:val="32"/>
          <w:szCs w:val="32"/>
        </w:rPr>
        <w:t>畜禽养殖污染防治规划（2023-2027年）》编制工作。</w:t>
      </w:r>
    </w:p>
    <w:p>
      <w:pPr>
        <w:pStyle w:val="7"/>
        <w:shd w:val="clear" w:color="auto" w:fill="FFFFFF"/>
        <w:spacing w:before="0" w:beforeAutospacing="0" w:after="0" w:afterAutospacing="0"/>
        <w:ind w:firstLine="482"/>
        <w:jc w:val="both"/>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（二）规划编制过程</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为了确保规划编制工作顺利进行，由六安市舒城县生态环境分局牵头，联合舒城县农业农村局编制本规划，为保障规划编制工作有序进行，编制具体过程如下：</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2023年6月，组成舒城畜禽养殖污染防治规划编制团队，并向各相关单位征集规划编制基础资料，并着手规划编制的前期工作。</w:t>
      </w:r>
      <w:r>
        <w:rPr>
          <w:rFonts w:hint="eastAsia" w:ascii="Times New Roman" w:hAnsi="Times New Roman" w:eastAsia="仿宋" w:cs="Times New Roman"/>
          <w:color w:val="333333"/>
          <w:sz w:val="32"/>
          <w:szCs w:val="32"/>
        </w:rPr>
        <w:t>同时，</w:t>
      </w:r>
      <w:r>
        <w:rPr>
          <w:rFonts w:ascii="Times New Roman" w:hAnsi="Times New Roman" w:eastAsia="仿宋" w:cs="Times New Roman"/>
          <w:color w:val="333333"/>
          <w:sz w:val="32"/>
          <w:szCs w:val="32"/>
        </w:rPr>
        <w:t>为进一步提高规划的编制水平和质量，使规划更加切合舒城县实际情况，编制人员深入乡镇进行摸排调研，完成规划初稿的编制工作。</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2023年6月30日通过专家评审，根据专家意见进一步完善文本，最终形成规划报批稿。</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（三）规划编制依据</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1.法律法规</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（1）《中华人民共和国环境保护法》；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（2）《中华人民共和国水污染防治法》；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（3）《中华人民共和国大气污染防治法》；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（4）《中华人民共和国土壤污染防治法》；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（5）《中华人民共和国固体废弃物污染环境</w:t>
      </w:r>
      <w:r>
        <w:rPr>
          <w:rFonts w:hint="eastAsia" w:ascii="Times New Roman" w:hAnsi="Times New Roman" w:eastAsia="仿宋" w:cs="Times New Roman"/>
          <w:color w:val="333333"/>
          <w:sz w:val="32"/>
          <w:szCs w:val="32"/>
        </w:rPr>
        <w:t>防治</w:t>
      </w:r>
      <w:r>
        <w:rPr>
          <w:rFonts w:ascii="Times New Roman" w:hAnsi="Times New Roman" w:eastAsia="仿宋" w:cs="Times New Roman"/>
          <w:color w:val="333333"/>
          <w:sz w:val="32"/>
          <w:szCs w:val="32"/>
        </w:rPr>
        <w:t>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（6）《中华人民共和国畜牧法》；</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（7）《畜</w:t>
      </w:r>
      <w:r>
        <w:rPr>
          <w:rFonts w:hint="eastAsia" w:ascii="Times New Roman" w:hAnsi="Times New Roman" w:eastAsia="仿宋" w:cs="Times New Roman"/>
          <w:color w:val="333333"/>
          <w:sz w:val="32"/>
          <w:szCs w:val="32"/>
        </w:rPr>
        <w:t>禽</w:t>
      </w:r>
      <w:r>
        <w:rPr>
          <w:rFonts w:ascii="Times New Roman" w:hAnsi="Times New Roman" w:eastAsia="仿宋" w:cs="Times New Roman"/>
          <w:color w:val="333333"/>
          <w:sz w:val="32"/>
          <w:szCs w:val="32"/>
        </w:rPr>
        <w:t>规模养殖污染防治条例》。</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2.标准规范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（1）GB 5084农田灌溉水质标准；</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（2）GB 15618土壤环境质量 农用地土壤污染风险管控标准（试行）；</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（3）GB 18596畜禽养殖业污染物排放标准；</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（4）GB/T 18877有机-无机复混肥料；</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（5）GB/T 25169畜禽粪便监测技术规范；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（6）GB/T 25246畜禽粪便还田技术规范；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（7）GB/T 26624畜禽养殖污水贮存设施设计要求；</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（8）GB/T 27522畜禽养殖污水采样技术规范；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（9）GB/T 27622畜禽粪便贮存设施设计要求；</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（10）GB/T 36195畜禽粪便无害化技术处理规范；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（11）HJ 497畜禽养殖业污染治理工程技术规范；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（12）HJ 1029排污许可证申请与核发技术规范 畜禽养殖行业；</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（13）HJ/T 81畜禽养殖业污染防治技术规范；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（14）NY/T 525有机肥料；</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（15）NY/T 1169畜禽场环境污染控制技术规范；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（16）NY/T 2065沼肥施用技术规范；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（17）NY/T 3442畜禽粪便堆肥技术规范。</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3.政策文件</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（1）《国务院办公厅关于促进畜牧业高质量发展的意见》（国办发〔2020〕31号）；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（2）《国务院办公厅关于加快推进畜禽养殖废弃物资源化利用的意见》（国办发〔2017〕48号）；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（3）《关于进一步加快推进畜禽养殖污染防治规划编制的通知》(环办土壤函〔2022〕82号)；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（4）《畜禽养殖污染防治规划编制指南（试行）》（环办土壤函〔2021〕465号）；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（5）《农业面源污染治理与监督指导实施方案（试行）》（环办土壤〔2021〕8号）；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（6）《关于进一步明确畜禽粪污还田利用要求强化养殖污染监管的通知》（农办牧〔2020〕23号）；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（7）《关于促进畜禽粪污还田利用 依法加强养殖污染治理的指导意见》（农办牧〔2019〕84 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（8）《关于做好畜禽粪污资源化利用跟踪监测工作的通知》（农办牧〔2018〕28号）；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（9）《畜禽规模养殖场粪污资源化利用设施建设规范（试行）》（农办牧〔2018〕2号）；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（10）《畜禽粪污土地承载力测算技术指南》（农办牧〔2018〕1号）；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（11）《关于开展水环境承载力评价工作的通知》（环办水体函〔2020〕538号）；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（12）《关于印发畜禽养殖场（户）粪污处理设施建设技术指南》的通知（农办牧〔2022〕19号）；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（13）《安徽省生态环境厅 安徽省农业农村厅 关于进一步加快推进畜禽养殖污染防治规划编制的通知》（皖环函〔2022〕375号）；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（14）《安徽省人民政府关于印发 安徽省国民经济和社会发展第十四个五年规划和2035年远景目标纲要的通知》（皖政〔2021〕16号）；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（15）《安徽省“十四五”现代畜牧业发展规划》；</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（16）《安徽省畜禽粪污资源化利用五年提升行动计划（2021-2025年）》；</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（17）《安徽省“十四五”畜禽粪污资源化利用发展规划（2021-2025年）》；</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（18）《巢湖流域水污染防治条例》；</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（19）《安徽省“十四五”重点流域水生态环境保护规划》（皖环发〔2022〕17号）；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（20）《安徽省“十四五”畜禽养殖污染防治规划》；</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（21）《舒城县人民政府办公室关于印发舒城县畜禽养殖禁养区划定方案（修订）的通知》（舒政办秘〔2019〕80号）。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（22）《关于加强畜禽粪污资源化利用计划和台账管理的通知》（农办牧〔2021〕46号）</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（23）《舒城</w:t>
      </w:r>
      <w:r>
        <w:rPr>
          <w:rFonts w:hint="eastAsia" w:ascii="Times New Roman" w:hAnsi="Times New Roman" w:eastAsia="仿宋" w:cs="Times New Roman"/>
          <w:color w:val="333333"/>
          <w:sz w:val="32"/>
          <w:szCs w:val="32"/>
        </w:rPr>
        <w:t>县</w:t>
      </w:r>
      <w:r>
        <w:rPr>
          <w:rFonts w:ascii="Times New Roman" w:hAnsi="Times New Roman" w:eastAsia="仿宋" w:cs="Times New Roman"/>
          <w:color w:val="333333"/>
          <w:sz w:val="32"/>
          <w:szCs w:val="32"/>
        </w:rPr>
        <w:t>国土空间总体规划（2021-2035年）》</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（24）《舒城县“十四五”生态环境保护规划（2021-2025）》</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（25）《舒城县“十四五”畜禽粪污治理和资源化利用发展规划》</w:t>
      </w:r>
    </w:p>
    <w:p>
      <w:pPr>
        <w:pStyle w:val="7"/>
        <w:shd w:val="clear" w:color="auto" w:fill="FFFFFF"/>
        <w:spacing w:before="0" w:beforeAutospacing="0" w:after="0" w:afterAutospacing="0"/>
        <w:ind w:firstLine="480"/>
        <w:rPr>
          <w:rFonts w:ascii="Times New Roman" w:hAnsi="Times New Roman" w:eastAsia="仿宋" w:cs="Times New Roman"/>
          <w:color w:val="333333"/>
          <w:sz w:val="32"/>
          <w:szCs w:val="32"/>
        </w:rPr>
      </w:pPr>
      <w:r>
        <w:rPr>
          <w:rFonts w:ascii="Times New Roman" w:hAnsi="Times New Roman" w:eastAsia="仿宋" w:cs="Times New Roman"/>
          <w:color w:val="333333"/>
          <w:sz w:val="32"/>
          <w:szCs w:val="32"/>
        </w:rPr>
        <w:t>（26）《舒城“十四五”农业农村现代化发展规划》</w:t>
      </w: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二、规划目标分析</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（一）规划目标</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畜禽养殖业污染防治规划的总体目标：以城市总体规划和其他规划为基础、依据和引导，大力倡导发展生态畜牧业，构建种养结合、农牧循环发展模式，因地制宜建设粪污收集、贮存、处理、利用设施，实现以粪污资源化利用为主体的畜禽养殖污染防治目标。</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到</w:t>
      </w:r>
      <w:r>
        <w:rPr>
          <w:rFonts w:ascii="Times New Roman" w:hAnsi="Times New Roman" w:eastAsia="仿宋" w:cs="Times New Roman"/>
          <w:sz w:val="32"/>
          <w:szCs w:val="32"/>
        </w:rPr>
        <w:t>2025年，全县畜禽粪污综合利用率达到90%，畜禽规模养殖场粪污处理设施装备配套率达到97%，病死畜禽逐步实现集中收集、统一无害化处理。畜禽规模养殖场粪污资源化利用台账建设全覆盖。规模化畜禽养殖场新、改、扩建项目环境影响评价执行率达到100%。设有污水排放口的规模化畜禽养殖场（小区）排污许可证执行率100%。达标排放的畜禽规模养殖场自主监测覆盖率达到100%。</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到</w:t>
      </w:r>
      <w:r>
        <w:rPr>
          <w:rFonts w:ascii="Times New Roman" w:hAnsi="Times New Roman" w:eastAsia="仿宋" w:cs="Times New Roman"/>
          <w:sz w:val="32"/>
          <w:szCs w:val="32"/>
        </w:rPr>
        <w:t>2027年，建立科学规范、权责清晰、约束有力的畜禽养殖废弃物资源化利用体系，构建种养结合循环发展机制。全县畜禽粪污综合利用率达到92%以上，畜禽规模养殖场粪污处理设施装备配套率稳定在98%以上，病死畜禽全面实现集中收集、统一无害化处理。畜禽规模养殖场粪污资源化利用台账建设保持全覆盖。加强畜禽养殖废弃物资源化利用过程中的环境监管，规模养殖场年度执法检查做到全覆盖，禁养区内确需关闭搬迁的规模养殖场（户）实现全部整治，规模化畜禽养殖场新、改、扩建项目环境影响评价执行率稳定在100%。设有污水排放口的规模化畜禽养</w:t>
      </w:r>
      <w:r>
        <w:rPr>
          <w:rFonts w:hint="eastAsia" w:ascii="Times New Roman" w:hAnsi="Times New Roman" w:eastAsia="仿宋" w:cs="Times New Roman"/>
          <w:sz w:val="32"/>
          <w:szCs w:val="32"/>
        </w:rPr>
        <w:t>殖场（小区）排污许可证执行率稳定在</w:t>
      </w:r>
      <w:r>
        <w:rPr>
          <w:rFonts w:ascii="Times New Roman" w:hAnsi="Times New Roman" w:eastAsia="仿宋" w:cs="Times New Roman"/>
          <w:sz w:val="32"/>
          <w:szCs w:val="32"/>
        </w:rPr>
        <w:t>100%。达标排放的畜禽规模养殖场自主监测覆盖率稳定在100%。</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（二）目标可实现性分析</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截至2022年底，舒城县现有粪肥需配套的消纳土地面积远远低于农作物种植面积，剩余环境容量约为57.53万头猪当量，具备就地就农处理和资源化利用畜禽养殖粪便的潜力。</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预计到2027年，通过优化畜禽养殖布局、明确治污总体要求、提升畜禽粪污资源化利用水平、完善粪污处理和利用设施等任务的完成，以及舒城县“十四五”畜禽粪污治理和资源化利用发展规划和相关规划的实施，畜禽粪污综合利用率将得到进一步的巩固和加强。通过严格执行《关于加强畜禽粪污资源化利用计划和台账管理的通知》（农办牧〔2021〕46号），畜禽规模养殖场粪污资源化利用台账建设率将达到国家和省相关要求。</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综上，预计到2027年，舒城县畜禽养殖污染防治规划目标能如期实现。</w:t>
      </w: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三、与相关规划的衔接情况</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（一）与《舒城县国民经济和社会发展第十四个五年规划和</w:t>
      </w:r>
      <w:r>
        <w:rPr>
          <w:rFonts w:hint="eastAsia" w:ascii="Times New Roman" w:hAnsi="Times New Roman" w:eastAsia="仿宋" w:cs="Times New Roman"/>
          <w:b/>
          <w:bCs/>
          <w:color w:val="333333"/>
          <w:sz w:val="32"/>
          <w:szCs w:val="32"/>
        </w:rPr>
        <w:t>2</w:t>
      </w:r>
      <w:r>
        <w:rPr>
          <w:rFonts w:ascii="Times New Roman" w:hAnsi="Times New Roman" w:eastAsia="仿宋" w:cs="Times New Roman"/>
          <w:b/>
          <w:bCs/>
          <w:color w:val="333333"/>
          <w:sz w:val="32"/>
          <w:szCs w:val="32"/>
        </w:rPr>
        <w:t>035年远景目标纲要》的衔接</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国民经济和社会发展第十四个五年规划和2035年远景目标纲要》中提出：“扎实推进村庄清洁、农作物秸秆综合利用、畜禽粪污资源化利用、村庄规划建设提升“三大行动”；开展畜禽养殖污染、黑臭水体和入河排污口整治”。本规划中，重点实施畜禽养殖粪污污染防治及资源化利用工作，提升畜禽粪污资源化利用水平，与舒城“十四五”规划相符。</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（二）与《舒城县“十四五”畜禽粪污治理和资源化利用发展规划》的衔接情况</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县“十四五”畜禽粪污治理和资源化利用发展规划》中规定：“到2025年，全县畜禽粪污处理设施配套得到全面提升，规模养殖场粪污处理设施装备配套率稳定在97%以上，规模以下养殖场基本配套相应的粪污处理设施；粪肥还田利用取得阶段性成效，全县畜禽粪污综合利用率达到90%以上，粪肥还田机械化、产业化和规范化水平得到提升，液体粪污肥料化利用、商品有机肥施用水平稳步提高，土壤有机质含量明显提升，减排固碳成效显著，农业绿色发展支撑能力明显增强，以粪肥还田利用为纽带的种养结合循环发展格局初步形成。”本规划拟与畜禽粪污资源化利用保持一致，到2025年，畜禽粪污综合利用率拟达到90%以上，畜禽规模养殖场粪污处理设施装备配套率拟达到97%以上，满足《舒城县“十四五”畜禽粪污治理和资源化利用发展规划》的规定。</w:t>
      </w: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四、畜禽养殖污染防治现状调查评估</w:t>
      </w:r>
    </w:p>
    <w:p>
      <w:pPr>
        <w:pStyle w:val="7"/>
        <w:shd w:val="clear" w:color="auto" w:fill="FFFFFF"/>
        <w:spacing w:before="0" w:beforeAutospacing="0" w:after="0" w:afterAutospacing="0"/>
        <w:ind w:firstLine="482"/>
        <w:rPr>
          <w:rFonts w:ascii="Times New Roman" w:hAnsi="Times New Roman" w:eastAsia="仿宋" w:cs="Times New Roman"/>
          <w:b/>
          <w:bCs/>
          <w:sz w:val="32"/>
          <w:szCs w:val="32"/>
        </w:rPr>
      </w:pPr>
      <w:r>
        <w:rPr>
          <w:rFonts w:ascii="Times New Roman" w:hAnsi="Times New Roman" w:eastAsia="仿宋" w:cs="Times New Roman"/>
          <w:b/>
          <w:bCs/>
          <w:color w:val="333333"/>
          <w:sz w:val="32"/>
          <w:szCs w:val="32"/>
        </w:rPr>
        <w:t>（一）</w:t>
      </w:r>
      <w:r>
        <w:rPr>
          <w:rFonts w:ascii="Times New Roman" w:hAnsi="Times New Roman" w:eastAsia="仿宋" w:cs="Times New Roman"/>
          <w:b/>
          <w:bCs/>
          <w:sz w:val="32"/>
          <w:szCs w:val="32"/>
        </w:rPr>
        <w:t>畜禽养殖污染物处理方式和现状</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.舒城县畜禽养殖污染物处理方式</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舒城县因地制宜、因场施策，畜禽养殖业转型升级不断加快，绿色发展已成共识，过去养殖场粪便乱堆乱放、污水横流、蝇虫乱飞的现象早已彻底改变，取而代之的是场内干净整洁的环境、场外清澈见底的沟渠、场周明显改善的空气质量，种养结合紧密，农牧有效循环，粪肥（或有机肥）还田比例不断提升。目前，全县畜禽规模养殖场粪污处理设施装备配套合格率保持在</w:t>
      </w:r>
      <w:r>
        <w:rPr>
          <w:rFonts w:ascii="Times New Roman" w:hAnsi="Times New Roman" w:eastAsia="仿宋" w:cs="Times New Roman"/>
          <w:sz w:val="32"/>
          <w:szCs w:val="32"/>
        </w:rPr>
        <w:t>95%以上，畜禽粪污综合利用率达到85%以上。</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舒城县扎实推进畜禽粪污治理和资源化利用工作，始终坚持以项目实施为重要抓手，采用上级项目资金、县级财政资金和养殖主体的自筹资金等多方投入的方式，共同支持养殖场粪污处理和资源化利用设施建设，“十三五”期间先后组织实施了省财政畜禽粪污综合利用试点项目、舒城县农业面源污染治理项目、舒城县朱槽沟和民主河流域养殖场污染治理项目、舒城县秸秆综合利用试点项目等。</w:t>
      </w:r>
      <w:r>
        <w:rPr>
          <w:rFonts w:ascii="Times New Roman" w:hAnsi="Times New Roman" w:eastAsia="仿宋" w:cs="Times New Roman"/>
          <w:sz w:val="32"/>
          <w:szCs w:val="32"/>
        </w:rPr>
        <w:t>2020年又成功申报中央预算内投资畜禽粪污资源化利用整县推进项目，极大的提高了全县养殖场粪污处理设施的配套，基本解决了全县养殖场粪污处理设施配套不足问题，为畜禽粪污</w:t>
      </w:r>
      <w:r>
        <w:rPr>
          <w:rFonts w:hint="eastAsia" w:ascii="Times New Roman" w:hAnsi="Times New Roman" w:eastAsia="仿宋" w:cs="Times New Roman"/>
          <w:sz w:val="32"/>
          <w:szCs w:val="32"/>
        </w:rPr>
        <w:t>资源化利用提供了前提条件和重要支撑。</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.积累畜禽粪污治理和资源化利用技术模式和典型经验</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经过多年畜禽养殖污染物治理实践，舒城县总结凝练出“截污建池、就地制肥、就近还田”和“异地集中处理”二大模式，重点推广“干清粪</w:t>
      </w:r>
      <w:r>
        <w:rPr>
          <w:rFonts w:ascii="Times New Roman" w:hAnsi="Times New Roman" w:eastAsia="仿宋" w:cs="Times New Roman"/>
          <w:sz w:val="32"/>
          <w:szCs w:val="32"/>
        </w:rPr>
        <w:t>+堆肥发酵+肥水(或沼液)农田利用”“粪污全量收集+干湿分离+堆肥发酵+肥水(或沼液)农田利用”“粪污全量收集+深度厌氧发酵+农田利用”“异位发酵床技术”“肉鸡垫料堆肥利用”“异地生产有机肥”六项技术。中小养殖户按照“截污-建池-腐熟-还田”环节，配套建设雨污分流、粪污贮存腐熟以及粪肥还田利用设施等，实现粪污就近就地还田利用；规模养殖场按照“减量-截污-建池-制肥-收运-还田”环节，采</w:t>
      </w:r>
      <w:r>
        <w:rPr>
          <w:rFonts w:hint="eastAsia" w:ascii="Times New Roman" w:hAnsi="Times New Roman" w:eastAsia="仿宋" w:cs="Times New Roman"/>
          <w:sz w:val="32"/>
          <w:szCs w:val="32"/>
        </w:rPr>
        <w:t>取雨污分流、饮污分流、干湿分离等措施，配套建设节水设施、雨污分流管网、干粪堆肥场、粪污贮存发酵池、沼气池、黑膜池、异位发酵床等设施，实现粪污减量产生、全量收集、发酵制肥，再通过自我配套土地或与种植大户或家庭农场进行对接实现粪肥还田利用；此外，建成了舒城县沃土肥业有限公司，将畜禽粪污的制成商品有机肥或复混肥还田利用，实现畜禽粪污异地集中处理模式。</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（二）种养结合现状</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舒城主要以种植水稻、小麦等粮食作物为主，根据《畜禽粪污土地承载力测算技术指南》测算原则，畜禽规模养殖场配套土地面积测算以粪肥氮养分供给进行核算，故养殖场粪肥养分供给量、单位土地粪肥养分需求量等均以氮为标的元素进行养分测算和比较。</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以保守原则进行测算，土壤氮养分为Ⅱ级，施肥供给养分占比</w:t>
      </w:r>
      <w:r>
        <w:rPr>
          <w:rFonts w:ascii="Times New Roman" w:hAnsi="Times New Roman" w:eastAsia="仿宋" w:cs="Times New Roman"/>
          <w:sz w:val="32"/>
          <w:szCs w:val="32"/>
        </w:rPr>
        <w:t>45%，粪肥占施肥比例50%，当季利用率为25%，粪肥全部就地利用土地承载力为1.2猪当量/亩/当季，测算舒城各乡镇的配套土地粪肥消纳面积。以《舒城县国土空间总体规划（2021-2035年）》中基期耕地面积为参考，现有农作物种植面积还有较大的空间消纳畜禽养殖所产生的粪肥。</w:t>
      </w:r>
    </w:p>
    <w:p>
      <w:pPr>
        <w:pStyle w:val="7"/>
        <w:shd w:val="clear" w:color="auto" w:fill="FFFFFF"/>
        <w:spacing w:before="0" w:beforeAutospacing="0" w:after="0" w:afterAutospacing="0"/>
        <w:ind w:firstLine="482"/>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（三）存在的问题</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1）养殖主体畜禽粪污处理资金压力大。畜牧业经营属微利行业，市场波动性大，疫病风险高，一般2-3年一个周期，中小规模养殖场投入粪污处理利用设施设备，维护运行等是一件极其困难的事情，这对于属微利的中小规模养殖场来说，资金投入难以承受。</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2）缺乏统筹规划，种养脱节矛盾仍然存在。“养畜的不种地、种地的不养畜”现象较为普遍。由于过于强调规模化、区域化发展，忽略了畜禽粪便等的综合利用，种养结合深度不够，导致种植业规模与养殖规模不相适应，无法完全消纳畜禽粪便，种养结合、互利共赢的生态循环模式难以大规模普及。此外，沼液、沼渣、腐熟的粪肥和肥水等是很好的有机肥料，但由于肥效低、肥效慢、施用量大，还田输送成本高，且气味难闻，不如化肥施用方便、快捷，还田难度大，广大种植户只顾眼前利益，不愿施用粪肥，易造成种养脱结。</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3）由于舒城县特殊的地理环境，畜禽养殖体量偏小，沼气发电上网和生物天然气并网政策短期内难以落实；有机肥商品化生产、粪污资源化利用农机补贴政策落实等有待加强。</w:t>
      </w:r>
    </w:p>
    <w:p>
      <w:pPr>
        <w:spacing w:line="360" w:lineRule="auto"/>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4）粪污收储体系市场化运营水平仍需提升。实践表明，分区域建设畜禽粪便处理中心，通过专业化社会服务机构，将小规模的养殖场、散养户的畜禽粪便进行集中收集、运输、处理、利用，推进种养循环模式规模化推广，是解决中小规模养殖场粪便利用问题的有效措施。但舒城县现有粪污处理中心生产能力不足，畜禽粪污社会化服务体系建设不健全。</w:t>
      </w: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五、规划的主要成果和说明</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规划》分析了舒城畜禽养殖业现状、污染防治现状、种养结合现状及畜禽养殖现存的问题，制定了畜禽养殖污染防治的主要任务及重点工程，明确了工程投资估算与资金筹措，制定了针对畜禽养殖业的保障措施。</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《规划》实施后，可提升舒城县畜禽养殖污染防治水平，保护和改善生态环境，促进畜牧业绿色循环发展，为实施乡村振兴战略提供有力支撑。</w:t>
      </w:r>
    </w:p>
    <w:p>
      <w:pPr>
        <w:pStyle w:val="7"/>
        <w:shd w:val="clear" w:color="auto" w:fill="FFFFFF"/>
        <w:spacing w:before="0" w:beforeAutospacing="0" w:after="0" w:afterAutospacing="0"/>
        <w:ind w:firstLine="482"/>
        <w:jc w:val="center"/>
        <w:rPr>
          <w:rFonts w:ascii="Times New Roman" w:hAnsi="Times New Roman" w:eastAsia="仿宋" w:cs="Times New Roman"/>
          <w:b/>
          <w:bCs/>
          <w:sz w:val="32"/>
          <w:szCs w:val="32"/>
        </w:rPr>
      </w:pPr>
      <w:r>
        <w:rPr>
          <w:rFonts w:ascii="Times New Roman" w:hAnsi="Times New Roman" w:eastAsia="仿宋" w:cs="Times New Roman"/>
          <w:b/>
          <w:bCs/>
          <w:sz w:val="32"/>
          <w:szCs w:val="32"/>
        </w:rPr>
        <w:t>六、有关意见及修改说明</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有关部门及专家评审意见如下。</w:t>
      </w:r>
    </w:p>
    <w:p>
      <w:pPr>
        <w:spacing w:line="360" w:lineRule="auto"/>
        <w:rPr>
          <w:rFonts w:ascii="Times New Roman" w:hAnsi="Times New Roman" w:eastAsia="仿宋" w:cs="Times New Roman"/>
          <w:sz w:val="32"/>
          <w:szCs w:val="32"/>
        </w:rPr>
      </w:pPr>
      <w:r>
        <w:drawing>
          <wp:inline distT="0" distB="0" distL="0" distR="0">
            <wp:extent cx="5274310" cy="70377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b="5648"/>
                    <a:stretch>
                      <a:fillRect/>
                    </a:stretch>
                  </pic:blipFill>
                  <pic:spPr>
                    <a:xfrm>
                      <a:off x="0" y="0"/>
                      <a:ext cx="5274310" cy="7038109"/>
                    </a:xfrm>
                    <a:prstGeom prst="rect">
                      <a:avLst/>
                    </a:prstGeom>
                    <a:noFill/>
                    <a:ln>
                      <a:noFill/>
                    </a:ln>
                  </pic:spPr>
                </pic:pic>
              </a:graphicData>
            </a:graphic>
          </wp:inline>
        </w:drawing>
      </w:r>
    </w:p>
    <w:p>
      <w:pPr>
        <w:spacing w:line="360" w:lineRule="auto"/>
        <w:rPr>
          <w:rFonts w:ascii="Times New Roman" w:hAnsi="Times New Roman" w:eastAsia="仿宋" w:cs="Times New Roman"/>
          <w:sz w:val="32"/>
          <w:szCs w:val="32"/>
        </w:rPr>
      </w:pPr>
      <w:r>
        <w:drawing>
          <wp:inline distT="0" distB="0" distL="0" distR="0">
            <wp:extent cx="5274310" cy="70656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b="5276"/>
                    <a:stretch>
                      <a:fillRect/>
                    </a:stretch>
                  </pic:blipFill>
                  <pic:spPr>
                    <a:xfrm>
                      <a:off x="0" y="0"/>
                      <a:ext cx="5274310" cy="7065818"/>
                    </a:xfrm>
                    <a:prstGeom prst="rect">
                      <a:avLst/>
                    </a:prstGeom>
                    <a:noFill/>
                    <a:ln>
                      <a:noFill/>
                    </a:ln>
                  </pic:spPr>
                </pic:pic>
              </a:graphicData>
            </a:graphic>
          </wp:inline>
        </w:drawing>
      </w:r>
    </w:p>
    <w:p>
      <w:pPr>
        <w:spacing w:line="360" w:lineRule="auto"/>
        <w:rPr>
          <w:rFonts w:ascii="Times New Roman" w:hAnsi="Times New Roman" w:eastAsia="仿宋" w:cs="Times New Roman"/>
          <w:sz w:val="32"/>
          <w:szCs w:val="32"/>
        </w:rPr>
      </w:pPr>
      <w:r>
        <w:drawing>
          <wp:inline distT="0" distB="0" distL="0" distR="0">
            <wp:extent cx="5274310" cy="74593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7459345"/>
                    </a:xfrm>
                    <a:prstGeom prst="rect">
                      <a:avLst/>
                    </a:prstGeom>
                    <a:noFill/>
                    <a:ln>
                      <a:noFill/>
                    </a:ln>
                  </pic:spPr>
                </pic:pic>
              </a:graphicData>
            </a:graphic>
          </wp:inline>
        </w:drawing>
      </w:r>
    </w:p>
    <w:p>
      <w:pPr>
        <w:spacing w:line="360" w:lineRule="auto"/>
        <w:rPr>
          <w:rFonts w:ascii="Times New Roman" w:hAnsi="Times New Roman" w:eastAsia="仿宋" w:cs="Times New Roman"/>
          <w:sz w:val="32"/>
          <w:szCs w:val="32"/>
        </w:rPr>
      </w:pPr>
    </w:p>
    <w:p>
      <w:pPr>
        <w:pStyle w:val="7"/>
        <w:shd w:val="clear" w:color="auto" w:fill="FFFFFF"/>
        <w:spacing w:before="0" w:beforeAutospacing="0" w:after="0" w:afterAutospacing="0"/>
        <w:ind w:firstLine="482"/>
        <w:jc w:val="center"/>
        <w:rPr>
          <w:rFonts w:ascii="Times New Roman" w:hAnsi="Times New Roman" w:eastAsia="仿宋" w:cs="Times New Roman"/>
          <w:b/>
          <w:bCs/>
          <w:color w:val="333333"/>
          <w:sz w:val="32"/>
          <w:szCs w:val="32"/>
        </w:rPr>
      </w:pPr>
      <w:r>
        <w:rPr>
          <w:rFonts w:ascii="Times New Roman" w:hAnsi="Times New Roman" w:eastAsia="仿宋" w:cs="Times New Roman"/>
          <w:b/>
          <w:bCs/>
          <w:color w:val="333333"/>
          <w:sz w:val="32"/>
          <w:szCs w:val="32"/>
        </w:rPr>
        <w:t>七、其他需要说明的情况</w:t>
      </w:r>
    </w:p>
    <w:p>
      <w:pPr>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无</w:t>
      </w:r>
    </w:p>
    <w:p>
      <w:pPr>
        <w:spacing w:line="360" w:lineRule="auto"/>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附表1 舒城县畜禽规模养殖场基础信息表</w:t>
      </w: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舒城县畜禽规模养殖场基础信息表</w:t>
      </w:r>
      <w:r>
        <w:rPr>
          <w:rFonts w:hint="eastAsia" w:ascii="Times New Roman" w:hAnsi="Times New Roman" w:eastAsia="仿宋" w:cs="Times New Roman"/>
          <w:sz w:val="30"/>
          <w:szCs w:val="30"/>
        </w:rPr>
        <w:t>（单位：头</w:t>
      </w:r>
      <w:r>
        <w:rPr>
          <w:rFonts w:ascii="Times New Roman" w:hAnsi="Times New Roman" w:eastAsia="仿宋" w:cs="Times New Roman"/>
          <w:sz w:val="30"/>
          <w:szCs w:val="30"/>
        </w:rPr>
        <w:t>/只/羽）</w:t>
      </w:r>
    </w:p>
    <w:tbl>
      <w:tblPr>
        <w:tblStyle w:val="8"/>
        <w:tblW w:w="5000" w:type="pct"/>
        <w:tblInd w:w="0" w:type="dxa"/>
        <w:tblLayout w:type="autofit"/>
        <w:tblCellMar>
          <w:top w:w="0" w:type="dxa"/>
          <w:left w:w="108" w:type="dxa"/>
          <w:bottom w:w="0" w:type="dxa"/>
          <w:right w:w="108" w:type="dxa"/>
        </w:tblCellMar>
      </w:tblPr>
      <w:tblGrid>
        <w:gridCol w:w="1043"/>
        <w:gridCol w:w="5801"/>
        <w:gridCol w:w="3082"/>
        <w:gridCol w:w="729"/>
        <w:gridCol w:w="995"/>
        <w:gridCol w:w="1262"/>
        <w:gridCol w:w="1262"/>
      </w:tblGrid>
      <w:tr>
        <w:tblPrEx>
          <w:tblCellMar>
            <w:top w:w="0" w:type="dxa"/>
            <w:left w:w="108" w:type="dxa"/>
            <w:bottom w:w="0" w:type="dxa"/>
            <w:right w:w="108" w:type="dxa"/>
          </w:tblCellMar>
        </w:tblPrEx>
        <w:trPr>
          <w:trHeight w:val="480"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序号</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养殖场名称</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养殖场地址</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养殖畜种</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设计存栏规模</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设计年出栏规模</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仿宋" w:cs="Times New Roman"/>
                <w:b/>
                <w:bCs/>
                <w:color w:val="000000"/>
                <w:kern w:val="0"/>
                <w:szCs w:val="21"/>
              </w:rPr>
              <w:t>粪污设施是否配套</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舒城县桃溪镇家宏养殖场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桃溪镇王泊村学校组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舒城县桃溪镇宇航养猪场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桃溪镇四圩岗西组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舒城县桃溪镇诚信生猪养殖场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桃溪镇四圩岗东组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舒城县桃溪镇陈坤养殖场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桃溪镇苍墩村胜利组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舒城代元生态养殖有限责任公司（桃溪镇）</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桃溪镇枣林村委会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舒城县桃溪镇河东家庭农场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桃溪镇河东村委会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朱学才养鸡场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桃溪镇王泊村一心组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石仕存养鸡场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桃溪镇金圩村大庄组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沈志发养鸡场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桃溪镇金圩村共和组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金霞养鸡场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桃溪镇王泊村邹庄组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张先文养鸡场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桃溪镇四圩村胡圩组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舒城县桃溪镇胡圩肉鸡养殖场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桃溪镇四圩村胡圩组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汪世权养鸡场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桃溪镇四圩新庄组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舒城县桃溪镇舒乐养殖场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桃溪镇龙舒村舒东组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舒城县张母桥镇蓝孔雀家庭农场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张母桥镇陡河村委会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舒城县张母桥镇康伍生猪繁育养殖场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张母桥镇东岗村大庄组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团山鸡场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张母桥镇长堰村草屋组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舒城县张母桥镇旺盛养殖场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张母桥镇陡河村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安徽板山农业发展有限公司</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张母桥镇陡河村红旗组</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舒城县禽旺养殖场</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张母桥镇长冲村</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64000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舒城县东辰养殖有限公司</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汤池镇油坊村</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舒城油坊农民专业合作社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汤池镇汤池村委会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舒城县众合生态养殖有限公司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汤池镇谭岭村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富源良种猪场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干汊河镇乌羊村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舒城县干汊河镇旺胜生态养殖场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干汊河镇泉堰村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安徽青桐农牧有限公司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干汊河镇春塘村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光华公司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干汊河镇洪宕村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舒城县干汊河镇瑞林家庭农场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干汊河镇复元村委会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舒城县振华肉牛养殖有限公司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干汊河镇洪宕村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牛</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舒城县干汊河镇赵勋甫家庭农场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干汊河镇九龙塘村委会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舒城县代元生态养殖有限公司（干汊河靠山村）</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干汊河镇靠山村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舒城县干汊河镇鑫园养殖场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干汊河镇九龙塘村委会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舒城县干汊河镇中慧养殖场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干汊河镇九龙塘村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赵善久养猪场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千人桥镇鲍桥村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舒城天河养殖有限公司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千人桥周圩村周圩组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韦九安养鸡场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千人桥镇千人桥村皂树组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邵祥华养鸡场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千人桥镇路里村长庄组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舒城县万佛湖镇远双养猪场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万佛湖高潮村宋岭组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舒城县万佛湖镇羊山村中良生态养殖场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万佛湖镇羊山村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安徽清河源特种养殖有限公司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万佛湖镇友谊村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舒城县荣江养殖有限公司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万佛湖镇羊山村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牛</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武立峰养鸡场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万佛湖镇友谊村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武大发养鸡场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万佛湖镇友谊村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张志平养鸡场</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万佛湖镇友谊村</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安徽亿莲生态养殖公司</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万佛湖邵院村先锋组</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舒城县柏林乡康元生态养殖有限公司</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柏林乡界河农场</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舒城县柏林乡顺旺养殖场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柏林乡袁塘村</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450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舒城县柏林乡六拐塘生态养殖场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柏林乡石岗连塘</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舒城县柏林乡谢河村谢氏养殖场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柏林乡谢河谢庄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980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舒城县柏林乡隍城鼎盛养殖专业合作社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柏林乡石岗村委会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舒城县魏军生猪养殖家庭农场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柏林乡双墩村委会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舒城县柏林乡立华养殖场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柏林乡蔡店村委会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舒城县柏林乡鑫旺养殖场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柏林乡谢河双合</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舒城县柏林乡军奇养殖场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柏林乡双墩卫庄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舒城县柏林乡东升畜牧养殖场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柏林乡柏林俞庄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舒城县柏林乡国盛家庭农场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柏林乡谢河村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舒城县柏林乡绪勤养殖场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柏林乡界河村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舒城县柏林乡立全家庭农场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柏林乡蔡店村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舒城县柏林乡袓龙家庭农场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柏林乡秦桥村委会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李氏生态养殖场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柏林乡石岗南塘</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毛从枪养殖场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柏林乡洪圩村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青风岭养殖场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柏林乡苏桥村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谢申稳养鸡场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柏林乡谢河村老圩组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张老三养殖场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柏林乡石井村高沟组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周本春养鸡场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柏林乡马松村马松组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周传海养鸡场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柏林乡马松村马松组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施申能养殖场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柏林乡花城村公塘组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赵丰明养殖场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柏林乡花城村公塘组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69</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樊定根养鸡场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柏林乡秦桥村城北组</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舒城县柏林乡曹书文蛋鸡场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柏林乡秦桥村委会</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71</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许理书养鸡场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柏林秦桥马场</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清塘养殖场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柏林秦桥清塘</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舒城县女占塘生态养殖有限公司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百神庙镇枣木桥村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舒城县明公农业开发有限公司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百神庙镇金桥村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舒城县百神庙镇吉庆养猪场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百神庙镇郑圩村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舒城县百神庙镇胡玉松生猪养殖家庭农场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百神庙镇舒房村委会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舒城县百神庙镇吴清林家庭农场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百神庙镇林波村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舒城县百神庙镇功鲍蛋鸡养殖家庭农场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百神庙镇百神庙村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舒城县百神庙和兴养鸡场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百神庙镇金东村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郑要伍养鸡场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百神庙镇百神庙村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舒城县百神庙镇胡学付养殖场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百神庙镇林波村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舒城县祥龙生态养殖专业合作社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南港镇龙潭村中心组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舒城县园林生态养猪专业合作社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南港镇公义村江榜组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安徽雄丰养殖有限公司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南港镇藕塘村蒋庄组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王永良</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南港镇藕塘村狮地组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舒城县三子生态农业家庭农场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南港镇益山村草榜组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舒城县和瑞生态养殖专业合作社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南港镇龙潭村谢拐组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舒城为国生态农业发展有限公司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南港镇沙埂村委会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张世传养鸡场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南港镇金星村香店组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韦传宝养鸡场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南港镇金星村黄墩组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任永来养鸡场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南港镇藕塘村蒋庄组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陈存清养鸡场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南港镇藕塘村伍老组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杨令中养鸡场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南港镇河西村大树组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舒城红兵生态养殖有限公司</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舒茶镇三拐村井东</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王明胜养鸡场</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舒茶镇山埠村</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96</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舒城县舒茶镇红燕家庭农场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舒茶镇军埠村</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舒城县红星家庭农场一颗印分场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舒茶镇一颗印村委会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舒城县舒茶镇舒林生态家庭农场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舒茶镇石塘村石堰组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舒城代元生态养殖有限责任公司（舒茶镇）</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舒茶镇龙王庙村委会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王朴养鸡场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舒茶镇小河湾村石门</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赵斌养鸡场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舒茶镇山埠村迎河</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王明武养鸡场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舒茶镇茶园村北头</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陶一玉养鸡场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舒茶镇石塘村陶庄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桂德友养鸡场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舒茶镇石塘村桂庄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谢啟荣养鸡场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舒茶镇火龙岗村石山</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舒城县棠树乡路西养殖场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棠树乡路西村长庄组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安徽种源牧业有限公司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棠树乡桂花村新建组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舒城县棠树乡绿农生态畜牧综合养殖场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棠树乡三拐村两对门组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舒城县棠树乡龙墩家庭农场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棠树乡寒塘村仓坊组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舒城县棠树乡可凡家庭农场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棠树乡黄岗村朱老庄组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舒城县振兴农民专业合作社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棠树乡黄岗村谈大庄组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舒城县棠树乡美青养猪场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棠树乡桂花村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560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舒城县棠树乡国盛家庭农场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棠树乡棠树村委会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舒城县林升家庭农场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棠树乡烽西村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舒城县棠树乡伟睿家庭农场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棠树乡窑墩村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舒城县棠树乡荣新生态家庭农场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棠树乡棠树村委会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舒城县棠树乡正傲家庭农场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棠树乡窑墩村委会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舒城县棠树乡邱岗村德满养牛场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棠树乡邱岗村民主组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牛</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夏星养殖专业合作社邱岗养殖小区</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棠树乡邱岗村童心组</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安徽夏星禽业科技有限公司种鸡场</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舒城县棠树乡路西村</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121</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张春勤养鸡场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棠树乡洪院村李东组</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舒城县棠树乡鸿羽综合养殖场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棠树乡烽西村许洼组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舒城黄岗农民专业合作社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棠树乡黄岗村三姓庄组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舒城相邻相亲农民专业合作社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棠树乡西塘村张庄组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舒城县棠树乡松颗养殖场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棠树乡新安村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舒城县棠树乡新安养殖场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棠树乡新安村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舒城县皖科生态家庭农场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阙店乡三湾村石坝组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舒城县世年养殖专业合作社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阙店乡乔畈村和平组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舒城宏博农民专业合作社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阙店乡余冲村新磄组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舒城县昌玉香椿种植专业合作社</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阙店乡余冲村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舒城生辉农林畜牧有限公司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阙店乡管岭村委会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安徽金源农牧科技有限公司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城关镇邓岗村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舒城县城关镇鑫诚养殖场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城关镇城南村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安徽天然生态养殖有限公司</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城关镇邓岗村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舒城县城关镇宗永生态养殖场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城关镇卓山村委会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舒城县马河口乌鸦塘水产综合养殖场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城关镇舒玉村委会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恒福养殖场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城关镇石桥村蔡庄组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夏星公司城关养殖小区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城关镇合心、安合河滩地</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范育圣养殖场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城关镇学坛、河滩围梗旁</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叶勤言养鸡场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城关镇凡坛村西湾组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宋光长养鸡场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城关镇孔集村幸福组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舒城县聚诚禽业养殖专业合作社（城关镇）</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城关镇舒玉村委会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舒城县五显镇上河村越好养猪场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五显镇上河村委会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560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144</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舒城县五显镇蒋业胜养殖场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五显镇陈院村委会</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145</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舒城县五显镇显扬好运养殖场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五显镇显杨村委会</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146</w:t>
            </w:r>
          </w:p>
        </w:tc>
        <w:tc>
          <w:tcPr>
            <w:tcW w:w="204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韦法勇养殖场</w:t>
            </w:r>
          </w:p>
        </w:tc>
        <w:tc>
          <w:tcPr>
            <w:tcW w:w="108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五显镇韦洼村大圩组</w:t>
            </w:r>
          </w:p>
        </w:tc>
        <w:tc>
          <w:tcPr>
            <w:tcW w:w="2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秦之保养殖场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五显镇罗山村油坊组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武大明养殖场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五显镇余畈村大塘组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蒋现峰养殖场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五显镇显杨村王畈组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张文军养殖场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五显镇陈院村杨畈组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刘显根养殖场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五显镇陈院村张冲组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徐德新养鸡场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五显镇下河村塘埂组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汪年三养羊场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高峰乡普明村西山组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羊</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金宏养鸡场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高峰乡陶湾村湾弓组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舒城县聚诚禽业养殖专业合作社</w:t>
            </w:r>
            <w:r>
              <w:rPr>
                <w:rFonts w:ascii="Times New Roman" w:hAnsi="Times New Roman" w:eastAsia="宋体" w:cs="Times New Roman"/>
                <w:kern w:val="0"/>
                <w:szCs w:val="21"/>
              </w:rPr>
              <w:t>(</w:t>
            </w:r>
            <w:r>
              <w:rPr>
                <w:rFonts w:ascii="Times New Roman" w:hAnsi="Times New Roman" w:eastAsia="仿宋" w:cs="Times New Roman"/>
                <w:kern w:val="0"/>
                <w:szCs w:val="21"/>
              </w:rPr>
              <w:t>春秋乡</w:t>
            </w:r>
            <w:r>
              <w:rPr>
                <w:rFonts w:ascii="Times New Roman" w:hAnsi="Times New Roman" w:eastAsia="宋体" w:cs="Times New Roman"/>
                <w:kern w:val="0"/>
                <w:szCs w:val="21"/>
              </w:rPr>
              <w:t>)</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春秋乡三塘村委会</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舒城县春秋乡丰顺土鸡养殖场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春秋乡胜利村钟庄组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蛋鸡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仿宋" w:cs="Times New Roman"/>
                <w:color w:val="000000"/>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富权养殖场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春秋乡三塘村三元组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郑权养殖场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春秋乡文王村金地组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159</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弘晟养殖场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春秋乡田埠村柳井组</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生猪</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是</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舒城县杭埠镇马渡养殖场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杭埠镇后河村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161</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舒城县杭埠镇新河养殖场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杭埠镇后河村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162</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黄祖荣养鸡场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杭埠镇河南村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163</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董思明养鸡场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杭埠镇河南村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164</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舒城县豪程生态家庭农场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杭埠镇何圩村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165</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何其海养鸡场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杭埠镇六圩村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166</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黄礼勇养鸡场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山七镇杨岭村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167</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王国林养鸡场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山七镇杨岭村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r>
        <w:tblPrEx>
          <w:tblCellMar>
            <w:top w:w="0" w:type="dxa"/>
            <w:left w:w="108" w:type="dxa"/>
            <w:bottom w:w="0" w:type="dxa"/>
            <w:right w:w="108" w:type="dxa"/>
          </w:tblCellMar>
        </w:tblPrEx>
        <w:trPr>
          <w:trHeight w:val="27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168</w:t>
            </w:r>
          </w:p>
        </w:tc>
        <w:tc>
          <w:tcPr>
            <w:tcW w:w="204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龚孝权鸡场</w:t>
            </w:r>
          </w:p>
        </w:tc>
        <w:tc>
          <w:tcPr>
            <w:tcW w:w="108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山七镇大河沿村</w:t>
            </w:r>
          </w:p>
        </w:tc>
        <w:tc>
          <w:tcPr>
            <w:tcW w:w="25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鸡</w:t>
            </w:r>
          </w:p>
        </w:tc>
        <w:tc>
          <w:tcPr>
            <w:tcW w:w="35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仿宋" w:cs="Times New Roman"/>
                <w:kern w:val="0"/>
                <w:szCs w:val="21"/>
              </w:rPr>
              <w:t>垫料养殖</w:t>
            </w:r>
          </w:p>
        </w:tc>
      </w:tr>
    </w:tbl>
    <w:p>
      <w:pPr>
        <w:spacing w:line="360" w:lineRule="auto"/>
        <w:rPr>
          <w:rFonts w:ascii="Times New Roman" w:hAnsi="Times New Roman" w:eastAsia="仿宋" w:cs="Times New Roman"/>
          <w:sz w:val="32"/>
          <w:szCs w:val="32"/>
        </w:rPr>
      </w:pPr>
    </w:p>
    <w:p>
      <w:pPr>
        <w:spacing w:line="360" w:lineRule="auto"/>
        <w:rPr>
          <w:rFonts w:ascii="Times New Roman" w:hAnsi="Times New Roman" w:eastAsia="仿宋" w:cs="Times New Roman"/>
          <w:sz w:val="32"/>
          <w:szCs w:val="32"/>
        </w:rPr>
        <w:sectPr>
          <w:pgSz w:w="16838" w:h="11906" w:orient="landscape"/>
          <w:pgMar w:top="1800" w:right="1440" w:bottom="1800" w:left="1440" w:header="851" w:footer="992"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附表2 畜禽养殖污染防治重点工程支持主体和内容清单</w:t>
      </w: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畜禽养殖污染防治重点工程</w:t>
      </w:r>
      <w:r>
        <w:rPr>
          <w:rFonts w:hint="eastAsia" w:ascii="Times New Roman" w:hAnsi="Times New Roman" w:eastAsia="仿宋" w:cs="Times New Roman"/>
          <w:sz w:val="30"/>
          <w:szCs w:val="30"/>
        </w:rPr>
        <w:t>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641"/>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名称</w:t>
            </w:r>
          </w:p>
        </w:tc>
        <w:tc>
          <w:tcPr>
            <w:tcW w:w="2136" w:type="pct"/>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建设内容</w:t>
            </w:r>
          </w:p>
        </w:tc>
        <w:tc>
          <w:tcPr>
            <w:tcW w:w="939" w:type="pct"/>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建设主体</w:t>
            </w:r>
          </w:p>
        </w:tc>
        <w:tc>
          <w:tcPr>
            <w:tcW w:w="817" w:type="pct"/>
            <w:vAlign w:val="center"/>
          </w:tcPr>
          <w:p>
            <w:pPr>
              <w:snapToGrid w:val="0"/>
              <w:jc w:val="center"/>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舒城县畜禽粪污资源化利用整县推进项目建设与运行管护工程</w:t>
            </w:r>
          </w:p>
        </w:tc>
        <w:tc>
          <w:tcPr>
            <w:tcW w:w="2136"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支持</w:t>
            </w:r>
            <w:r>
              <w:rPr>
                <w:rFonts w:ascii="Times New Roman" w:hAnsi="Times New Roman" w:eastAsia="仿宋" w:cs="Times New Roman"/>
                <w:kern w:val="0"/>
                <w:sz w:val="28"/>
                <w:szCs w:val="28"/>
              </w:rPr>
              <w:t>148家养殖场（户）按照“一场一策”要求，对粪污治理和资源化利用设施进行“填平补齐”与升级改造，以及后期运行管护监管。</w:t>
            </w:r>
          </w:p>
        </w:tc>
        <w:tc>
          <w:tcPr>
            <w:tcW w:w="939"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舒城县农业农村局、六安市舒城县生态环境分局等。</w:t>
            </w:r>
          </w:p>
        </w:tc>
        <w:tc>
          <w:tcPr>
            <w:tcW w:w="817" w:type="pct"/>
            <w:vAlign w:val="center"/>
          </w:tcPr>
          <w:p>
            <w:pPr>
              <w:snapToGrid w:val="0"/>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pPr>
              <w:snapToGrid w:val="0"/>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舒城县绿色种养循环农业试点项目</w:t>
            </w:r>
          </w:p>
        </w:tc>
        <w:tc>
          <w:tcPr>
            <w:tcW w:w="2136"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以促进种养循环为重点，探索粪肥就地就近还田利用模式经验，通过项目实施打通粪肥还田“最后一公里”，将我县打造成巢湖流域粪肥还田利用示范基地</w:t>
            </w:r>
          </w:p>
        </w:tc>
        <w:tc>
          <w:tcPr>
            <w:tcW w:w="939"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舒城县</w:t>
            </w:r>
            <w:r>
              <w:rPr>
                <w:rFonts w:ascii="Times New Roman" w:hAnsi="Times New Roman" w:eastAsia="仿宋" w:cs="Times New Roman"/>
                <w:kern w:val="0"/>
                <w:sz w:val="28"/>
                <w:szCs w:val="28"/>
              </w:rPr>
              <w:t>农业农村局</w:t>
            </w:r>
            <w:r>
              <w:rPr>
                <w:rFonts w:hint="eastAsia" w:ascii="Times New Roman" w:hAnsi="Times New Roman" w:eastAsia="仿宋" w:cs="Times New Roman"/>
                <w:kern w:val="0"/>
                <w:sz w:val="28"/>
                <w:szCs w:val="28"/>
              </w:rPr>
              <w:t>、六安市舒城县生态环境分局等。</w:t>
            </w:r>
          </w:p>
        </w:tc>
        <w:tc>
          <w:tcPr>
            <w:tcW w:w="817" w:type="pct"/>
            <w:vAlign w:val="center"/>
          </w:tcPr>
          <w:p>
            <w:pPr>
              <w:snapToGrid w:val="0"/>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粪污集中处理中心升级改造与扩能项目</w:t>
            </w:r>
          </w:p>
        </w:tc>
        <w:tc>
          <w:tcPr>
            <w:tcW w:w="2136"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依托舒城县桃溪国家级现代农业产业园，升级改造舒城县沃土肥业有限公司，支持舒城县浪森肥业有限公司生产有机无机复混肥、增强畜禽粪污集中处理能力，扩大商品有机肥产能，定期与周边乡镇养殖场签订粪污集中收集处理协议，收集无法就地利用的养殖场畜禽粪便。</w:t>
            </w:r>
          </w:p>
        </w:tc>
        <w:tc>
          <w:tcPr>
            <w:tcW w:w="939" w:type="pct"/>
            <w:vAlign w:val="center"/>
          </w:tcPr>
          <w:p>
            <w:pPr>
              <w:snapToGrid w:val="0"/>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舒城县沃土肥业有限公司等</w:t>
            </w:r>
          </w:p>
        </w:tc>
        <w:tc>
          <w:tcPr>
            <w:tcW w:w="817"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5</w:t>
            </w:r>
            <w:r>
              <w:rPr>
                <w:rFonts w:ascii="Times New Roman" w:hAnsi="Times New Roman" w:eastAsia="仿宋" w:cs="Times New Roman"/>
                <w:kern w:val="0"/>
                <w:sz w:val="28"/>
                <w:szCs w:val="2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畜禽污染防治宣传监管体系工程</w:t>
            </w:r>
          </w:p>
        </w:tc>
        <w:tc>
          <w:tcPr>
            <w:tcW w:w="2136"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加大养殖污染防治宣传，实施养殖环境监测、固体废物管理等机构标准化建设，全面达到国家标准，装备水平满足日常监管工作需要。强化畜禽粪污资源化利用技术指导与监管台账建立。</w:t>
            </w:r>
          </w:p>
        </w:tc>
        <w:tc>
          <w:tcPr>
            <w:tcW w:w="939" w:type="pct"/>
            <w:vAlign w:val="center"/>
          </w:tcPr>
          <w:p>
            <w:pPr>
              <w:snapToGrid w:val="0"/>
              <w:jc w:val="center"/>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六安市舒城县生态环境分局、舒城县农业农村局等</w:t>
            </w:r>
          </w:p>
        </w:tc>
        <w:tc>
          <w:tcPr>
            <w:tcW w:w="817" w:type="pct"/>
            <w:vAlign w:val="center"/>
          </w:tcPr>
          <w:p>
            <w:pPr>
              <w:snapToGrid w:val="0"/>
              <w:jc w:val="center"/>
              <w:rPr>
                <w:rFonts w:ascii="Times New Roman" w:hAnsi="Times New Roman" w:eastAsia="仿宋" w:cs="Times New Roman"/>
                <w:kern w:val="0"/>
                <w:sz w:val="28"/>
                <w:szCs w:val="28"/>
              </w:rPr>
            </w:pPr>
            <w:r>
              <w:rPr>
                <w:rFonts w:ascii="Times New Roman" w:hAnsi="Times New Roman" w:eastAsia="仿宋" w:cs="Times New Roman"/>
                <w:kern w:val="0"/>
                <w:sz w:val="28"/>
                <w:szCs w:val="28"/>
              </w:rPr>
              <w:t>200</w:t>
            </w:r>
          </w:p>
        </w:tc>
      </w:tr>
    </w:tbl>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附表3 行政区域内耕地、园地、林地和草地面积清单</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行政区域内耕地、园地、林地和草地面积清单（单位：</w:t>
      </w:r>
      <w:r>
        <w:rPr>
          <w:rFonts w:hint="eastAsia" w:ascii="Times New Roman" w:hAnsi="Times New Roman" w:eastAsia="仿宋" w:cs="Times New Roman"/>
          <w:sz w:val="28"/>
          <w:szCs w:val="28"/>
        </w:rPr>
        <w:t>平方公里</w:t>
      </w:r>
      <w:r>
        <w:rPr>
          <w:rFonts w:ascii="Times New Roman" w:hAnsi="Times New Roman" w:eastAsia="仿宋" w:cs="Times New Roman"/>
          <w:sz w:val="28"/>
          <w:szCs w:val="28"/>
        </w:rPr>
        <w:t>）</w:t>
      </w:r>
    </w:p>
    <w:tbl>
      <w:tblPr>
        <w:tblStyle w:val="8"/>
        <w:tblW w:w="5000" w:type="pct"/>
        <w:tblInd w:w="0" w:type="dxa"/>
        <w:tblLayout w:type="autofit"/>
        <w:tblCellMar>
          <w:top w:w="0" w:type="dxa"/>
          <w:left w:w="108" w:type="dxa"/>
          <w:bottom w:w="0" w:type="dxa"/>
          <w:right w:w="108" w:type="dxa"/>
        </w:tblCellMar>
      </w:tblPr>
      <w:tblGrid>
        <w:gridCol w:w="806"/>
        <w:gridCol w:w="1519"/>
        <w:gridCol w:w="992"/>
        <w:gridCol w:w="1215"/>
        <w:gridCol w:w="1527"/>
        <w:gridCol w:w="1040"/>
        <w:gridCol w:w="1423"/>
      </w:tblGrid>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序号</w:t>
            </w:r>
          </w:p>
        </w:tc>
        <w:tc>
          <w:tcPr>
            <w:tcW w:w="891"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乡镇名称</w:t>
            </w:r>
          </w:p>
        </w:tc>
        <w:tc>
          <w:tcPr>
            <w:tcW w:w="58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耕地</w:t>
            </w:r>
          </w:p>
        </w:tc>
        <w:tc>
          <w:tcPr>
            <w:tcW w:w="713"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园地</w:t>
            </w:r>
          </w:p>
        </w:tc>
        <w:tc>
          <w:tcPr>
            <w:tcW w:w="8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林地</w:t>
            </w:r>
          </w:p>
        </w:tc>
        <w:tc>
          <w:tcPr>
            <w:tcW w:w="610"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草地</w:t>
            </w:r>
          </w:p>
        </w:tc>
        <w:tc>
          <w:tcPr>
            <w:tcW w:w="83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b/>
                <w:bCs/>
                <w:sz w:val="28"/>
                <w:szCs w:val="28"/>
              </w:rPr>
              <w:t>合计</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桃溪镇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28.85</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0.54</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29.39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张母桥镇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21.58</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1.17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22.80</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45.55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汤池镇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17.59</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5.80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114.00</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137.39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干汊河镇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34.24</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3.41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12.78</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0.20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50.63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千人桥镇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41.27</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0.05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1.35</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42.67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万佛湖镇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19.28</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0.47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23.58</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0.65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43.98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7</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柏林乡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55.60</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0.81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56.41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8</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百神庙镇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37.99</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0.18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2.26</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2.86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43.29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9</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南港镇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32.14</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4.16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62.97</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1.27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100.53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舒茶镇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22.80</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9.87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33.78</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0.38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66.82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11</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棠树乡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36.65</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0.32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15.31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52.28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12</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阙店乡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19.77</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4.01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17.37</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41.15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13</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城关镇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36.31</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1.38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3.00</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40.69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14</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五显镇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15.42</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1.27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66.04</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82.73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高峰乡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10.80</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1.19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41.58</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53.57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16</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春秋乡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17.25</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0.99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32.25</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50.49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17</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杭埠镇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31.51</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0.04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1.05</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32.60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18</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山七镇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11.39</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2.44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96.41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110.24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19</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河棚镇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6.45</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1.06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56.00</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63.51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20</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庐镇乡</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6.14</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5.65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110.47</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122.26 </w:t>
            </w:r>
          </w:p>
        </w:tc>
      </w:tr>
      <w:tr>
        <w:tblPrEx>
          <w:tblCellMar>
            <w:top w:w="0" w:type="dxa"/>
            <w:left w:w="108" w:type="dxa"/>
            <w:bottom w:w="0" w:type="dxa"/>
            <w:right w:w="108" w:type="dxa"/>
          </w:tblCellMar>
        </w:tblPrEx>
        <w:trPr>
          <w:trHeight w:val="567" w:hRule="atLeast"/>
        </w:trPr>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21</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晓天镇</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10.78</w:t>
            </w:r>
          </w:p>
        </w:tc>
        <w:tc>
          <w:tcPr>
            <w:tcW w:w="71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11.46 </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265.27</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Times New Roman" w:hAnsi="Times New Roman" w:eastAsia="仿宋" w:cs="Times New Roman"/>
                <w:sz w:val="28"/>
                <w:szCs w:val="28"/>
              </w:rPr>
              <w:t xml:space="preserve"> </w:t>
            </w:r>
          </w:p>
        </w:tc>
        <w:tc>
          <w:tcPr>
            <w:tcW w:w="835" w:type="pct"/>
            <w:tcBorders>
              <w:top w:val="single" w:color="auto" w:sz="4" w:space="0"/>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287.51 </w:t>
            </w:r>
          </w:p>
        </w:tc>
      </w:tr>
    </w:tbl>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附图1 舒城县行政区划图</w:t>
      </w:r>
    </w:p>
    <w:p>
      <w:pPr>
        <w:spacing w:line="360" w:lineRule="auto"/>
        <w:jc w:val="center"/>
        <w:rPr>
          <w:rFonts w:ascii="Times New Roman" w:hAnsi="Times New Roman" w:eastAsia="仿宋" w:cs="Times New Roman"/>
          <w:sz w:val="32"/>
        </w:rPr>
        <w:sectPr>
          <w:pgSz w:w="16838" w:h="11906" w:orient="landscape"/>
          <w:pgMar w:top="720" w:right="720" w:bottom="720" w:left="720" w:header="851" w:footer="992" w:gutter="0"/>
          <w:cols w:space="425" w:num="1"/>
          <w:docGrid w:type="lines" w:linePitch="312" w:charSpace="0"/>
        </w:sectPr>
      </w:pPr>
      <w:r>
        <w:drawing>
          <wp:inline distT="0" distB="0" distL="0" distR="0">
            <wp:extent cx="8881110" cy="56159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t="2890" b="2841"/>
                    <a:stretch>
                      <a:fillRect/>
                    </a:stretch>
                  </pic:blipFill>
                  <pic:spPr>
                    <a:xfrm>
                      <a:off x="0" y="0"/>
                      <a:ext cx="8881594" cy="5616000"/>
                    </a:xfrm>
                    <a:prstGeom prst="rect">
                      <a:avLst/>
                    </a:prstGeom>
                    <a:noFill/>
                    <a:ln>
                      <a:noFill/>
                    </a:ln>
                  </pic:spPr>
                </pic:pic>
              </a:graphicData>
            </a:graphic>
          </wp:inline>
        </w:drawing>
      </w: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附图2 舒城县水功能区划图</w:t>
      </w:r>
    </w:p>
    <w:p>
      <w:pPr>
        <w:spacing w:line="360" w:lineRule="auto"/>
        <w:rPr>
          <w:rFonts w:ascii="Times New Roman" w:hAnsi="Times New Roman" w:eastAsia="仿宋" w:cs="Times New Roman"/>
          <w:b/>
          <w:bCs/>
          <w:sz w:val="32"/>
          <w:szCs w:val="32"/>
        </w:rPr>
      </w:pPr>
      <w:r>
        <w:rPr>
          <w:rFonts w:ascii="Times New Roman" w:hAnsi="Times New Roman" w:cs="Times New Roman"/>
        </w:rPr>
        <w:drawing>
          <wp:inline distT="0" distB="0" distL="0" distR="0">
            <wp:extent cx="5273040" cy="3368040"/>
            <wp:effectExtent l="19050" t="19050" r="22860" b="228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3040" cy="3368040"/>
                    </a:xfrm>
                    <a:prstGeom prst="rect">
                      <a:avLst/>
                    </a:prstGeom>
                    <a:noFill/>
                    <a:ln>
                      <a:solidFill>
                        <a:sysClr val="windowText" lastClr="000000"/>
                      </a:solidFill>
                    </a:ln>
                  </pic:spPr>
                </pic:pic>
              </a:graphicData>
            </a:graphic>
          </wp:inline>
        </w:drawing>
      </w: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舒城县水功能一级区划示意图</w:t>
      </w:r>
    </w:p>
    <w:p>
      <w:pPr>
        <w:spacing w:line="360" w:lineRule="auto"/>
        <w:rPr>
          <w:rFonts w:ascii="Times New Roman" w:hAnsi="Times New Roman" w:eastAsia="仿宋" w:cs="Times New Roman"/>
          <w:b/>
          <w:bCs/>
          <w:sz w:val="32"/>
          <w:szCs w:val="32"/>
        </w:rPr>
      </w:pPr>
      <w:r>
        <w:rPr>
          <w:rFonts w:ascii="Times New Roman" w:hAnsi="Times New Roman" w:cs="Times New Roman"/>
        </w:rPr>
        <w:drawing>
          <wp:inline distT="0" distB="0" distL="0" distR="0">
            <wp:extent cx="5274310" cy="3526155"/>
            <wp:effectExtent l="19050" t="19050" r="2159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526155"/>
                    </a:xfrm>
                    <a:prstGeom prst="rect">
                      <a:avLst/>
                    </a:prstGeom>
                    <a:noFill/>
                    <a:ln>
                      <a:solidFill>
                        <a:sysClr val="windowText" lastClr="000000"/>
                      </a:solidFill>
                    </a:ln>
                  </pic:spPr>
                </pic:pic>
              </a:graphicData>
            </a:graphic>
          </wp:inline>
        </w:drawing>
      </w: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舒城县水功能二级区划示意图</w:t>
      </w:r>
    </w:p>
    <w:p>
      <w:pPr>
        <w:spacing w:line="360" w:lineRule="auto"/>
        <w:rPr>
          <w:rFonts w:ascii="Times New Roman" w:hAnsi="Times New Roman" w:eastAsia="仿宋" w:cs="Times New Roman"/>
          <w:sz w:val="32"/>
        </w:rPr>
      </w:pPr>
    </w:p>
    <w:p>
      <w:pPr>
        <w:spacing w:line="360" w:lineRule="auto"/>
        <w:rPr>
          <w:rFonts w:ascii="Times New Roman" w:hAnsi="Times New Roman" w:eastAsia="仿宋" w:cs="Times New Roman"/>
          <w:sz w:val="3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附图3 舒城县畜禽规模养殖场分布图</w:t>
      </w:r>
    </w:p>
    <w:p>
      <w:pPr>
        <w:spacing w:line="360" w:lineRule="auto"/>
        <w:jc w:val="center"/>
        <w:rPr>
          <w:rFonts w:ascii="Times New Roman" w:hAnsi="Times New Roman" w:eastAsia="仿宋" w:cs="Times New Roman"/>
          <w:b/>
          <w:bCs/>
          <w:sz w:val="32"/>
          <w:szCs w:val="32"/>
        </w:rPr>
      </w:pPr>
      <w:r>
        <w:rPr>
          <w:rFonts w:ascii="Times New Roman" w:hAnsi="Times New Roman" w:cs="Times New Roman"/>
        </w:rPr>
        <w:drawing>
          <wp:inline distT="0" distB="0" distL="0" distR="0">
            <wp:extent cx="11456035" cy="80994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456106" cy="8100000"/>
                    </a:xfrm>
                    <a:prstGeom prst="rect">
                      <a:avLst/>
                    </a:prstGeom>
                    <a:noFill/>
                    <a:ln>
                      <a:noFill/>
                    </a:ln>
                  </pic:spPr>
                </pic:pic>
              </a:graphicData>
            </a:graphic>
          </wp:inline>
        </w:drawing>
      </w: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舒城县畜禽规模养殖场分布图</w:t>
      </w:r>
    </w:p>
    <w:p>
      <w:pPr>
        <w:spacing w:line="360" w:lineRule="auto"/>
        <w:jc w:val="center"/>
        <w:rPr>
          <w:rFonts w:ascii="Times New Roman" w:hAnsi="Times New Roman" w:eastAsia="仿宋" w:cs="Times New Roman"/>
          <w:sz w:val="30"/>
          <w:szCs w:val="30"/>
        </w:rPr>
        <w:sectPr>
          <w:pgSz w:w="23811" w:h="16838" w:orient="landscape"/>
          <w:pgMar w:top="1440" w:right="1800" w:bottom="1440" w:left="1800" w:header="851" w:footer="992" w:gutter="0"/>
          <w:cols w:space="425" w:num="1"/>
          <w:docGrid w:type="lines" w:linePitch="312" w:charSpace="0"/>
        </w:sectPr>
      </w:pPr>
    </w:p>
    <w:p>
      <w:pPr>
        <w:snapToGrid w:val="0"/>
        <w:rPr>
          <w:rFonts w:ascii="Times New Roman" w:hAnsi="Times New Roman" w:eastAsia="仿宋" w:cs="Times New Roman"/>
          <w:b/>
          <w:bCs/>
          <w:sz w:val="32"/>
          <w:szCs w:val="32"/>
        </w:rPr>
      </w:pPr>
      <w:r>
        <w:rPr>
          <w:rFonts w:ascii="Times New Roman" w:hAnsi="Times New Roman" w:eastAsia="仿宋" w:cs="Times New Roman"/>
          <w:b/>
          <w:bCs/>
          <w:sz w:val="32"/>
          <w:szCs w:val="32"/>
        </w:rPr>
        <w:t>附图4 舒城县禁养区分布图</w:t>
      </w:r>
    </w:p>
    <w:p>
      <w:pPr>
        <w:snapToGrid w:val="0"/>
        <w:rPr>
          <w:rFonts w:ascii="Times New Roman" w:hAnsi="Times New Roman" w:eastAsia="仿宋" w:cs="Times New Roman"/>
          <w:b/>
          <w:bCs/>
          <w:sz w:val="32"/>
          <w:szCs w:val="32"/>
        </w:rPr>
      </w:pPr>
      <w:r>
        <w:rPr>
          <w:rFonts w:ascii="Times New Roman" w:hAnsi="Times New Roman" w:cs="Times New Roman"/>
        </w:rPr>
        <w:drawing>
          <wp:inline distT="0" distB="0" distL="0" distR="0">
            <wp:extent cx="8423910" cy="6850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l="2098" t="932" r="23842" b="13947"/>
                    <a:stretch>
                      <a:fillRect/>
                    </a:stretch>
                  </pic:blipFill>
                  <pic:spPr>
                    <a:xfrm>
                      <a:off x="0" y="0"/>
                      <a:ext cx="8424387" cy="6850800"/>
                    </a:xfrm>
                    <a:prstGeom prst="rect">
                      <a:avLst/>
                    </a:prstGeom>
                    <a:noFill/>
                    <a:ln>
                      <a:noFill/>
                    </a:ln>
                  </pic:spPr>
                </pic:pic>
              </a:graphicData>
            </a:graphic>
          </wp:inline>
        </w:drawing>
      </w:r>
    </w:p>
    <w:tbl>
      <w:tblPr>
        <w:tblStyle w:val="8"/>
        <w:tblW w:w="5000" w:type="pct"/>
        <w:jc w:val="center"/>
        <w:tblLayout w:type="autofit"/>
        <w:tblCellMar>
          <w:top w:w="0" w:type="dxa"/>
          <w:left w:w="108" w:type="dxa"/>
          <w:bottom w:w="0" w:type="dxa"/>
          <w:right w:w="108" w:type="dxa"/>
        </w:tblCellMar>
      </w:tblPr>
      <w:tblGrid>
        <w:gridCol w:w="724"/>
        <w:gridCol w:w="4195"/>
        <w:gridCol w:w="1641"/>
        <w:gridCol w:w="877"/>
        <w:gridCol w:w="4389"/>
        <w:gridCol w:w="1628"/>
      </w:tblGrid>
      <w:tr>
        <w:tblPrEx>
          <w:tblCellMar>
            <w:top w:w="0" w:type="dxa"/>
            <w:left w:w="108" w:type="dxa"/>
            <w:bottom w:w="0" w:type="dxa"/>
            <w:right w:w="108" w:type="dxa"/>
          </w:tblCellMar>
        </w:tblPrEx>
        <w:trPr>
          <w:trHeight w:val="283" w:hRule="atLeast"/>
          <w:jc w:val="center"/>
        </w:trPr>
        <w:tc>
          <w:tcPr>
            <w:tcW w:w="269" w:type="pct"/>
            <w:tcBorders>
              <w:top w:val="single" w:color="auto" w:sz="4" w:space="0"/>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编号</w:t>
            </w:r>
          </w:p>
        </w:tc>
        <w:tc>
          <w:tcPr>
            <w:tcW w:w="1559" w:type="pct"/>
            <w:tcBorders>
              <w:top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禁养区名称</w:t>
            </w:r>
          </w:p>
        </w:tc>
        <w:tc>
          <w:tcPr>
            <w:tcW w:w="610" w:type="pct"/>
            <w:tcBorders>
              <w:top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禁养区类别</w:t>
            </w:r>
          </w:p>
        </w:tc>
        <w:tc>
          <w:tcPr>
            <w:tcW w:w="326" w:type="pct"/>
            <w:tcBorders>
              <w:top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编号</w:t>
            </w:r>
          </w:p>
        </w:tc>
        <w:tc>
          <w:tcPr>
            <w:tcW w:w="1631" w:type="pct"/>
            <w:tcBorders>
              <w:top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禁养区名称</w:t>
            </w:r>
          </w:p>
        </w:tc>
        <w:tc>
          <w:tcPr>
            <w:tcW w:w="605" w:type="pct"/>
            <w:tcBorders>
              <w:top w:val="single" w:color="auto" w:sz="4" w:space="0"/>
              <w:right w:val="single" w:color="auto" w:sz="4" w:space="0"/>
            </w:tcBorders>
            <w:shd w:val="clear" w:color="auto" w:fill="auto"/>
            <w:vAlign w:val="center"/>
          </w:tcPr>
          <w:p>
            <w:pPr>
              <w:widowControl/>
              <w:snapToGrid w:val="0"/>
              <w:spacing w:line="120" w:lineRule="atLeas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禁养区类别</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万佛湖-万佛山风景名胜区禁养区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风景名胜区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18</w:t>
            </w:r>
          </w:p>
        </w:tc>
        <w:tc>
          <w:tcPr>
            <w:tcW w:w="1631"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百神庙庙中心自来水厂水源地保护区禁养区</w:t>
            </w:r>
          </w:p>
        </w:tc>
        <w:tc>
          <w:tcPr>
            <w:tcW w:w="605" w:type="pct"/>
            <w:tcBorders>
              <w:right w:val="single" w:color="auto" w:sz="4" w:space="0"/>
            </w:tcBorders>
            <w:shd w:val="clear" w:color="auto" w:fill="auto"/>
            <w:vAlign w:val="center"/>
          </w:tcPr>
          <w:p>
            <w:pPr>
              <w:widowControl/>
              <w:snapToGrid w:val="0"/>
              <w:spacing w:line="120" w:lineRule="atLeas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南港镇自来水厂水源地保护区禁养区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19</w:t>
            </w:r>
          </w:p>
        </w:tc>
        <w:tc>
          <w:tcPr>
            <w:tcW w:w="1631"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春秋乡钓鱼台水厂水源地保护区禁养区</w:t>
            </w:r>
          </w:p>
        </w:tc>
        <w:tc>
          <w:tcPr>
            <w:tcW w:w="605" w:type="pct"/>
            <w:tcBorders>
              <w:right w:val="single" w:color="auto" w:sz="4" w:space="0"/>
            </w:tcBorders>
            <w:shd w:val="clear" w:color="auto" w:fill="auto"/>
            <w:vAlign w:val="center"/>
          </w:tcPr>
          <w:p>
            <w:pPr>
              <w:widowControl/>
              <w:snapToGrid w:val="0"/>
              <w:spacing w:line="120" w:lineRule="atLeas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千人桥镇三汊河自来水厂水源地保护区禁养区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县城建成区禁养区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县城二水厂、春秋塘自来水厂水源地保护区禁养区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21</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杭埠镇建成区禁养区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桃溪镇桃源自来水厂水源地保护区禁养区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千人桥镇建成区禁养区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张母桥民生供水有限公司水源地保护区禁养区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23</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南港镇建成区禁养区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舒城县杭城自来水有限公司水源地保护区禁养区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24</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桃溪镇建成区禁养区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千人桥镇自来水厂上阳自来水厂水源地保护区禁养区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25</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晓天镇建成区禁养区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棠树乡西塘自来水厂水源地保护区禁养区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张母桥镇建成区禁养区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杭埠镇五星自来水厂水源地保护区禁养区（已取消）</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27</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干汊河镇建成区禁养区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杭埠镇自来水厂水源地保护区禁养区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28</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百神庙镇建成区禁养区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柏林乡秦家桥自来水厂水源地保护区禁养区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29</w:t>
            </w:r>
          </w:p>
        </w:tc>
        <w:tc>
          <w:tcPr>
            <w:tcW w:w="1631" w:type="pct"/>
            <w:shd w:val="clear" w:color="auto" w:fill="auto"/>
            <w:noWrap/>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舒茶镇建成区禁养区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干汊河镇自来水厂水源地保护区禁养区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30</w:t>
            </w:r>
          </w:p>
        </w:tc>
        <w:tc>
          <w:tcPr>
            <w:tcW w:w="1631" w:type="pct"/>
            <w:shd w:val="clear" w:color="auto" w:fill="auto"/>
            <w:vAlign w:val="bottom"/>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庐镇乡街道人口集中区禁养区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百神庙周公渡自来水厂水源地保护区禁养区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31</w:t>
            </w:r>
          </w:p>
        </w:tc>
        <w:tc>
          <w:tcPr>
            <w:tcW w:w="1631" w:type="pct"/>
            <w:shd w:val="clear" w:color="auto" w:fill="auto"/>
            <w:vAlign w:val="bottom"/>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春秋乡曹家河街道人口集中区禁养区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15</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庐镇乡自来水厂水源地保护区禁养区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32</w:t>
            </w:r>
          </w:p>
        </w:tc>
        <w:tc>
          <w:tcPr>
            <w:tcW w:w="1631" w:type="pct"/>
            <w:shd w:val="clear" w:color="auto" w:fill="auto"/>
            <w:vAlign w:val="bottom"/>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棠树乡西塘集镇人口集中区禁养区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16</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舒城县晓天镇自来水厂水源地保护区禁养区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33</w:t>
            </w:r>
          </w:p>
        </w:tc>
        <w:tc>
          <w:tcPr>
            <w:tcW w:w="1631" w:type="pct"/>
            <w:shd w:val="clear" w:color="auto" w:fill="auto"/>
            <w:vAlign w:val="bottom"/>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柏林乡秦桥人口集中区禁养区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269" w:type="pct"/>
            <w:tcBorders>
              <w:lef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17</w:t>
            </w:r>
          </w:p>
        </w:tc>
        <w:tc>
          <w:tcPr>
            <w:tcW w:w="1559" w:type="pct"/>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干汊河镇新街自来水厂水源地保护区禁养区</w:t>
            </w:r>
          </w:p>
        </w:tc>
        <w:tc>
          <w:tcPr>
            <w:tcW w:w="610"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水源地保护区</w:t>
            </w:r>
          </w:p>
        </w:tc>
        <w:tc>
          <w:tcPr>
            <w:tcW w:w="326" w:type="pct"/>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w:t>
            </w:r>
          </w:p>
        </w:tc>
        <w:tc>
          <w:tcPr>
            <w:tcW w:w="1631" w:type="pct"/>
            <w:shd w:val="clear" w:color="auto" w:fill="auto"/>
            <w:vAlign w:val="bottom"/>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柏林乡大墩人口集中区禁养区</w:t>
            </w:r>
          </w:p>
        </w:tc>
        <w:tc>
          <w:tcPr>
            <w:tcW w:w="605" w:type="pct"/>
            <w:tcBorders>
              <w:right w:val="single" w:color="auto" w:sz="4" w:space="0"/>
            </w:tcBorders>
            <w:shd w:val="clear" w:color="auto" w:fill="auto"/>
            <w:vAlign w:val="center"/>
          </w:tcPr>
          <w:p>
            <w:pPr>
              <w:widowControl/>
              <w:snapToGrid w:val="0"/>
              <w:spacing w:line="120" w:lineRule="atLeas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城镇建成区</w:t>
            </w:r>
          </w:p>
        </w:tc>
      </w:tr>
      <w:tr>
        <w:tblPrEx>
          <w:tblCellMar>
            <w:top w:w="0" w:type="dxa"/>
            <w:left w:w="108" w:type="dxa"/>
            <w:bottom w:w="0" w:type="dxa"/>
            <w:right w:w="108" w:type="dxa"/>
          </w:tblCellMar>
        </w:tblPrEx>
        <w:trPr>
          <w:trHeight w:val="283" w:hRule="atLeast"/>
          <w:jc w:val="center"/>
        </w:trPr>
        <w:tc>
          <w:tcPr>
            <w:tcW w:w="5000" w:type="pct"/>
            <w:gridSpan w:val="6"/>
            <w:tcBorders>
              <w:left w:val="single" w:color="auto" w:sz="4" w:space="0"/>
              <w:bottom w:val="single" w:color="auto" w:sz="4" w:space="0"/>
              <w:right w:val="single" w:color="auto" w:sz="4" w:space="0"/>
            </w:tcBorders>
            <w:shd w:val="clear" w:color="auto" w:fill="auto"/>
            <w:vAlign w:val="center"/>
          </w:tcPr>
          <w:p>
            <w:pPr>
              <w:widowControl/>
              <w:snapToGrid w:val="0"/>
              <w:spacing w:line="120" w:lineRule="atLeast"/>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注：万佛湖镇、五显镇、山七镇、高峰乡、河棚镇、汤池镇、阙店乡城镇建成区、人口集中区、水源地保护区、学校等均在万佛湖-万佛山风景名胜区范围内，不再重复统计。</w:t>
            </w:r>
          </w:p>
        </w:tc>
      </w:tr>
    </w:tbl>
    <w:p>
      <w:pPr>
        <w:snapToGrid w:val="0"/>
        <w:jc w:val="center"/>
        <w:rPr>
          <w:rFonts w:ascii="Times New Roman" w:hAnsi="Times New Roman" w:eastAsia="仿宋" w:cs="Times New Roman"/>
          <w:sz w:val="30"/>
          <w:szCs w:val="30"/>
        </w:rPr>
      </w:pPr>
      <w:r>
        <w:rPr>
          <w:rFonts w:ascii="Times New Roman" w:hAnsi="Times New Roman" w:eastAsia="仿宋" w:cs="Times New Roman"/>
          <w:sz w:val="30"/>
          <w:szCs w:val="30"/>
        </w:rPr>
        <w:t>舒城县禁养区分布图</w:t>
      </w:r>
    </w:p>
    <w:p>
      <w:pPr>
        <w:spacing w:line="360" w:lineRule="auto"/>
        <w:rPr>
          <w:rFonts w:ascii="Times New Roman" w:hAnsi="Times New Roman" w:eastAsia="仿宋" w:cs="Times New Roman"/>
          <w:b/>
          <w:bCs/>
          <w:sz w:val="32"/>
          <w:szCs w:val="32"/>
        </w:rPr>
        <w:sectPr>
          <w:headerReference r:id="rId9" w:type="default"/>
          <w:footerReference r:id="rId10" w:type="default"/>
          <w:pgSz w:w="16838" w:h="23811"/>
          <w:pgMar w:top="1440" w:right="1800" w:bottom="1440" w:left="1800" w:header="454" w:footer="454" w:gutter="0"/>
          <w:cols w:space="425" w:num="1"/>
          <w:docGrid w:type="lines" w:linePitch="312" w:charSpace="0"/>
        </w:sectPr>
      </w:pPr>
    </w:p>
    <w:p>
      <w:pPr>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附图5 舒城县耕地、林地、草地、园地分布图</w:t>
      </w:r>
    </w:p>
    <w:p>
      <w:pPr>
        <w:spacing w:line="360" w:lineRule="auto"/>
        <w:jc w:val="center"/>
        <w:rPr>
          <w:rFonts w:ascii="Times New Roman" w:hAnsi="Times New Roman" w:eastAsia="仿宋" w:cs="Times New Roman"/>
          <w:b/>
          <w:bCs/>
          <w:sz w:val="32"/>
          <w:szCs w:val="32"/>
        </w:rPr>
      </w:pPr>
      <w:r>
        <w:drawing>
          <wp:inline distT="0" distB="0" distL="0" distR="0">
            <wp:extent cx="11502390" cy="78835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t="3977" r="1012"/>
                    <a:stretch>
                      <a:fillRect/>
                    </a:stretch>
                  </pic:blipFill>
                  <pic:spPr>
                    <a:xfrm>
                      <a:off x="0" y="0"/>
                      <a:ext cx="11502494" cy="7884000"/>
                    </a:xfrm>
                    <a:prstGeom prst="rect">
                      <a:avLst/>
                    </a:prstGeom>
                    <a:noFill/>
                    <a:ln>
                      <a:noFill/>
                    </a:ln>
                  </pic:spPr>
                </pic:pic>
              </a:graphicData>
            </a:graphic>
          </wp:inline>
        </w:drawing>
      </w:r>
    </w:p>
    <w:p>
      <w:pPr>
        <w:spacing w:line="360" w:lineRule="auto"/>
        <w:rPr>
          <w:rFonts w:ascii="Times New Roman" w:hAnsi="Times New Roman" w:eastAsia="仿宋" w:cs="Times New Roman"/>
          <w:b/>
          <w:bCs/>
          <w:sz w:val="32"/>
          <w:szCs w:val="32"/>
        </w:rPr>
        <w:sectPr>
          <w:pgSz w:w="23811" w:h="16838" w:orient="landscape"/>
          <w:pgMar w:top="1800" w:right="1440" w:bottom="1800" w:left="1440" w:header="851" w:footer="992" w:gutter="0"/>
          <w:cols w:space="425" w:num="1"/>
          <w:docGrid w:type="lines" w:linePitch="312" w:charSpace="0"/>
        </w:sectPr>
      </w:pPr>
    </w:p>
    <w:p>
      <w:pPr>
        <w:spacing w:line="360" w:lineRule="auto"/>
        <w:rPr>
          <w:rFonts w:hint="eastAsia" w:ascii="Times New Roman" w:hAnsi="Times New Roman" w:eastAsia="仿宋" w:cs="Times New Roman"/>
          <w:b/>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703667"/>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9835003"/>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8320844"/>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8838329"/>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liNTM3Yjk2YmY4YzZlYjA5ODRiZGM0OGU3YTQ1Y2UifQ=="/>
  </w:docVars>
  <w:rsids>
    <w:rsidRoot w:val="001E4049"/>
    <w:rsid w:val="000024B3"/>
    <w:rsid w:val="00007161"/>
    <w:rsid w:val="00011389"/>
    <w:rsid w:val="00014C81"/>
    <w:rsid w:val="000229C5"/>
    <w:rsid w:val="00031BC6"/>
    <w:rsid w:val="00032CFC"/>
    <w:rsid w:val="00043C52"/>
    <w:rsid w:val="000467F0"/>
    <w:rsid w:val="00053017"/>
    <w:rsid w:val="0006507E"/>
    <w:rsid w:val="00085E97"/>
    <w:rsid w:val="00095E3C"/>
    <w:rsid w:val="000A6467"/>
    <w:rsid w:val="000B2BF3"/>
    <w:rsid w:val="000B6040"/>
    <w:rsid w:val="000D3220"/>
    <w:rsid w:val="000F3525"/>
    <w:rsid w:val="00113FF9"/>
    <w:rsid w:val="0011713C"/>
    <w:rsid w:val="001371F9"/>
    <w:rsid w:val="00146DE9"/>
    <w:rsid w:val="00150F37"/>
    <w:rsid w:val="00153846"/>
    <w:rsid w:val="00154922"/>
    <w:rsid w:val="001660CD"/>
    <w:rsid w:val="001857BF"/>
    <w:rsid w:val="0019189A"/>
    <w:rsid w:val="001A122D"/>
    <w:rsid w:val="001A7734"/>
    <w:rsid w:val="001B137B"/>
    <w:rsid w:val="001D0E7B"/>
    <w:rsid w:val="001E4049"/>
    <w:rsid w:val="001F1AAD"/>
    <w:rsid w:val="00203B75"/>
    <w:rsid w:val="00205C3C"/>
    <w:rsid w:val="00207211"/>
    <w:rsid w:val="00215351"/>
    <w:rsid w:val="00225ECC"/>
    <w:rsid w:val="00233592"/>
    <w:rsid w:val="002476F1"/>
    <w:rsid w:val="002549BD"/>
    <w:rsid w:val="00261C32"/>
    <w:rsid w:val="00274B41"/>
    <w:rsid w:val="00282B5E"/>
    <w:rsid w:val="00283C93"/>
    <w:rsid w:val="002B1342"/>
    <w:rsid w:val="002E0C17"/>
    <w:rsid w:val="002E7EC7"/>
    <w:rsid w:val="003070E1"/>
    <w:rsid w:val="003325CE"/>
    <w:rsid w:val="00332F9D"/>
    <w:rsid w:val="00333194"/>
    <w:rsid w:val="003577CE"/>
    <w:rsid w:val="003579DE"/>
    <w:rsid w:val="00360A04"/>
    <w:rsid w:val="003641C3"/>
    <w:rsid w:val="003733D5"/>
    <w:rsid w:val="003816EC"/>
    <w:rsid w:val="00383046"/>
    <w:rsid w:val="00395086"/>
    <w:rsid w:val="003958DC"/>
    <w:rsid w:val="003B68A6"/>
    <w:rsid w:val="003C7670"/>
    <w:rsid w:val="003E1CE7"/>
    <w:rsid w:val="003E3C0D"/>
    <w:rsid w:val="004169F3"/>
    <w:rsid w:val="00416E51"/>
    <w:rsid w:val="004212F2"/>
    <w:rsid w:val="00441907"/>
    <w:rsid w:val="00457242"/>
    <w:rsid w:val="004922C4"/>
    <w:rsid w:val="00494F4C"/>
    <w:rsid w:val="004A6B38"/>
    <w:rsid w:val="004C1F7B"/>
    <w:rsid w:val="004C3B4E"/>
    <w:rsid w:val="004D7327"/>
    <w:rsid w:val="004F2A6F"/>
    <w:rsid w:val="00554A57"/>
    <w:rsid w:val="005671E6"/>
    <w:rsid w:val="00577B64"/>
    <w:rsid w:val="00580217"/>
    <w:rsid w:val="00585799"/>
    <w:rsid w:val="00587F02"/>
    <w:rsid w:val="0059225E"/>
    <w:rsid w:val="00594F41"/>
    <w:rsid w:val="005A089D"/>
    <w:rsid w:val="005D3630"/>
    <w:rsid w:val="005E75A6"/>
    <w:rsid w:val="006367B6"/>
    <w:rsid w:val="006463AD"/>
    <w:rsid w:val="00653738"/>
    <w:rsid w:val="00682BFB"/>
    <w:rsid w:val="0068768B"/>
    <w:rsid w:val="00696FEB"/>
    <w:rsid w:val="006B7454"/>
    <w:rsid w:val="00707E93"/>
    <w:rsid w:val="0071023A"/>
    <w:rsid w:val="00712192"/>
    <w:rsid w:val="0071439F"/>
    <w:rsid w:val="00715C01"/>
    <w:rsid w:val="00715EFA"/>
    <w:rsid w:val="007330CE"/>
    <w:rsid w:val="007334F6"/>
    <w:rsid w:val="00740F6E"/>
    <w:rsid w:val="0075421C"/>
    <w:rsid w:val="00756F32"/>
    <w:rsid w:val="00774D1C"/>
    <w:rsid w:val="007756AE"/>
    <w:rsid w:val="007A4271"/>
    <w:rsid w:val="007B248B"/>
    <w:rsid w:val="007B2565"/>
    <w:rsid w:val="007B794C"/>
    <w:rsid w:val="007C557E"/>
    <w:rsid w:val="007C55F5"/>
    <w:rsid w:val="007C696E"/>
    <w:rsid w:val="007F124D"/>
    <w:rsid w:val="007F674B"/>
    <w:rsid w:val="00803073"/>
    <w:rsid w:val="008108FB"/>
    <w:rsid w:val="008109E6"/>
    <w:rsid w:val="00827536"/>
    <w:rsid w:val="00831B10"/>
    <w:rsid w:val="00832741"/>
    <w:rsid w:val="00832E12"/>
    <w:rsid w:val="00834B16"/>
    <w:rsid w:val="00836446"/>
    <w:rsid w:val="0084480D"/>
    <w:rsid w:val="00844BA1"/>
    <w:rsid w:val="008502CF"/>
    <w:rsid w:val="008645EB"/>
    <w:rsid w:val="008662DA"/>
    <w:rsid w:val="00871836"/>
    <w:rsid w:val="008924A3"/>
    <w:rsid w:val="008955E8"/>
    <w:rsid w:val="00895F2A"/>
    <w:rsid w:val="00896060"/>
    <w:rsid w:val="008A1D8A"/>
    <w:rsid w:val="008A60D6"/>
    <w:rsid w:val="008C7CA4"/>
    <w:rsid w:val="008D4A3D"/>
    <w:rsid w:val="009015E8"/>
    <w:rsid w:val="00906C0A"/>
    <w:rsid w:val="0091180E"/>
    <w:rsid w:val="00925FF3"/>
    <w:rsid w:val="00976275"/>
    <w:rsid w:val="009841FC"/>
    <w:rsid w:val="009975F2"/>
    <w:rsid w:val="009B5EC4"/>
    <w:rsid w:val="009D2453"/>
    <w:rsid w:val="009E27D7"/>
    <w:rsid w:val="009F4306"/>
    <w:rsid w:val="00A000DA"/>
    <w:rsid w:val="00A15641"/>
    <w:rsid w:val="00A23238"/>
    <w:rsid w:val="00A249A1"/>
    <w:rsid w:val="00A411AB"/>
    <w:rsid w:val="00A42504"/>
    <w:rsid w:val="00A476F1"/>
    <w:rsid w:val="00A53BD1"/>
    <w:rsid w:val="00A57C16"/>
    <w:rsid w:val="00A63CA0"/>
    <w:rsid w:val="00A656EF"/>
    <w:rsid w:val="00A67387"/>
    <w:rsid w:val="00A70ADC"/>
    <w:rsid w:val="00A806F0"/>
    <w:rsid w:val="00AA1010"/>
    <w:rsid w:val="00AB6868"/>
    <w:rsid w:val="00AC43B2"/>
    <w:rsid w:val="00AC5A0C"/>
    <w:rsid w:val="00AD235D"/>
    <w:rsid w:val="00AD4378"/>
    <w:rsid w:val="00AD470A"/>
    <w:rsid w:val="00AF4141"/>
    <w:rsid w:val="00B015C6"/>
    <w:rsid w:val="00B03DA3"/>
    <w:rsid w:val="00B1765A"/>
    <w:rsid w:val="00B211AD"/>
    <w:rsid w:val="00B21DCD"/>
    <w:rsid w:val="00B31369"/>
    <w:rsid w:val="00B46647"/>
    <w:rsid w:val="00B513B6"/>
    <w:rsid w:val="00B5143E"/>
    <w:rsid w:val="00B660E7"/>
    <w:rsid w:val="00B7396C"/>
    <w:rsid w:val="00B73CB6"/>
    <w:rsid w:val="00B77F1E"/>
    <w:rsid w:val="00B87A6B"/>
    <w:rsid w:val="00B90D6A"/>
    <w:rsid w:val="00BA2519"/>
    <w:rsid w:val="00BC3AE8"/>
    <w:rsid w:val="00BC4CA9"/>
    <w:rsid w:val="00BD2D64"/>
    <w:rsid w:val="00BD5A9F"/>
    <w:rsid w:val="00BD76CA"/>
    <w:rsid w:val="00BE0627"/>
    <w:rsid w:val="00BE3DCB"/>
    <w:rsid w:val="00BE516F"/>
    <w:rsid w:val="00C01055"/>
    <w:rsid w:val="00C0298E"/>
    <w:rsid w:val="00C065DE"/>
    <w:rsid w:val="00C244D2"/>
    <w:rsid w:val="00C34441"/>
    <w:rsid w:val="00C36618"/>
    <w:rsid w:val="00C454CC"/>
    <w:rsid w:val="00C60584"/>
    <w:rsid w:val="00C609B1"/>
    <w:rsid w:val="00C651B6"/>
    <w:rsid w:val="00C90737"/>
    <w:rsid w:val="00C93D03"/>
    <w:rsid w:val="00CB77C4"/>
    <w:rsid w:val="00CC2B7C"/>
    <w:rsid w:val="00CD14A6"/>
    <w:rsid w:val="00CE0527"/>
    <w:rsid w:val="00CE3AC6"/>
    <w:rsid w:val="00CE4F47"/>
    <w:rsid w:val="00CF0E35"/>
    <w:rsid w:val="00CF26D4"/>
    <w:rsid w:val="00CF50DF"/>
    <w:rsid w:val="00CF6711"/>
    <w:rsid w:val="00D020B3"/>
    <w:rsid w:val="00D043B6"/>
    <w:rsid w:val="00D123AC"/>
    <w:rsid w:val="00D170B3"/>
    <w:rsid w:val="00D453FB"/>
    <w:rsid w:val="00D603CF"/>
    <w:rsid w:val="00D6061D"/>
    <w:rsid w:val="00D655E7"/>
    <w:rsid w:val="00D7046F"/>
    <w:rsid w:val="00D85778"/>
    <w:rsid w:val="00D97DEA"/>
    <w:rsid w:val="00DA06EA"/>
    <w:rsid w:val="00DA6214"/>
    <w:rsid w:val="00DA69AB"/>
    <w:rsid w:val="00DB4748"/>
    <w:rsid w:val="00DB4A00"/>
    <w:rsid w:val="00DC775B"/>
    <w:rsid w:val="00DE0D50"/>
    <w:rsid w:val="00DF6C18"/>
    <w:rsid w:val="00E2456C"/>
    <w:rsid w:val="00E3127E"/>
    <w:rsid w:val="00E3238D"/>
    <w:rsid w:val="00E50D14"/>
    <w:rsid w:val="00E64DF9"/>
    <w:rsid w:val="00E821EA"/>
    <w:rsid w:val="00E842A5"/>
    <w:rsid w:val="00E8598A"/>
    <w:rsid w:val="00E87A8C"/>
    <w:rsid w:val="00E87CFC"/>
    <w:rsid w:val="00EA0CB7"/>
    <w:rsid w:val="00EB36AF"/>
    <w:rsid w:val="00EF0CE0"/>
    <w:rsid w:val="00EF3ECA"/>
    <w:rsid w:val="00F01E0E"/>
    <w:rsid w:val="00F03F69"/>
    <w:rsid w:val="00F043CF"/>
    <w:rsid w:val="00F42185"/>
    <w:rsid w:val="00F44071"/>
    <w:rsid w:val="00F5480C"/>
    <w:rsid w:val="00F60AE3"/>
    <w:rsid w:val="00F675C0"/>
    <w:rsid w:val="00F70EE4"/>
    <w:rsid w:val="00F73F24"/>
    <w:rsid w:val="00F8668D"/>
    <w:rsid w:val="00F871FF"/>
    <w:rsid w:val="00F96494"/>
    <w:rsid w:val="00FC7A4E"/>
    <w:rsid w:val="00FD75F1"/>
    <w:rsid w:val="00FE0B08"/>
    <w:rsid w:val="00FE3912"/>
    <w:rsid w:val="00FE4843"/>
    <w:rsid w:val="00FE4AD3"/>
    <w:rsid w:val="2B38701F"/>
    <w:rsid w:val="5A4663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alloon Text"/>
    <w:basedOn w:val="1"/>
    <w:link w:val="15"/>
    <w:semiHidden/>
    <w:unhideWhenUsed/>
    <w:uiPriority w:val="99"/>
    <w:rPr>
      <w:sz w:val="18"/>
      <w:szCs w:val="18"/>
    </w:r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uiPriority w:val="39"/>
    <w:pPr>
      <w:tabs>
        <w:tab w:val="right" w:leader="dot" w:pos="8296"/>
      </w:tabs>
      <w:snapToGrid w:val="0"/>
      <w:spacing w:line="360" w:lineRule="auto"/>
      <w:jc w:val="center"/>
    </w:pPr>
    <w:rPr>
      <w:rFonts w:ascii="仿宋" w:hAnsi="仿宋" w:eastAsia="仿宋" w:cs="仿宋"/>
      <w:b/>
      <w:kern w:val="0"/>
      <w:sz w:val="44"/>
      <w:szCs w:val="44"/>
      <w:lang w:val="zh-CN"/>
    </w:rPr>
  </w:style>
  <w:style w:type="paragraph" w:styleId="6">
    <w:name w:val="toc 2"/>
    <w:basedOn w:val="1"/>
    <w:next w:val="1"/>
    <w:unhideWhenUsed/>
    <w:uiPriority w:val="39"/>
    <w:pPr>
      <w:ind w:left="420" w:leftChars="200"/>
    </w:p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4"/>
    <w:qFormat/>
    <w:uiPriority w:val="99"/>
    <w:rPr>
      <w:sz w:val="18"/>
      <w:szCs w:val="18"/>
    </w:rPr>
  </w:style>
  <w:style w:type="character" w:customStyle="1" w:styleId="13">
    <w:name w:val="页脚 字符"/>
    <w:basedOn w:val="10"/>
    <w:link w:val="3"/>
    <w:qFormat/>
    <w:uiPriority w:val="99"/>
    <w:rPr>
      <w:sz w:val="18"/>
      <w:szCs w:val="18"/>
    </w:rPr>
  </w:style>
  <w:style w:type="table" w:customStyle="1" w:styleId="14">
    <w:name w:val="网格型1"/>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批注框文本 字符"/>
    <w:basedOn w:val="10"/>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3959A-C58F-4E52-8ADB-6C6AD5458B91}">
  <ds:schemaRefs/>
</ds:datastoreItem>
</file>

<file path=docProps/app.xml><?xml version="1.0" encoding="utf-8"?>
<Properties xmlns="http://schemas.openxmlformats.org/officeDocument/2006/extended-properties" xmlns:vt="http://schemas.openxmlformats.org/officeDocument/2006/docPropsVTypes">
  <Template>Normal.dotm</Template>
  <Pages>91</Pages>
  <Words>7022</Words>
  <Characters>40032</Characters>
  <Lines>333</Lines>
  <Paragraphs>93</Paragraphs>
  <TotalTime>0</TotalTime>
  <ScaleCrop>false</ScaleCrop>
  <LinksUpToDate>false</LinksUpToDate>
  <CharactersWithSpaces>46961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2023-06-12T02:09:00Z</dcterms:created>
  <dc:creator>WU CHUN</dc:creator>
  <cp:lastModifiedBy>一个人的城墙</cp:lastModifiedBy>
  <cp:lastPrinted>2023-07-04T00:55:00Z</cp:lastPrinted>
  <dcterms:modified xsi:type="dcterms:W3CDTF">2023-11-29T02:22:05Z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A5CBBC5B995D44098EC19ED66E35CCA4_13</vt:lpwstr>
  </property>
</Properties>
</file>