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国家税务总局舒城县税务局202</w:t>
      </w:r>
      <w:r>
        <w:rPr>
          <w:rFonts w:hint="eastAsia" w:ascii="方正小标宋简体" w:hAnsi="方正小标宋简体" w:eastAsia="方正小标宋简体" w:cs="方正小标宋简体"/>
          <w:color w:val="000000"/>
          <w:sz w:val="44"/>
          <w:szCs w:val="44"/>
          <w:shd w:val="clear" w:color="auto" w:fill="FFFFFF"/>
          <w:lang w:val="en-US" w:eastAsia="zh-CN"/>
        </w:rPr>
        <w:t>3</w:t>
      </w:r>
      <w:r>
        <w:rPr>
          <w:rFonts w:hint="eastAsia" w:ascii="方正小标宋简体" w:hAnsi="方正小标宋简体" w:eastAsia="方正小标宋简体" w:cs="方正小标宋简体"/>
          <w:color w:val="000000"/>
          <w:sz w:val="44"/>
          <w:szCs w:val="44"/>
          <w:shd w:val="clear" w:color="auto" w:fill="FFFFFF"/>
        </w:rPr>
        <w:t>年</w:t>
      </w:r>
    </w:p>
    <w:p>
      <w:pPr>
        <w:pStyle w:val="2"/>
        <w:widowControl/>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政府信息公开工作年度报告</w:t>
      </w:r>
    </w:p>
    <w:p>
      <w:pPr>
        <w:spacing w:line="560" w:lineRule="exact"/>
        <w:ind w:firstLine="640" w:firstLineChars="200"/>
        <w:rPr>
          <w:rFonts w:hint="eastAsia" w:ascii="仿宋_GB2312" w:hAnsi="Times New Roman" w:eastAsia="仿宋_GB2312" w:cs="宋体"/>
          <w:sz w:val="32"/>
          <w:szCs w:val="32"/>
        </w:rPr>
      </w:pPr>
      <w:r>
        <w:rPr>
          <w:rFonts w:hint="eastAsia" w:ascii="仿宋_GB2312" w:hAnsi="Times New Roman" w:eastAsia="仿宋_GB2312" w:cs="宋体"/>
          <w:sz w:val="32"/>
          <w:szCs w:val="32"/>
        </w:rPr>
        <w:t>本报告依据《中华人民共和国政府信息公开条例》（国务院令第</w:t>
      </w:r>
      <w:r>
        <w:rPr>
          <w:rFonts w:hint="eastAsia" w:ascii="Times New Roman" w:hAnsi="Times New Roman" w:eastAsia="仿宋_GB2312" w:cs="Times New Roman"/>
          <w:kern w:val="2"/>
          <w:sz w:val="32"/>
          <w:szCs w:val="32"/>
          <w:lang w:val="en-US" w:eastAsia="zh-CN" w:bidi="ar-SA"/>
        </w:rPr>
        <w:t>711</w:t>
      </w:r>
      <w:r>
        <w:rPr>
          <w:rFonts w:hint="eastAsia" w:ascii="仿宋_GB2312" w:hAnsi="Times New Roman" w:eastAsia="仿宋_GB2312" w:cs="宋体"/>
          <w:sz w:val="32"/>
          <w:szCs w:val="32"/>
        </w:rPr>
        <w:t>号）要求，结合国家税务总局舒城县税务局政府信息公开工作有关统计数据撰写。报告全文包括：</w:t>
      </w:r>
      <w:r>
        <w:rPr>
          <w:rFonts w:hint="eastAsia"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sz w:val="32"/>
          <w:szCs w:val="32"/>
        </w:rPr>
        <w:t>年度总体情况、主动公开政府信息情况、收到和处理政府信息公开申请情况、政府信息公开行政复议行政诉讼情况、存在的主要问题和改进情况、其他需要报告的事项。本年度报告中使用数据统计期限为</w:t>
      </w:r>
      <w:r>
        <w:rPr>
          <w:rFonts w:hint="eastAsia"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sz w:val="32"/>
          <w:szCs w:val="32"/>
        </w:rPr>
        <w:t>年</w:t>
      </w:r>
      <w:r>
        <w:rPr>
          <w:rFonts w:hint="eastAsia" w:ascii="Times New Roman" w:hAnsi="Times New Roman" w:eastAsia="仿宋_GB2312" w:cs="Times New Roman"/>
          <w:kern w:val="2"/>
          <w:sz w:val="32"/>
          <w:szCs w:val="32"/>
          <w:lang w:val="en-US" w:eastAsia="zh-CN" w:bidi="ar-SA"/>
        </w:rPr>
        <w:t>1</w:t>
      </w:r>
      <w:r>
        <w:rPr>
          <w:rFonts w:hint="eastAsia" w:ascii="仿宋_GB2312" w:hAnsi="Times New Roman" w:eastAsia="仿宋_GB2312" w:cs="宋体"/>
          <w:sz w:val="32"/>
          <w:szCs w:val="32"/>
        </w:rPr>
        <w:t>月</w:t>
      </w:r>
      <w:r>
        <w:rPr>
          <w:rFonts w:hint="eastAsia" w:ascii="Times New Roman" w:hAnsi="Times New Roman" w:eastAsia="仿宋_GB2312" w:cs="Times New Roman"/>
          <w:kern w:val="2"/>
          <w:sz w:val="32"/>
          <w:szCs w:val="32"/>
          <w:lang w:val="en-US" w:eastAsia="zh-CN" w:bidi="ar-SA"/>
        </w:rPr>
        <w:t>1</w:t>
      </w:r>
      <w:r>
        <w:rPr>
          <w:rFonts w:hint="eastAsia" w:ascii="仿宋_GB2312" w:hAnsi="Times New Roman" w:eastAsia="仿宋_GB2312" w:cs="宋体"/>
          <w:sz w:val="32"/>
          <w:szCs w:val="32"/>
        </w:rPr>
        <w:t>日至</w:t>
      </w:r>
      <w:r>
        <w:rPr>
          <w:rFonts w:hint="eastAsia"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sz w:val="32"/>
          <w:szCs w:val="32"/>
        </w:rPr>
        <w:t>年</w:t>
      </w:r>
      <w:r>
        <w:rPr>
          <w:rFonts w:hint="eastAsia" w:ascii="Times New Roman" w:hAnsi="Times New Roman" w:eastAsia="仿宋_GB2312" w:cs="Times New Roman"/>
          <w:kern w:val="2"/>
          <w:sz w:val="32"/>
          <w:szCs w:val="32"/>
          <w:lang w:val="en-US" w:eastAsia="zh-CN" w:bidi="ar-SA"/>
        </w:rPr>
        <w:t>12</w:t>
      </w:r>
      <w:r>
        <w:rPr>
          <w:rFonts w:hint="eastAsia" w:ascii="仿宋_GB2312" w:hAnsi="Times New Roman" w:eastAsia="仿宋_GB2312" w:cs="宋体"/>
          <w:sz w:val="32"/>
          <w:szCs w:val="32"/>
        </w:rPr>
        <w:t>月</w:t>
      </w:r>
      <w:r>
        <w:rPr>
          <w:rFonts w:hint="eastAsia" w:ascii="Times New Roman" w:hAnsi="Times New Roman" w:eastAsia="仿宋_GB2312" w:cs="Times New Roman"/>
          <w:kern w:val="2"/>
          <w:sz w:val="32"/>
          <w:szCs w:val="32"/>
          <w:lang w:val="en-US" w:eastAsia="zh-CN" w:bidi="ar-SA"/>
        </w:rPr>
        <w:t>31</w:t>
      </w:r>
      <w:r>
        <w:rPr>
          <w:rFonts w:hint="eastAsia" w:ascii="仿宋_GB2312" w:hAnsi="Times New Roman" w:eastAsia="仿宋_GB2312" w:cs="宋体"/>
          <w:sz w:val="32"/>
          <w:szCs w:val="32"/>
        </w:rPr>
        <w:t>日，本年度报告电子版可在舒城县人民政府信息公开平台下载。如对本报告有任何疑问，请与国家税务总局舒城县税务局联系（地址：舒城县城关镇古城北路与花桥路交汇处；邮编：</w:t>
      </w:r>
      <w:r>
        <w:rPr>
          <w:rFonts w:hint="eastAsia" w:ascii="Times New Roman" w:hAnsi="Times New Roman" w:eastAsia="仿宋_GB2312" w:cs="Times New Roman"/>
          <w:kern w:val="2"/>
          <w:sz w:val="32"/>
          <w:szCs w:val="32"/>
          <w:lang w:val="en-US" w:eastAsia="zh-CN" w:bidi="ar-SA"/>
        </w:rPr>
        <w:t>231300</w:t>
      </w:r>
      <w:r>
        <w:rPr>
          <w:rFonts w:hint="eastAsia" w:ascii="仿宋_GB2312" w:hAnsi="Times New Roman" w:eastAsia="仿宋_GB2312" w:cs="宋体"/>
          <w:sz w:val="32"/>
          <w:szCs w:val="32"/>
        </w:rPr>
        <w:t>；联系电话：</w:t>
      </w:r>
      <w:r>
        <w:rPr>
          <w:rFonts w:hint="eastAsia" w:ascii="Times New Roman" w:hAnsi="Times New Roman" w:eastAsia="仿宋_GB2312" w:cs="Times New Roman"/>
          <w:kern w:val="2"/>
          <w:sz w:val="32"/>
          <w:szCs w:val="32"/>
          <w:lang w:val="en-US" w:eastAsia="zh-CN" w:bidi="ar-SA"/>
        </w:rPr>
        <w:t>0564-8689307</w:t>
      </w:r>
      <w:r>
        <w:rPr>
          <w:rFonts w:hint="eastAsia" w:ascii="仿宋_GB2312" w:hAnsi="Times New Roman" w:eastAsia="仿宋_GB2312" w:cs="宋体"/>
          <w:sz w:val="32"/>
          <w:szCs w:val="32"/>
        </w:rPr>
        <w:t>）。</w:t>
      </w:r>
    </w:p>
    <w:p>
      <w:pPr>
        <w:widowControl/>
        <w:shd w:val="clear" w:color="auto" w:fill="FFFFFF"/>
        <w:spacing w:before="0" w:beforeAutospacing="0" w:after="0" w:afterAutospacing="0" w:line="560" w:lineRule="exact"/>
        <w:ind w:left="0" w:right="0" w:firstLine="640" w:firstLineChars="200"/>
        <w:jc w:val="both"/>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一、总体情况</w:t>
      </w:r>
    </w:p>
    <w:p>
      <w:pPr>
        <w:pStyle w:val="2"/>
        <w:keepNext w:val="0"/>
        <w:keepLines w:val="0"/>
        <w:widowControl/>
        <w:suppressLineNumbers w:val="0"/>
        <w:spacing w:before="60" w:beforeAutospacing="0" w:after="60" w:afterAutospacing="0" w:line="375" w:lineRule="atLeast"/>
        <w:ind w:left="0" w:right="0" w:firstLine="645"/>
        <w:jc w:val="both"/>
        <w:rPr>
          <w:rFonts w:hint="eastAsia" w:ascii="仿宋_GB2312" w:hAnsi="Times New Roman" w:eastAsia="仿宋_GB2312" w:cs="宋体"/>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kern w:val="2"/>
          <w:sz w:val="32"/>
          <w:szCs w:val="32"/>
          <w:lang w:val="en-US" w:eastAsia="zh-CN" w:bidi="ar-SA"/>
        </w:rPr>
        <w:t>年，舒城县税务局深入贯彻落实县委、县政府、市税务局关于政务公开工作的决策部署，不断提升政务公开工作水平，为高质量推进新时代税收现代化发挥积极作用。</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主动公开情况</w:t>
      </w:r>
    </w:p>
    <w:p>
      <w:pPr>
        <w:pStyle w:val="2"/>
        <w:keepNext w:val="0"/>
        <w:keepLines w:val="0"/>
        <w:widowControl/>
        <w:suppressLineNumbers w:val="0"/>
        <w:spacing w:before="60" w:beforeAutospacing="0" w:after="60" w:afterAutospacing="0" w:line="375" w:lineRule="atLeast"/>
        <w:ind w:left="0" w:right="0" w:firstLine="645"/>
        <w:jc w:val="both"/>
        <w:rPr>
          <w:rFonts w:hint="eastAsia" w:ascii="仿宋_GB2312" w:hAnsi="Times New Roman" w:eastAsia="仿宋_GB2312" w:cs="宋体"/>
          <w:sz w:val="32"/>
          <w:szCs w:val="32"/>
          <w:lang w:val="en-US" w:eastAsia="zh-CN"/>
        </w:rPr>
      </w:pPr>
      <w:r>
        <w:rPr>
          <w:rFonts w:hint="eastAsia" w:ascii="仿宋_GB2312" w:hAnsi="Times New Roman" w:eastAsia="仿宋_GB2312" w:cs="宋体"/>
          <w:b/>
          <w:bCs/>
          <w:sz w:val="32"/>
          <w:szCs w:val="32"/>
          <w:lang w:val="en-US" w:eastAsia="zh-CN"/>
        </w:rPr>
        <w:t>一是规范基础信息公开。</w:t>
      </w:r>
      <w:r>
        <w:rPr>
          <w:rFonts w:hint="eastAsia" w:ascii="仿宋_GB2312" w:hAnsi="Times New Roman" w:eastAsia="仿宋_GB2312" w:cs="宋体"/>
          <w:sz w:val="32"/>
          <w:szCs w:val="32"/>
          <w:lang w:val="en-US" w:eastAsia="zh-CN"/>
        </w:rPr>
        <w:t>及时公开政策法规、机构设置、人事信息、行政权力运行等基础信息，</w:t>
      </w:r>
      <w:r>
        <w:rPr>
          <w:rFonts w:hint="eastAsia"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sz w:val="32"/>
          <w:szCs w:val="32"/>
          <w:lang w:val="en-US" w:eastAsia="zh-CN"/>
        </w:rPr>
        <w:t>年主动公开政府信息</w:t>
      </w:r>
      <w:r>
        <w:rPr>
          <w:rFonts w:hint="eastAsia" w:ascii="Times New Roman" w:hAnsi="Times New Roman" w:eastAsia="仿宋_GB2312" w:cs="Times New Roman"/>
          <w:kern w:val="2"/>
          <w:sz w:val="32"/>
          <w:szCs w:val="32"/>
          <w:lang w:val="en-US" w:eastAsia="zh-CN" w:bidi="ar-SA"/>
        </w:rPr>
        <w:t>751</w:t>
      </w:r>
      <w:r>
        <w:rPr>
          <w:rFonts w:hint="eastAsia" w:ascii="仿宋_GB2312" w:hAnsi="Times New Roman" w:eastAsia="仿宋_GB2312" w:cs="宋体"/>
          <w:color w:val="auto"/>
          <w:sz w:val="32"/>
          <w:szCs w:val="32"/>
          <w:lang w:val="en-US" w:eastAsia="zh-CN"/>
        </w:rPr>
        <w:t>条</w:t>
      </w:r>
      <w:r>
        <w:rPr>
          <w:rFonts w:hint="eastAsia" w:ascii="仿宋_GB2312" w:hAnsi="Times New Roman" w:eastAsia="仿宋_GB2312" w:cs="宋体"/>
          <w:sz w:val="32"/>
          <w:szCs w:val="32"/>
          <w:lang w:val="en-US" w:eastAsia="zh-CN"/>
        </w:rPr>
        <w:t>，政务公开工作取得明显成效。</w:t>
      </w:r>
      <w:r>
        <w:rPr>
          <w:rFonts w:hint="eastAsia" w:ascii="仿宋_GB2312" w:hAnsi="Times New Roman" w:eastAsia="仿宋_GB2312" w:cs="宋体"/>
          <w:b/>
          <w:bCs/>
          <w:sz w:val="32"/>
          <w:szCs w:val="32"/>
          <w:lang w:val="en-US" w:eastAsia="zh-CN"/>
        </w:rPr>
        <w:t>二是积极配合新闻宣传。</w:t>
      </w:r>
      <w:r>
        <w:rPr>
          <w:rFonts w:hint="eastAsia" w:ascii="仿宋_GB2312" w:hAnsi="Times New Roman" w:eastAsia="仿宋_GB2312" w:cs="宋体"/>
          <w:kern w:val="2"/>
          <w:sz w:val="32"/>
          <w:szCs w:val="32"/>
          <w:lang w:val="en-US" w:eastAsia="zh-CN" w:bidi="ar-SA"/>
        </w:rPr>
        <w:t>充分利用新闻发布会、媒体问政等方式向全社会发布税收信息，宣传税收优惠政策。</w:t>
      </w:r>
      <w:r>
        <w:rPr>
          <w:rFonts w:hint="eastAsia"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kern w:val="2"/>
          <w:sz w:val="32"/>
          <w:szCs w:val="32"/>
          <w:lang w:val="en-US" w:eastAsia="zh-CN" w:bidi="ar-SA"/>
        </w:rPr>
        <w:t>年我局召开税收宣传月新闻发布会1场，解读便民办税春风行动实施方案，让便民办税更加深入人心。</w:t>
      </w:r>
      <w:r>
        <w:rPr>
          <w:rFonts w:hint="eastAsia" w:ascii="仿宋_GB2312" w:hAnsi="Times New Roman" w:eastAsia="仿宋_GB2312" w:cs="宋体"/>
          <w:b/>
          <w:bCs/>
          <w:kern w:val="2"/>
          <w:sz w:val="32"/>
          <w:szCs w:val="32"/>
          <w:lang w:val="en-US" w:eastAsia="zh-CN" w:bidi="ar-SA"/>
        </w:rPr>
        <w:t>三</w:t>
      </w:r>
      <w:r>
        <w:rPr>
          <w:rFonts w:hint="eastAsia" w:ascii="仿宋_GB2312" w:hAnsi="Times New Roman" w:eastAsia="仿宋_GB2312" w:cs="宋体"/>
          <w:b/>
          <w:bCs/>
          <w:sz w:val="32"/>
          <w:szCs w:val="32"/>
          <w:lang w:val="en-US" w:eastAsia="zh-CN"/>
        </w:rPr>
        <w:t>是积极开展意见征集。</w:t>
      </w:r>
      <w:r>
        <w:rPr>
          <w:rFonts w:hint="default"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kern w:val="2"/>
          <w:sz w:val="32"/>
          <w:szCs w:val="32"/>
          <w:lang w:val="en-US" w:eastAsia="zh-CN" w:bidi="ar-SA"/>
        </w:rPr>
        <w:t>年我局通过线上征集、座谈会等多种形式，向全社会征集便民办税春风行动实施方案的意见，让纳税人缴费人真正参与到税收工作中。</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exact"/>
        <w:ind w:left="0" w:right="0" w:firstLine="640" w:firstLineChars="200"/>
        <w:jc w:val="both"/>
        <w:rPr>
          <w:rFonts w:hint="eastAsia" w:ascii="仿宋_GB2312" w:hAnsi="Times New Roman" w:eastAsia="仿宋_GB2312" w:cs="宋体"/>
          <w:kern w:val="2"/>
          <w:sz w:val="32"/>
          <w:szCs w:val="32"/>
          <w:lang w:val="en-US" w:eastAsia="zh-CN" w:bidi="ar-SA"/>
        </w:rPr>
      </w:pPr>
      <w:r>
        <w:rPr>
          <w:rFonts w:hint="eastAsia" w:ascii="仿宋_GB2312" w:hAnsi="Times New Roman" w:eastAsia="仿宋_GB2312" w:cs="宋体"/>
          <w:kern w:val="2"/>
          <w:sz w:val="32"/>
          <w:szCs w:val="32"/>
          <w:lang w:val="en-US" w:eastAsia="zh-CN" w:bidi="ar-SA"/>
        </w:rPr>
        <w:t>舒城县税务局严格按照《中华人民共和国政府信息公开条例》及《安徽省政府信息公开申请办理答复规范》（皖政务办秘〔</w:t>
      </w:r>
      <w:r>
        <w:rPr>
          <w:rFonts w:hint="default" w:ascii="Times New Roman" w:hAnsi="Times New Roman" w:eastAsia="仿宋_GB2312" w:cs="Times New Roman"/>
          <w:kern w:val="2"/>
          <w:sz w:val="32"/>
          <w:szCs w:val="32"/>
          <w:lang w:val="en-US" w:eastAsia="zh-CN" w:bidi="ar-SA"/>
        </w:rPr>
        <w:t>2020</w:t>
      </w:r>
      <w:r>
        <w:rPr>
          <w:rFonts w:hint="eastAsia" w:ascii="仿宋_GB2312" w:hAnsi="Times New Roman" w:eastAsia="仿宋_GB2312" w:cs="宋体"/>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5</w:t>
      </w:r>
      <w:r>
        <w:rPr>
          <w:rFonts w:hint="eastAsia" w:ascii="仿宋_GB2312" w:hAnsi="Times New Roman" w:eastAsia="仿宋_GB2312" w:cs="宋体"/>
          <w:kern w:val="2"/>
          <w:sz w:val="32"/>
          <w:szCs w:val="32"/>
          <w:lang w:val="en-US" w:eastAsia="zh-CN" w:bidi="ar-SA"/>
        </w:rPr>
        <w:t>号）规范执行。</w:t>
      </w:r>
      <w:r>
        <w:rPr>
          <w:rFonts w:hint="default" w:ascii="Times New Roman" w:hAnsi="Times New Roman" w:eastAsia="仿宋_GB2312" w:cs="Times New Roman"/>
          <w:kern w:val="2"/>
          <w:sz w:val="32"/>
          <w:szCs w:val="32"/>
          <w:lang w:val="en-US" w:eastAsia="zh-CN" w:bidi="ar-SA"/>
        </w:rPr>
        <w:t>2023</w:t>
      </w:r>
      <w:r>
        <w:rPr>
          <w:rFonts w:hint="eastAsia" w:ascii="仿宋_GB2312" w:hAnsi="Times New Roman" w:eastAsia="仿宋_GB2312" w:cs="宋体"/>
          <w:kern w:val="2"/>
          <w:sz w:val="32"/>
          <w:szCs w:val="32"/>
          <w:lang w:val="en-US" w:eastAsia="zh-CN" w:bidi="ar-SA"/>
        </w:rPr>
        <w:t>年，未收到依申请公开。</w:t>
      </w:r>
    </w:p>
    <w:p>
      <w:pPr>
        <w:pStyle w:val="2"/>
        <w:keepNext w:val="0"/>
        <w:keepLines w:val="0"/>
        <w:widowControl/>
        <w:numPr>
          <w:ilvl w:val="0"/>
          <w:numId w:val="1"/>
        </w:numPr>
        <w:suppressLineNumbers w:val="0"/>
        <w:spacing w:before="60" w:beforeAutospacing="0" w:after="60" w:afterAutospacing="0" w:line="375" w:lineRule="atLeast"/>
        <w:ind w:left="0" w:leftChars="0" w:right="0" w:firstLine="643" w:firstLineChars="200"/>
        <w:jc w:val="both"/>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exact"/>
        <w:ind w:left="0" w:right="0" w:firstLine="643" w:firstLineChars="200"/>
        <w:jc w:val="both"/>
        <w:rPr>
          <w:rFonts w:hint="eastAsia" w:ascii="仿宋_GB2312" w:hAnsi="Times New Roman" w:eastAsia="仿宋_GB2312" w:cs="宋体"/>
          <w:kern w:val="2"/>
          <w:sz w:val="32"/>
          <w:szCs w:val="32"/>
          <w:lang w:val="en-US" w:eastAsia="zh-CN" w:bidi="ar-SA"/>
        </w:rPr>
      </w:pPr>
      <w:r>
        <w:rPr>
          <w:rFonts w:hint="eastAsia" w:ascii="仿宋_GB2312" w:hAnsi="微软雅黑" w:eastAsia="仿宋_GB2312" w:cs="仿宋_GB2312"/>
          <w:b/>
          <w:bCs/>
          <w:color w:val="auto"/>
          <w:kern w:val="0"/>
          <w:sz w:val="32"/>
          <w:szCs w:val="32"/>
          <w:shd w:val="clear" w:fill="FFFFFF"/>
          <w:lang w:val="en-US" w:eastAsia="zh-CN" w:bidi="ar"/>
        </w:rPr>
        <w:t>一是严格落实</w:t>
      </w:r>
      <w:r>
        <w:rPr>
          <w:rFonts w:hint="eastAsia" w:ascii="仿宋_GB2312" w:hAnsi="微软雅黑" w:eastAsia="仿宋_GB2312" w:cs="宋体"/>
          <w:b/>
          <w:bCs/>
          <w:color w:val="auto"/>
          <w:kern w:val="0"/>
          <w:sz w:val="32"/>
          <w:szCs w:val="32"/>
          <w:shd w:val="clear" w:fill="FFFFFF"/>
          <w:lang w:val="en-US" w:eastAsia="zh-CN" w:bidi="ar"/>
        </w:rPr>
        <w:t>“三审”制度。</w:t>
      </w:r>
      <w:r>
        <w:rPr>
          <w:rFonts w:hint="eastAsia" w:ascii="仿宋_GB2312" w:hAnsi="Times New Roman" w:eastAsia="仿宋_GB2312" w:cs="宋体"/>
          <w:kern w:val="2"/>
          <w:sz w:val="32"/>
          <w:szCs w:val="32"/>
          <w:lang w:val="en-US" w:eastAsia="zh-CN" w:bidi="ar-SA"/>
        </w:rPr>
        <w:t>切实做好初审、复审和终审工作，保证政务公开信息安全准确。</w:t>
      </w:r>
      <w:r>
        <w:rPr>
          <w:rFonts w:hint="eastAsia" w:ascii="仿宋_GB2312" w:hAnsi="微软雅黑" w:eastAsia="仿宋_GB2312" w:cs="仿宋_GB2312"/>
          <w:b/>
          <w:bCs/>
          <w:color w:val="auto"/>
          <w:kern w:val="0"/>
          <w:sz w:val="32"/>
          <w:szCs w:val="32"/>
          <w:shd w:val="clear" w:fill="FFFFFF"/>
          <w:lang w:val="en-US" w:eastAsia="zh-CN" w:bidi="ar"/>
        </w:rPr>
        <w:t>二是提</w:t>
      </w:r>
      <w:r>
        <w:rPr>
          <w:rStyle w:val="5"/>
          <w:rFonts w:hint="eastAsia" w:ascii="仿宋_GB2312" w:hAnsi="Times New Roman" w:eastAsia="仿宋_GB2312" w:cs="仿宋_GB2312"/>
          <w:color w:val="auto"/>
          <w:sz w:val="31"/>
          <w:szCs w:val="31"/>
        </w:rPr>
        <w:t>升政府信息公开质量</w:t>
      </w:r>
      <w:r>
        <w:rPr>
          <w:rStyle w:val="5"/>
          <w:rFonts w:hint="eastAsia" w:ascii="仿宋_GB2312" w:hAnsi="Times New Roman" w:eastAsia="仿宋_GB2312" w:cs="仿宋_GB2312"/>
          <w:color w:val="333333"/>
          <w:sz w:val="31"/>
          <w:szCs w:val="31"/>
        </w:rPr>
        <w:t>。</w:t>
      </w:r>
      <w:r>
        <w:rPr>
          <w:rFonts w:hint="eastAsia" w:ascii="仿宋_GB2312" w:hAnsi="Times New Roman" w:eastAsia="仿宋_GB2312" w:cs="宋体"/>
          <w:kern w:val="2"/>
          <w:sz w:val="32"/>
          <w:szCs w:val="32"/>
          <w:lang w:val="en-US" w:eastAsia="zh-CN" w:bidi="ar-SA"/>
        </w:rPr>
        <w:t>准确把握两化“税收管理”</w:t>
      </w:r>
      <w:r>
        <w:rPr>
          <w:rFonts w:hint="default" w:ascii="Times New Roman" w:hAnsi="Times New Roman" w:eastAsia="仿宋_GB2312" w:cs="Times New Roman"/>
          <w:kern w:val="2"/>
          <w:sz w:val="32"/>
          <w:szCs w:val="32"/>
          <w:lang w:val="en-US" w:eastAsia="zh-CN" w:bidi="ar-SA"/>
        </w:rPr>
        <w:t>5</w:t>
      </w:r>
      <w:r>
        <w:rPr>
          <w:rFonts w:hint="eastAsia" w:ascii="仿宋_GB2312" w:hAnsi="Times New Roman" w:eastAsia="仿宋_GB2312" w:cs="宋体"/>
          <w:kern w:val="2"/>
          <w:sz w:val="32"/>
          <w:szCs w:val="32"/>
          <w:lang w:val="en-US" w:eastAsia="zh-CN" w:bidi="ar-SA"/>
        </w:rPr>
        <w:t>大项内容公开，认真核实完善公开数据，提高数据精准性。</w:t>
      </w:r>
      <w:r>
        <w:rPr>
          <w:rFonts w:hint="eastAsia" w:ascii="仿宋_GB2312" w:hAnsi="Times New Roman" w:eastAsia="仿宋_GB2312" w:cs="宋体"/>
          <w:b/>
          <w:bCs/>
          <w:kern w:val="2"/>
          <w:sz w:val="32"/>
          <w:szCs w:val="32"/>
          <w:lang w:val="en-US" w:eastAsia="zh-CN" w:bidi="ar-SA"/>
        </w:rPr>
        <w:t>三是及时开展排查工作。</w:t>
      </w:r>
      <w:r>
        <w:rPr>
          <w:rFonts w:hint="eastAsia" w:ascii="仿宋_GB2312" w:hAnsi="Times New Roman" w:eastAsia="仿宋_GB2312" w:cs="宋体"/>
          <w:kern w:val="2"/>
          <w:sz w:val="32"/>
          <w:szCs w:val="32"/>
          <w:lang w:val="en-US" w:eastAsia="zh-CN" w:bidi="ar-SA"/>
        </w:rPr>
        <w:t>建立健全信息安全专人负责、专人审查制度，对政府信息公开网涉密、个人（商业）隐私、敏感词、错别字、等信息进行严格审查。截至2023年12月31日，没有以舒城县税务局名义印发的规范性文件，无清理情况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exact"/>
        <w:ind w:left="0" w:leftChars="0" w:right="0" w:firstLine="643"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政府信息公开平台建设</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default" w:ascii="仿宋_GB2312" w:hAnsi="Times New Roman" w:eastAsia="仿宋_GB2312" w:cs="宋体"/>
          <w:color w:val="auto"/>
          <w:kern w:val="2"/>
          <w:sz w:val="32"/>
          <w:szCs w:val="32"/>
          <w:lang w:val="en-US" w:eastAsia="zh-CN" w:bidi="ar-SA"/>
        </w:rPr>
      </w:pPr>
      <w:r>
        <w:rPr>
          <w:rFonts w:hint="eastAsia" w:ascii="仿宋_GB2312" w:hAnsi="Times New Roman" w:eastAsia="仿宋_GB2312" w:cs="宋体"/>
          <w:b/>
          <w:bCs/>
          <w:kern w:val="2"/>
          <w:sz w:val="32"/>
          <w:szCs w:val="32"/>
          <w:lang w:val="en-US" w:eastAsia="zh-CN" w:bidi="ar"/>
        </w:rPr>
        <w:t>一是积极维护现有平台</w:t>
      </w:r>
      <w:r>
        <w:rPr>
          <w:rFonts w:hint="eastAsia" w:ascii="仿宋_GB2312" w:hAnsi="Times New Roman" w:eastAsia="仿宋_GB2312" w:cs="宋体"/>
          <w:kern w:val="2"/>
          <w:sz w:val="32"/>
          <w:szCs w:val="32"/>
          <w:lang w:val="en-US" w:eastAsia="zh-CN" w:bidi="ar"/>
        </w:rPr>
        <w:t>。</w:t>
      </w:r>
      <w:r>
        <w:rPr>
          <w:rFonts w:hint="eastAsia" w:ascii="仿宋_GB2312" w:hAnsi="Times New Roman" w:eastAsia="仿宋_GB2312" w:cs="宋体"/>
          <w:kern w:val="2"/>
          <w:sz w:val="32"/>
          <w:szCs w:val="32"/>
          <w:lang w:val="en-US" w:eastAsia="zh-CN" w:bidi="ar-SA"/>
        </w:rPr>
        <w:t>做好对政务公开平台栏目内容更新、维护工作，补充、完善相关栏目信息以及主动公开目录调整工作。</w:t>
      </w:r>
      <w:r>
        <w:rPr>
          <w:rFonts w:hint="eastAsia" w:ascii="仿宋_GB2312" w:hAnsi="Times New Roman" w:eastAsia="仿宋_GB2312" w:cs="宋体"/>
          <w:b/>
          <w:bCs/>
          <w:kern w:val="2"/>
          <w:sz w:val="32"/>
          <w:szCs w:val="32"/>
          <w:lang w:val="en-US" w:eastAsia="zh-CN" w:bidi="ar"/>
        </w:rPr>
        <w:t>二是创新公开形式。</w:t>
      </w:r>
      <w:r>
        <w:rPr>
          <w:rFonts w:hint="eastAsia" w:ascii="仿宋_GB2312" w:hAnsi="Times New Roman" w:eastAsia="仿宋_GB2312" w:cs="宋体"/>
          <w:kern w:val="2"/>
          <w:sz w:val="32"/>
          <w:szCs w:val="32"/>
          <w:lang w:val="en-US" w:eastAsia="zh-CN" w:bidi="ar"/>
        </w:rPr>
        <w:t>利用短视频、微视频等公众喜闻乐见的形式，传播税务声音，解读税收政策。</w:t>
      </w:r>
      <w:r>
        <w:rPr>
          <w:rFonts w:hint="eastAsia" w:ascii="仿宋_GB2312" w:hAnsi="Times New Roman" w:eastAsia="仿宋_GB2312" w:cs="宋体"/>
          <w:b/>
          <w:bCs/>
          <w:kern w:val="2"/>
          <w:sz w:val="32"/>
          <w:szCs w:val="32"/>
          <w:lang w:val="en-US" w:eastAsia="zh-CN" w:bidi="ar"/>
        </w:rPr>
        <w:t>三是紧密依托市长热线平台。</w:t>
      </w:r>
      <w:r>
        <w:rPr>
          <w:rFonts w:hint="eastAsia" w:ascii="仿宋_GB2312" w:hAnsi="Times New Roman" w:eastAsia="仿宋_GB2312" w:cs="宋体"/>
          <w:kern w:val="2"/>
          <w:sz w:val="32"/>
          <w:szCs w:val="32"/>
          <w:lang w:val="en-US" w:eastAsia="zh-CN" w:bidi="ar-SA"/>
        </w:rPr>
        <w:t>2023年依托市长热线平台，对群众重点关心的税收问题，严格按照相关要求保质保量的进行答复，全年共办结市长热线工</w:t>
      </w:r>
      <w:r>
        <w:rPr>
          <w:rFonts w:hint="eastAsia" w:ascii="仿宋_GB2312" w:hAnsi="Times New Roman" w:eastAsia="仿宋_GB2312" w:cs="宋体"/>
          <w:color w:val="auto"/>
          <w:kern w:val="2"/>
          <w:sz w:val="32"/>
          <w:szCs w:val="32"/>
          <w:lang w:val="en-US" w:eastAsia="zh-CN" w:bidi="ar-SA"/>
        </w:rPr>
        <w:t>单161条,满意度100%。</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exact"/>
        <w:ind w:left="0" w:leftChars="0" w:right="0" w:firstLine="643" w:firstLineChars="200"/>
        <w:jc w:val="both"/>
        <w:rPr>
          <w:rFonts w:hint="eastAsia" w:ascii="楷体_GB2312" w:hAnsi="楷体_GB2312" w:eastAsia="楷体_GB2312" w:cs="楷体_GB2312"/>
          <w:b/>
          <w:bCs/>
          <w:kern w:val="2"/>
          <w:sz w:val="32"/>
          <w:szCs w:val="32"/>
          <w:lang w:val="en-US" w:eastAsia="zh-CN"/>
        </w:rPr>
      </w:pPr>
      <w:r>
        <w:rPr>
          <w:rFonts w:hint="eastAsia" w:ascii="楷体_GB2312" w:hAnsi="楷体_GB2312" w:eastAsia="楷体_GB2312" w:cs="楷体_GB2312"/>
          <w:b/>
          <w:bCs/>
          <w:sz w:val="32"/>
          <w:szCs w:val="32"/>
        </w:rPr>
        <w:t>监督保障</w:t>
      </w:r>
    </w:p>
    <w:p>
      <w:pPr>
        <w:pStyle w:val="2"/>
        <w:keepNext w:val="0"/>
        <w:keepLines w:val="0"/>
        <w:widowControl/>
        <w:suppressLineNumbers w:val="0"/>
        <w:spacing w:before="0" w:beforeAutospacing="1" w:after="0" w:afterAutospacing="1"/>
        <w:ind w:left="0" w:right="0" w:rightChars="0" w:firstLine="643" w:firstLineChars="200"/>
        <w:jc w:val="left"/>
        <w:rPr>
          <w:rFonts w:hint="eastAsia" w:ascii="仿宋_GB2312" w:hAnsi="Times New Roman" w:eastAsia="仿宋_GB2312" w:cs="宋体"/>
          <w:b w:val="0"/>
          <w:bCs w:val="0"/>
          <w:color w:val="auto"/>
          <w:sz w:val="32"/>
          <w:szCs w:val="32"/>
          <w:lang w:eastAsia="zh-CN"/>
        </w:rPr>
      </w:pPr>
      <w:r>
        <w:rPr>
          <w:rFonts w:ascii="仿宋_GB2312" w:hAnsi="微软雅黑" w:eastAsia="仿宋_GB2312" w:cs="仿宋_GB2312"/>
          <w:b/>
          <w:bCs/>
          <w:color w:val="auto"/>
          <w:kern w:val="0"/>
          <w:sz w:val="32"/>
          <w:szCs w:val="32"/>
          <w:lang w:val="en-US" w:eastAsia="zh-CN" w:bidi="ar"/>
        </w:rPr>
        <w:t>一是加强</w:t>
      </w:r>
      <w:r>
        <w:rPr>
          <w:rFonts w:hint="eastAsia" w:ascii="仿宋_GB2312" w:hAnsi="微软雅黑" w:eastAsia="仿宋_GB2312" w:cs="仿宋_GB2312"/>
          <w:b/>
          <w:bCs/>
          <w:color w:val="auto"/>
          <w:kern w:val="0"/>
          <w:sz w:val="32"/>
          <w:szCs w:val="32"/>
          <w:lang w:val="en-US" w:eastAsia="zh-CN" w:bidi="ar"/>
        </w:rPr>
        <w:t>政府信息规范化</w:t>
      </w:r>
      <w:r>
        <w:rPr>
          <w:rFonts w:ascii="仿宋_GB2312" w:hAnsi="微软雅黑" w:eastAsia="仿宋_GB2312" w:cs="仿宋_GB2312"/>
          <w:b/>
          <w:bCs/>
          <w:color w:val="auto"/>
          <w:kern w:val="0"/>
          <w:sz w:val="32"/>
          <w:szCs w:val="32"/>
          <w:lang w:val="en-US" w:eastAsia="zh-CN" w:bidi="ar"/>
        </w:rPr>
        <w:t>。</w:t>
      </w:r>
      <w:r>
        <w:rPr>
          <w:rFonts w:hint="eastAsia" w:ascii="仿宋_GB2312" w:hAnsi="Times New Roman" w:eastAsia="仿宋_GB2312" w:cs="宋体"/>
          <w:kern w:val="2"/>
          <w:sz w:val="32"/>
          <w:szCs w:val="32"/>
          <w:lang w:val="en-US" w:eastAsia="zh-CN" w:bidi="ar-SA"/>
        </w:rPr>
        <w:t>严格按照上级有关政府信息公开的文件精神和工作部署，落实规范门户网站信息发布审核要求，进一步完善政府信息公开工作相关管理制度。</w:t>
      </w:r>
      <w:r>
        <w:rPr>
          <w:rFonts w:hint="eastAsia" w:ascii="仿宋_GB2312" w:hAnsi="Times New Roman" w:eastAsia="仿宋_GB2312" w:cs="宋体"/>
          <w:b/>
          <w:bCs/>
          <w:sz w:val="32"/>
          <w:szCs w:val="32"/>
          <w:lang w:eastAsia="zh-CN"/>
        </w:rPr>
        <w:t>二</w:t>
      </w:r>
      <w:r>
        <w:rPr>
          <w:rFonts w:hint="eastAsia" w:ascii="仿宋_GB2312" w:hAnsi="Times New Roman" w:eastAsia="仿宋_GB2312" w:cs="宋体"/>
          <w:b/>
          <w:bCs/>
          <w:sz w:val="32"/>
          <w:szCs w:val="32"/>
        </w:rPr>
        <w:t>是完善工作联络机制</w:t>
      </w:r>
      <w:r>
        <w:rPr>
          <w:rFonts w:hint="eastAsia" w:ascii="仿宋_GB2312" w:hAnsi="Times New Roman" w:eastAsia="仿宋_GB2312" w:cs="宋体"/>
          <w:b/>
          <w:bCs/>
          <w:sz w:val="32"/>
          <w:szCs w:val="32"/>
          <w:lang w:eastAsia="zh-CN"/>
        </w:rPr>
        <w:t>。</w:t>
      </w:r>
      <w:r>
        <w:rPr>
          <w:rFonts w:hint="eastAsia" w:ascii="仿宋_GB2312" w:hAnsi="Times New Roman" w:eastAsia="仿宋_GB2312" w:cs="宋体"/>
          <w:sz w:val="32"/>
          <w:szCs w:val="32"/>
        </w:rPr>
        <w:t>安排专人负责政务信息公开工作，明确责任</w:t>
      </w:r>
      <w:r>
        <w:rPr>
          <w:rFonts w:hint="eastAsia" w:ascii="仿宋_GB2312" w:hAnsi="Times New Roman" w:eastAsia="仿宋_GB2312" w:cs="宋体"/>
          <w:sz w:val="32"/>
          <w:szCs w:val="32"/>
          <w:lang w:eastAsia="zh-CN"/>
        </w:rPr>
        <w:t>股室</w:t>
      </w:r>
      <w:r>
        <w:rPr>
          <w:rFonts w:hint="eastAsia" w:ascii="仿宋_GB2312" w:hAnsi="Times New Roman" w:eastAsia="仿宋_GB2312" w:cs="宋体"/>
          <w:sz w:val="32"/>
          <w:szCs w:val="32"/>
        </w:rPr>
        <w:t>，加强与</w:t>
      </w:r>
      <w:r>
        <w:rPr>
          <w:rFonts w:hint="eastAsia" w:ascii="仿宋_GB2312" w:hAnsi="Times New Roman" w:eastAsia="仿宋_GB2312" w:cs="宋体"/>
          <w:sz w:val="32"/>
          <w:szCs w:val="32"/>
          <w:lang w:eastAsia="zh-CN"/>
        </w:rPr>
        <w:t>县</w:t>
      </w:r>
      <w:r>
        <w:rPr>
          <w:rFonts w:hint="eastAsia" w:ascii="仿宋_GB2312" w:hAnsi="Times New Roman" w:eastAsia="仿宋_GB2312" w:cs="宋体"/>
          <w:sz w:val="32"/>
          <w:szCs w:val="32"/>
        </w:rPr>
        <w:t>政府办相关工作人员的沟通、指导、协调，进一步推动</w:t>
      </w:r>
      <w:r>
        <w:rPr>
          <w:rFonts w:hint="eastAsia" w:ascii="仿宋_GB2312" w:hAnsi="Times New Roman" w:eastAsia="仿宋_GB2312" w:cs="宋体"/>
          <w:sz w:val="32"/>
          <w:szCs w:val="32"/>
          <w:lang w:eastAsia="zh-CN"/>
        </w:rPr>
        <w:t>税务</w:t>
      </w:r>
      <w:r>
        <w:rPr>
          <w:rFonts w:hint="eastAsia" w:ascii="仿宋_GB2312" w:hAnsi="Times New Roman" w:eastAsia="仿宋_GB2312" w:cs="宋体"/>
          <w:sz w:val="32"/>
          <w:szCs w:val="32"/>
        </w:rPr>
        <w:t>领域基层政务公开有关工作。</w:t>
      </w:r>
      <w:r>
        <w:rPr>
          <w:rFonts w:hint="eastAsia" w:ascii="仿宋_GB2312" w:hAnsi="Times New Roman" w:eastAsia="仿宋_GB2312" w:cs="宋体"/>
          <w:b/>
          <w:bCs/>
          <w:sz w:val="32"/>
          <w:szCs w:val="32"/>
          <w:lang w:eastAsia="zh-CN"/>
        </w:rPr>
        <w:t>三是及时总结整改。</w:t>
      </w:r>
      <w:r>
        <w:rPr>
          <w:rFonts w:hint="eastAsia" w:ascii="仿宋_GB2312" w:hAnsi="Times New Roman" w:eastAsia="仿宋_GB2312" w:cs="宋体"/>
          <w:b w:val="0"/>
          <w:bCs w:val="0"/>
          <w:color w:val="auto"/>
          <w:sz w:val="32"/>
          <w:szCs w:val="32"/>
          <w:lang w:eastAsia="zh-CN"/>
        </w:rPr>
        <w:t>根据第三方测评结果及时分解问题清单，做好整改回复，形成整改报告。</w:t>
      </w:r>
    </w:p>
    <w:p>
      <w:pPr>
        <w:widowControl/>
        <w:shd w:val="clear" w:color="auto" w:fill="FFFFFF"/>
        <w:spacing w:before="0" w:beforeAutospacing="0" w:after="0" w:afterAutospacing="0" w:line="600" w:lineRule="exact"/>
        <w:ind w:left="0" w:right="0" w:firstLine="640" w:firstLineChars="200"/>
        <w:jc w:val="both"/>
        <w:rPr>
          <w:rFonts w:hint="eastAsia" w:ascii="仿宋_GB2312" w:hAnsi="Times New Roman" w:eastAsia="仿宋_GB2312" w:cs="宋体"/>
          <w:kern w:val="2"/>
          <w:sz w:val="32"/>
          <w:szCs w:val="32"/>
          <w:lang w:val="en-US" w:eastAsia="zh-CN" w:bidi="ar"/>
        </w:rPr>
      </w:pPr>
      <w:r>
        <w:rPr>
          <w:rFonts w:hint="eastAsia" w:ascii="黑体" w:hAnsi="黑体" w:eastAsia="黑体" w:cs="黑体"/>
          <w:kern w:val="2"/>
          <w:sz w:val="32"/>
          <w:szCs w:val="32"/>
          <w:lang w:val="en-US" w:eastAsia="zh-CN" w:bidi="ar"/>
        </w:rPr>
        <w:t>二、主动公开政府信息情况</w:t>
      </w:r>
    </w:p>
    <w:tbl>
      <w:tblPr>
        <w:tblStyle w:val="3"/>
        <w:tblpPr w:leftFromText="180" w:rightFromText="180" w:vertAnchor="text" w:horzAnchor="page" w:tblpX="1710" w:tblpY="306"/>
        <w:tblOverlap w:val="never"/>
        <w:tblW w:w="8820" w:type="dxa"/>
        <w:tblInd w:w="0" w:type="dxa"/>
        <w:tblLayout w:type="autofit"/>
        <w:tblCellMar>
          <w:top w:w="0" w:type="dxa"/>
          <w:left w:w="0" w:type="dxa"/>
          <w:bottom w:w="0" w:type="dxa"/>
          <w:right w:w="0" w:type="dxa"/>
        </w:tblCellMar>
      </w:tblPr>
      <w:tblGrid>
        <w:gridCol w:w="2415"/>
        <w:gridCol w:w="2884"/>
        <w:gridCol w:w="1586"/>
        <w:gridCol w:w="1935"/>
      </w:tblGrid>
      <w:tr>
        <w:tblPrEx>
          <w:tblCellMar>
            <w:top w:w="0" w:type="dxa"/>
            <w:left w:w="0" w:type="dxa"/>
            <w:bottom w:w="0" w:type="dxa"/>
            <w:right w:w="0" w:type="dxa"/>
          </w:tblCellMar>
        </w:tblPrEx>
        <w:trPr>
          <w:trHeight w:val="340" w:hRule="atLeast"/>
        </w:trPr>
        <w:tc>
          <w:tcPr>
            <w:tcW w:w="882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第二十条第（一）项</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信息内容</w:t>
            </w:r>
          </w:p>
        </w:tc>
        <w:tc>
          <w:tcPr>
            <w:tcW w:w="2884"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本年</w:t>
            </w:r>
            <w:r>
              <w:rPr>
                <w:rFonts w:hint="eastAsia" w:ascii="仿宋_GB2312" w:hAnsi="仿宋_GB2312" w:eastAsia="仿宋_GB2312" w:cs="仿宋_GB2312"/>
                <w:kern w:val="0"/>
                <w:sz w:val="20"/>
                <w:szCs w:val="20"/>
                <w:lang w:bidi="ar"/>
              </w:rPr>
              <w:t>制发件数</w:t>
            </w:r>
          </w:p>
        </w:tc>
        <w:tc>
          <w:tcPr>
            <w:tcW w:w="1586"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本年废止件数</w:t>
            </w:r>
          </w:p>
        </w:tc>
        <w:tc>
          <w:tcPr>
            <w:tcW w:w="19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现行有效件</w:t>
            </w:r>
            <w:r>
              <w:rPr>
                <w:rFonts w:hint="eastAsia" w:ascii="仿宋_GB2312" w:hAnsi="仿宋_GB2312" w:eastAsia="仿宋_GB2312" w:cs="仿宋_GB2312"/>
                <w:kern w:val="0"/>
                <w:sz w:val="20"/>
                <w:szCs w:val="20"/>
                <w:lang w:bidi="ar"/>
              </w:rPr>
              <w:t>数</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规章</w:t>
            </w:r>
          </w:p>
        </w:tc>
        <w:tc>
          <w:tcPr>
            <w:tcW w:w="288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0</w:t>
            </w:r>
          </w:p>
        </w:tc>
        <w:tc>
          <w:tcPr>
            <w:tcW w:w="1586"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0</w:t>
            </w:r>
          </w:p>
        </w:tc>
        <w:tc>
          <w:tcPr>
            <w:tcW w:w="19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Cs w:val="21"/>
                <w:lang w:bidi="ar"/>
              </w:rPr>
              <w:t>0</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行政规范性文件</w:t>
            </w:r>
          </w:p>
        </w:tc>
        <w:tc>
          <w:tcPr>
            <w:tcW w:w="288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0</w:t>
            </w:r>
          </w:p>
        </w:tc>
        <w:tc>
          <w:tcPr>
            <w:tcW w:w="1586"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0</w:t>
            </w:r>
          </w:p>
        </w:tc>
        <w:tc>
          <w:tcPr>
            <w:tcW w:w="19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Cs w:val="21"/>
                <w:lang w:bidi="ar"/>
              </w:rPr>
              <w:t>0</w:t>
            </w:r>
          </w:p>
        </w:tc>
      </w:tr>
      <w:tr>
        <w:tblPrEx>
          <w:tblCellMar>
            <w:top w:w="0" w:type="dxa"/>
            <w:left w:w="0" w:type="dxa"/>
            <w:bottom w:w="0" w:type="dxa"/>
            <w:right w:w="0" w:type="dxa"/>
          </w:tblCellMar>
        </w:tblPrEx>
        <w:trPr>
          <w:trHeight w:val="340" w:hRule="atLeast"/>
        </w:trPr>
        <w:tc>
          <w:tcPr>
            <w:tcW w:w="882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第二十条第（五）项</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信息内容</w:t>
            </w:r>
          </w:p>
        </w:tc>
        <w:tc>
          <w:tcPr>
            <w:tcW w:w="64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行政许可</w:t>
            </w:r>
          </w:p>
        </w:tc>
        <w:tc>
          <w:tcPr>
            <w:tcW w:w="64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仿宋_GB2312" w:eastAsia="仿宋_GB2312" w:cs="仿宋_GB2312"/>
                <w:lang w:val="en-US" w:eastAsia="zh-CN"/>
              </w:rPr>
            </w:pPr>
            <w:r>
              <w:rPr>
                <w:rFonts w:hint="default" w:ascii="Times New Roman" w:hAnsi="Times New Roman" w:eastAsia="仿宋_GB2312" w:cs="Times New Roman"/>
                <w:color w:val="auto"/>
                <w:kern w:val="0"/>
                <w:szCs w:val="21"/>
                <w:lang w:val="en-US" w:eastAsia="zh-CN" w:bidi="ar"/>
              </w:rPr>
              <w:t>18</w:t>
            </w:r>
            <w:r>
              <w:rPr>
                <w:rFonts w:hint="eastAsia" w:ascii="Times New Roman" w:hAnsi="Times New Roman" w:eastAsia="仿宋_GB2312" w:cs="Times New Roman"/>
                <w:color w:val="auto"/>
                <w:kern w:val="0"/>
                <w:szCs w:val="21"/>
                <w:lang w:val="en-US" w:eastAsia="zh-CN" w:bidi="ar"/>
              </w:rPr>
              <w:t>94</w:t>
            </w:r>
          </w:p>
        </w:tc>
      </w:tr>
      <w:tr>
        <w:tblPrEx>
          <w:tblCellMar>
            <w:top w:w="0" w:type="dxa"/>
            <w:left w:w="0" w:type="dxa"/>
            <w:bottom w:w="0" w:type="dxa"/>
            <w:right w:w="0" w:type="dxa"/>
          </w:tblCellMar>
        </w:tblPrEx>
        <w:trPr>
          <w:trHeight w:val="340" w:hRule="atLeast"/>
        </w:trPr>
        <w:tc>
          <w:tcPr>
            <w:tcW w:w="882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第二十条第（六）项</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信息内容</w:t>
            </w:r>
          </w:p>
        </w:tc>
        <w:tc>
          <w:tcPr>
            <w:tcW w:w="64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行政处罚</w:t>
            </w:r>
          </w:p>
        </w:tc>
        <w:tc>
          <w:tcPr>
            <w:tcW w:w="64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8</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行政强制</w:t>
            </w:r>
          </w:p>
        </w:tc>
        <w:tc>
          <w:tcPr>
            <w:tcW w:w="64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0</w:t>
            </w:r>
          </w:p>
        </w:tc>
      </w:tr>
      <w:tr>
        <w:tblPrEx>
          <w:tblCellMar>
            <w:top w:w="0" w:type="dxa"/>
            <w:left w:w="0" w:type="dxa"/>
            <w:bottom w:w="0" w:type="dxa"/>
            <w:right w:w="0" w:type="dxa"/>
          </w:tblCellMar>
        </w:tblPrEx>
        <w:trPr>
          <w:trHeight w:val="340" w:hRule="atLeast"/>
        </w:trPr>
        <w:tc>
          <w:tcPr>
            <w:tcW w:w="882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第二十条第（八）项</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信息内容</w:t>
            </w:r>
          </w:p>
        </w:tc>
        <w:tc>
          <w:tcPr>
            <w:tcW w:w="64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trPr>
        <w:tc>
          <w:tcPr>
            <w:tcW w:w="241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行政事业性收费</w:t>
            </w:r>
          </w:p>
        </w:tc>
        <w:tc>
          <w:tcPr>
            <w:tcW w:w="64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bl>
    <w:p>
      <w:pPr>
        <w:widowControl/>
        <w:shd w:val="clear" w:color="auto" w:fill="FFFFFF"/>
        <w:spacing w:before="0" w:beforeAutospacing="0" w:after="0" w:afterAutospacing="0" w:line="560" w:lineRule="exact"/>
        <w:ind w:left="0" w:right="0" w:firstLine="640" w:firstLineChars="200"/>
        <w:jc w:val="both"/>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三、收到和处理政府信息公开申请情况</w:t>
      </w:r>
    </w:p>
    <w:tbl>
      <w:tblPr>
        <w:tblStyle w:val="3"/>
        <w:tblpPr w:leftFromText="180" w:rightFromText="180" w:vertAnchor="text" w:horzAnchor="page" w:tblpX="1766" w:tblpY="567"/>
        <w:tblOverlap w:val="never"/>
        <w:tblW w:w="87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8"/>
        <w:gridCol w:w="943"/>
        <w:gridCol w:w="1644"/>
        <w:gridCol w:w="735"/>
        <w:gridCol w:w="1035"/>
        <w:gridCol w:w="690"/>
        <w:gridCol w:w="900"/>
        <w:gridCol w:w="750"/>
        <w:gridCol w:w="660"/>
        <w:gridCol w:w="5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435"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5310"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trPr>
        <w:tc>
          <w:tcPr>
            <w:tcW w:w="343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rPr>
            </w:pPr>
          </w:p>
        </w:tc>
        <w:tc>
          <w:tcPr>
            <w:tcW w:w="735"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自然人</w:t>
            </w:r>
          </w:p>
        </w:tc>
        <w:tc>
          <w:tcPr>
            <w:tcW w:w="4035" w:type="dxa"/>
            <w:gridSpan w:val="5"/>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法人或其他组织</w:t>
            </w:r>
          </w:p>
        </w:tc>
        <w:tc>
          <w:tcPr>
            <w:tcW w:w="540" w:type="dxa"/>
            <w:vMerge w:val="restart"/>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43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rPr>
            </w:pPr>
          </w:p>
        </w:tc>
        <w:tc>
          <w:tcPr>
            <w:tcW w:w="735"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0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商业</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企业</w:t>
            </w:r>
          </w:p>
        </w:tc>
        <w:tc>
          <w:tcPr>
            <w:tcW w:w="69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科研</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机构</w:t>
            </w:r>
          </w:p>
        </w:tc>
        <w:tc>
          <w:tcPr>
            <w:tcW w:w="900"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社会公益组织</w:t>
            </w:r>
          </w:p>
        </w:tc>
        <w:tc>
          <w:tcPr>
            <w:tcW w:w="750"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法律服务机构</w:t>
            </w:r>
          </w:p>
        </w:tc>
        <w:tc>
          <w:tcPr>
            <w:tcW w:w="660"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其他</w:t>
            </w:r>
          </w:p>
        </w:tc>
        <w:tc>
          <w:tcPr>
            <w:tcW w:w="540" w:type="dxa"/>
            <w:vMerge w:val="continue"/>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43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仿宋_GB2312" w:hAnsi="仿宋_GB2312" w:eastAsia="仿宋_GB2312" w:cs="仿宋_GB2312"/>
                <w:kern w:val="0"/>
                <w:sz w:val="20"/>
                <w:szCs w:val="20"/>
                <w:lang w:bidi="ar"/>
              </w:rPr>
              <w:t>一、本年新收政府信息公开申请数量</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43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仿宋_GB2312" w:hAnsi="仿宋_GB2312" w:eastAsia="仿宋_GB2312" w:cs="仿宋_GB2312"/>
                <w:kern w:val="0"/>
                <w:sz w:val="20"/>
                <w:szCs w:val="20"/>
                <w:lang w:bidi="ar"/>
              </w:rPr>
              <w:t>二、上年结转政府信息公开申请数量</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left"/>
            </w:pPr>
            <w:r>
              <w:rPr>
                <w:rFonts w:hint="eastAsia" w:ascii="仿宋_GB2312" w:hAnsi="仿宋_GB2312" w:eastAsia="仿宋_GB2312" w:cs="仿宋_GB2312"/>
                <w:kern w:val="0"/>
                <w:sz w:val="20"/>
                <w:szCs w:val="20"/>
                <w:lang w:bidi="ar"/>
              </w:rPr>
              <w:t>三、本年度办理结果</w:t>
            </w:r>
          </w:p>
        </w:tc>
        <w:tc>
          <w:tcPr>
            <w:tcW w:w="2587"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仿宋_GB2312" w:hAnsi="仿宋_GB2312" w:eastAsia="仿宋_GB2312" w:cs="仿宋_GB2312"/>
                <w:kern w:val="0"/>
                <w:sz w:val="20"/>
                <w:szCs w:val="20"/>
                <w:lang w:bidi="ar"/>
              </w:rPr>
              <w:t>（一）予以公开</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rPr>
            </w:pPr>
          </w:p>
        </w:tc>
        <w:tc>
          <w:tcPr>
            <w:tcW w:w="2587"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仿宋_GB2312" w:hAnsi="仿宋_GB2312" w:eastAsia="仿宋_GB2312" w:cs="仿宋_GB2312"/>
                <w:kern w:val="0"/>
                <w:sz w:val="20"/>
                <w:szCs w:val="20"/>
                <w:lang w:bidi="ar"/>
              </w:rPr>
              <w:t>（二）部分公开</w:t>
            </w:r>
            <w:r>
              <w:rPr>
                <w:rFonts w:hint="eastAsia" w:ascii="楷体_GB2312" w:hAnsi="楷体_GB2312" w:eastAsia="楷体_GB2312" w:cs="楷体_GB2312"/>
                <w:kern w:val="0"/>
                <w:sz w:val="20"/>
                <w:szCs w:val="20"/>
                <w:lang w:bidi="ar"/>
              </w:rPr>
              <w:t>（区分处理的，只计这一情形，不计其他情形）</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（三）不予公开</w:t>
            </w: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1.属于国家秘密</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2.其他法律行政法规禁止公开</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3.危及“三安全一稳定”</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4.保护第三方合法权益</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5.属于三类内部事务信息</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6.属于四类过程性信息</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7.属于行政执法案卷</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8.属于行政查询事项</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（四）无法提供</w:t>
            </w: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1.本机关不掌握相关政府信息</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2.没有现成信息需要另行制作</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3.补正后申请内容仍不明确</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（五）不予处理</w:t>
            </w: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1.信访举报投诉类申请</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2.重复申请</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3.要求提供公开出版物</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4.无正当理由大量反复申请</w:t>
            </w:r>
          </w:p>
        </w:tc>
        <w:tc>
          <w:tcPr>
            <w:tcW w:w="7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5.要求行政机关确认或重新出具已获取信息</w:t>
            </w:r>
          </w:p>
        </w:tc>
        <w:tc>
          <w:tcPr>
            <w:tcW w:w="73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103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9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90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75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6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54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（六）其他处理</w:t>
            </w:r>
          </w:p>
        </w:tc>
        <w:tc>
          <w:tcPr>
            <w:tcW w:w="1644" w:type="dxa"/>
            <w:tcBorders>
              <w:top w:val="nil"/>
              <w:left w:val="nil"/>
              <w:bottom w:val="single" w:color="auto" w:sz="8" w:space="0"/>
              <w:right w:val="single" w:color="auto" w:sz="8" w:space="0"/>
            </w:tcBorders>
            <w:noWrap w:val="0"/>
            <w:tcMar>
              <w:left w:w="57" w:type="dxa"/>
              <w:right w:w="57" w:type="dxa"/>
            </w:tcMar>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1.申请人无正当理由逾期不补正、行政机关不再处理其政府信息公开申请</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82" w:hRule="atLeast"/>
        </w:trPr>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center"/>
          </w:tcPr>
          <w:p>
            <w:pPr>
              <w:widowControl/>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2.申请人逾期未按收费通知要求缴纳费用、行政机关不再处理其政府信息公开申请</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1644"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3.其他</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仿宋_GB2312" w:hAnsi="仿宋_GB2312" w:eastAsia="仿宋_GB2312" w:cs="仿宋_GB2312"/>
                <w:sz w:val="24"/>
              </w:rPr>
            </w:pPr>
          </w:p>
        </w:tc>
        <w:tc>
          <w:tcPr>
            <w:tcW w:w="2587"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（七）总计</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43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四、结转下年度继续办理</w:t>
            </w:r>
          </w:p>
        </w:tc>
        <w:tc>
          <w:tcPr>
            <w:tcW w:w="7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10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9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90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75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660"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c>
          <w:tcPr>
            <w:tcW w:w="54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仿宋_GB2312" w:eastAsia="仿宋_GB2312" w:cs="仿宋_GB2312"/>
                <w:kern w:val="0"/>
                <w:sz w:val="20"/>
                <w:szCs w:val="20"/>
                <w:lang w:bidi="ar"/>
              </w:rPr>
            </w:pPr>
            <w:r>
              <w:rPr>
                <w:rFonts w:hint="eastAsia" w:ascii="仿宋_GB2312" w:hAnsi="仿宋_GB2312" w:eastAsia="仿宋_GB2312" w:cs="仿宋_GB2312"/>
                <w:kern w:val="0"/>
                <w:sz w:val="20"/>
                <w:szCs w:val="20"/>
                <w:lang w:bidi="ar"/>
              </w:rPr>
              <w:t>0</w:t>
            </w:r>
          </w:p>
        </w:tc>
      </w:tr>
    </w:tbl>
    <w:p>
      <w:pPr>
        <w:widowControl/>
        <w:shd w:val="clear" w:color="auto" w:fill="FFFFFF"/>
        <w:spacing w:before="0" w:beforeAutospacing="0" w:after="0" w:afterAutospacing="0" w:line="600" w:lineRule="exact"/>
        <w:ind w:left="0" w:right="0" w:firstLine="640" w:firstLineChars="200"/>
        <w:jc w:val="both"/>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四、政府信息公开行政复议、行政诉讼情况</w:t>
      </w:r>
    </w:p>
    <w:tbl>
      <w:tblPr>
        <w:tblStyle w:val="3"/>
        <w:tblpPr w:leftFromText="180" w:rightFromText="180" w:vertAnchor="text" w:horzAnchor="page" w:tblpX="1751" w:tblpY="297"/>
        <w:tblOverlap w:val="never"/>
        <w:tblW w:w="87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44"/>
        <w:gridCol w:w="516"/>
        <w:gridCol w:w="615"/>
        <w:gridCol w:w="495"/>
        <w:gridCol w:w="540"/>
        <w:gridCol w:w="675"/>
        <w:gridCol w:w="795"/>
        <w:gridCol w:w="795"/>
        <w:gridCol w:w="585"/>
        <w:gridCol w:w="435"/>
        <w:gridCol w:w="675"/>
        <w:gridCol w:w="615"/>
        <w:gridCol w:w="570"/>
        <w:gridCol w:w="585"/>
        <w:gridCol w:w="4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6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行政复议</w:t>
            </w:r>
          </w:p>
        </w:tc>
        <w:tc>
          <w:tcPr>
            <w:tcW w:w="6150"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4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结果维持</w:t>
            </w:r>
          </w:p>
        </w:tc>
        <w:tc>
          <w:tcPr>
            <w:tcW w:w="5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结果</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纠正</w:t>
            </w:r>
          </w:p>
        </w:tc>
        <w:tc>
          <w:tcPr>
            <w:tcW w:w="61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其他</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结果</w:t>
            </w:r>
          </w:p>
        </w:tc>
        <w:tc>
          <w:tcPr>
            <w:tcW w:w="49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尚未</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总计</w:t>
            </w:r>
          </w:p>
        </w:tc>
        <w:tc>
          <w:tcPr>
            <w:tcW w:w="328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未经复议直接起诉</w:t>
            </w:r>
          </w:p>
        </w:tc>
        <w:tc>
          <w:tcPr>
            <w:tcW w:w="286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4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sz w:val="24"/>
              </w:rPr>
            </w:pPr>
          </w:p>
        </w:tc>
        <w:tc>
          <w:tcPr>
            <w:tcW w:w="5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sz w:val="24"/>
              </w:rPr>
            </w:pPr>
          </w:p>
        </w:tc>
        <w:tc>
          <w:tcPr>
            <w:tcW w:w="61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sz w:val="24"/>
              </w:rPr>
            </w:pPr>
          </w:p>
        </w:tc>
        <w:tc>
          <w:tcPr>
            <w:tcW w:w="49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sz w:val="24"/>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sz w:val="24"/>
              </w:rPr>
            </w:pPr>
          </w:p>
        </w:tc>
        <w:tc>
          <w:tcPr>
            <w:tcW w:w="67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结果</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维持</w:t>
            </w:r>
          </w:p>
        </w:tc>
        <w:tc>
          <w:tcPr>
            <w:tcW w:w="79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结果</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纠正</w:t>
            </w:r>
          </w:p>
        </w:tc>
        <w:tc>
          <w:tcPr>
            <w:tcW w:w="7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其他</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结果</w:t>
            </w:r>
          </w:p>
        </w:tc>
        <w:tc>
          <w:tcPr>
            <w:tcW w:w="58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尚未</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审结</w:t>
            </w:r>
          </w:p>
        </w:tc>
        <w:tc>
          <w:tcPr>
            <w:tcW w:w="43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总计</w:t>
            </w:r>
          </w:p>
        </w:tc>
        <w:tc>
          <w:tcPr>
            <w:tcW w:w="67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结果</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维持</w:t>
            </w:r>
          </w:p>
        </w:tc>
        <w:tc>
          <w:tcPr>
            <w:tcW w:w="61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结果</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纠正</w:t>
            </w:r>
          </w:p>
        </w:tc>
        <w:tc>
          <w:tcPr>
            <w:tcW w:w="5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其他</w:t>
            </w:r>
          </w:p>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结果</w:t>
            </w:r>
          </w:p>
        </w:tc>
        <w:tc>
          <w:tcPr>
            <w:tcW w:w="58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kern w:val="0"/>
                <w:sz w:val="20"/>
                <w:szCs w:val="20"/>
                <w:lang w:eastAsia="zh-CN" w:bidi="ar"/>
              </w:rPr>
            </w:pPr>
            <w:r>
              <w:rPr>
                <w:rFonts w:hint="eastAsia" w:ascii="仿宋_GB2312" w:hAnsi="仿宋_GB2312" w:eastAsia="仿宋_GB2312" w:cs="仿宋_GB2312"/>
                <w:kern w:val="0"/>
                <w:sz w:val="20"/>
                <w:szCs w:val="20"/>
                <w:lang w:bidi="ar"/>
              </w:rPr>
              <w:t>尚未</w:t>
            </w:r>
          </w:p>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审结</w:t>
            </w:r>
          </w:p>
        </w:tc>
        <w:tc>
          <w:tcPr>
            <w:tcW w:w="42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44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1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49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7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9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79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8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43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7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7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58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bidi="ar"/>
              </w:rPr>
              <w:t>0</w:t>
            </w:r>
          </w:p>
        </w:tc>
        <w:tc>
          <w:tcPr>
            <w:tcW w:w="42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bl>
    <w:p>
      <w:pPr>
        <w:widowControl/>
        <w:numPr>
          <w:ilvl w:val="0"/>
          <w:numId w:val="2"/>
        </w:numPr>
        <w:shd w:val="clear" w:color="auto" w:fill="FFFFFF"/>
        <w:spacing w:before="0" w:beforeAutospacing="0" w:after="0" w:afterAutospacing="0" w:line="560" w:lineRule="exact"/>
        <w:ind w:left="0" w:right="0" w:firstLine="640" w:firstLineChars="200"/>
        <w:jc w:val="both"/>
        <w:rPr>
          <w:rFonts w:hint="eastAsia" w:ascii="楷体_GB2312" w:hAnsi="楷体_GB2312" w:eastAsia="楷体_GB2312" w:cs="楷体_GB2312"/>
          <w:b/>
          <w:bCs/>
          <w:kern w:val="2"/>
          <w:sz w:val="32"/>
          <w:szCs w:val="32"/>
          <w:lang w:val="en-US" w:eastAsia="zh-CN" w:bidi="ar"/>
        </w:rPr>
      </w:pPr>
      <w:r>
        <w:rPr>
          <w:rFonts w:hint="eastAsia" w:ascii="黑体" w:hAnsi="黑体" w:eastAsia="黑体" w:cs="黑体"/>
          <w:kern w:val="2"/>
          <w:sz w:val="32"/>
          <w:szCs w:val="32"/>
          <w:lang w:val="en-US" w:eastAsia="zh-CN" w:bidi="ar"/>
        </w:rPr>
        <w:t>存在的主要问题及改进情况</w:t>
      </w:r>
    </w:p>
    <w:p>
      <w:pPr>
        <w:pStyle w:val="2"/>
        <w:keepNext w:val="0"/>
        <w:keepLines w:val="0"/>
        <w:widowControl/>
        <w:suppressLineNumbers w:val="0"/>
        <w:shd w:val="clear" w:color="auto" w:fill="FFFFFF"/>
        <w:spacing w:before="60" w:beforeAutospacing="0" w:after="60" w:afterAutospacing="0" w:line="375" w:lineRule="atLeast"/>
        <w:ind w:left="0" w:right="0" w:firstLine="645"/>
        <w:jc w:val="both"/>
        <w:rPr>
          <w:rFonts w:hint="default" w:ascii="仿宋_GB2312" w:hAnsi="Times New Roman" w:eastAsia="仿宋_GB2312" w:cs="宋体"/>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（一）上年度存在问题整改情况。</w:t>
      </w:r>
      <w:r>
        <w:rPr>
          <w:rFonts w:hint="eastAsia" w:ascii="仿宋_GB2312" w:hAnsi="Times New Roman" w:eastAsia="仿宋_GB2312" w:cs="宋体"/>
          <w:kern w:val="2"/>
          <w:sz w:val="32"/>
          <w:szCs w:val="32"/>
          <w:lang w:val="en-US" w:eastAsia="zh-CN" w:bidi="ar-SA"/>
        </w:rPr>
        <w:t>针对我局上年度存在的政策解读和回应水平有待进一步提高的问题。我局主动作为，通过积极梳理政策文件、组织经办人员参加业务培训、将政务公开工作纳入绩效考核等多种措施，进一步提升经办人员政策解读和回应水平，破解政务公务公开工作短板。</w:t>
      </w:r>
    </w:p>
    <w:p>
      <w:pPr>
        <w:pStyle w:val="2"/>
        <w:keepNext w:val="0"/>
        <w:keepLines w:val="0"/>
        <w:widowControl/>
        <w:suppressLineNumbers w:val="0"/>
        <w:shd w:val="clear" w:color="auto" w:fill="FFFFFF"/>
        <w:spacing w:before="60" w:beforeAutospacing="0" w:after="60" w:afterAutospacing="0" w:line="375" w:lineRule="atLeast"/>
        <w:ind w:left="0" w:right="0" w:firstLine="645"/>
        <w:jc w:val="both"/>
        <w:rPr>
          <w:rFonts w:hint="eastAsia" w:ascii="仿宋_GB2312" w:hAnsi="Times New Roman" w:eastAsia="仿宋_GB2312" w:cs="宋体"/>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（二）本年度主要问题。</w:t>
      </w:r>
      <w:r>
        <w:rPr>
          <w:rFonts w:hint="default" w:ascii="仿宋_GB2312" w:hAnsi="Times New Roman" w:eastAsia="仿宋_GB2312" w:cs="宋体"/>
          <w:kern w:val="2"/>
          <w:sz w:val="32"/>
          <w:szCs w:val="32"/>
          <w:lang w:val="en-US" w:eastAsia="zh-CN" w:bidi="ar-SA"/>
        </w:rPr>
        <w:t>2023</w:t>
      </w:r>
      <w:r>
        <w:rPr>
          <w:rFonts w:hint="eastAsia" w:ascii="仿宋_GB2312" w:hAnsi="Times New Roman" w:eastAsia="仿宋_GB2312" w:cs="宋体"/>
          <w:kern w:val="2"/>
          <w:sz w:val="32"/>
          <w:szCs w:val="32"/>
          <w:lang w:val="en-US" w:eastAsia="zh-CN" w:bidi="ar-SA"/>
        </w:rPr>
        <w:t>年，舒城县税务局政府信息公开工作在市局的统一部署、县政府政务公开主管部门的领导下取得了积极的进展,但仍然存在政务公开全面性不够、精准性不强、创新性不足等问题。</w:t>
      </w:r>
    </w:p>
    <w:p>
      <w:pPr>
        <w:pStyle w:val="2"/>
        <w:keepNext w:val="0"/>
        <w:keepLines w:val="0"/>
        <w:widowControl/>
        <w:suppressLineNumbers w:val="0"/>
        <w:shd w:val="clear" w:color="auto" w:fill="FFFFFF"/>
        <w:spacing w:before="60" w:beforeAutospacing="0" w:after="60" w:afterAutospacing="0" w:line="375" w:lineRule="atLeast"/>
        <w:ind w:left="0" w:right="0" w:firstLine="645"/>
        <w:jc w:val="both"/>
        <w:rPr>
          <w:rFonts w:hint="eastAsia" w:ascii="仿宋_GB2312" w:eastAsia="仿宋_GB2312" w:cs="仿宋_GB2312"/>
          <w:color w:val="333333"/>
          <w:sz w:val="31"/>
          <w:szCs w:val="31"/>
          <w:shd w:val="clear" w:color="auto" w:fill="FFFFFF"/>
        </w:rPr>
      </w:pPr>
      <w:r>
        <w:rPr>
          <w:rFonts w:hint="eastAsia" w:ascii="楷体_GB2312" w:hAnsi="楷体_GB2312" w:eastAsia="楷体_GB2312" w:cs="楷体_GB2312"/>
          <w:b/>
          <w:bCs/>
          <w:kern w:val="2"/>
          <w:sz w:val="32"/>
          <w:szCs w:val="32"/>
          <w:lang w:eastAsia="zh-CN"/>
        </w:rPr>
        <w:t>（三）改进情况。</w:t>
      </w:r>
      <w:r>
        <w:rPr>
          <w:rFonts w:hint="eastAsia" w:ascii="仿宋_GB2312" w:hAnsi="Times New Roman" w:eastAsia="仿宋_GB2312" w:cs="宋体"/>
          <w:kern w:val="2"/>
          <w:sz w:val="32"/>
          <w:szCs w:val="32"/>
          <w:lang w:val="en-US" w:eastAsia="zh-CN" w:bidi="ar-SA"/>
        </w:rPr>
        <w:t>对照上述问题，舒城县税务局主着重从以下几方面加强政务公开工作，优化政务服务。</w:t>
      </w:r>
      <w:r>
        <w:rPr>
          <w:rStyle w:val="5"/>
          <w:rFonts w:hint="eastAsia" w:ascii="仿宋_GB2312" w:hAnsi="Times New Roman" w:eastAsia="仿宋_GB2312" w:cs="仿宋_GB2312"/>
          <w:color w:val="auto"/>
          <w:sz w:val="31"/>
          <w:szCs w:val="31"/>
          <w:shd w:val="clear" w:color="auto" w:fill="FFFFFF"/>
          <w:lang w:eastAsia="zh-CN"/>
        </w:rPr>
        <w:t>一</w:t>
      </w:r>
      <w:r>
        <w:rPr>
          <w:rStyle w:val="5"/>
          <w:rFonts w:hint="eastAsia" w:ascii="仿宋_GB2312" w:hAnsi="Times New Roman" w:eastAsia="仿宋_GB2312" w:cs="仿宋_GB2312"/>
          <w:color w:val="auto"/>
          <w:sz w:val="31"/>
          <w:szCs w:val="31"/>
          <w:shd w:val="clear" w:color="auto" w:fill="FFFFFF"/>
        </w:rPr>
        <w:t>是落实工作职责</w:t>
      </w:r>
      <w:r>
        <w:rPr>
          <w:rStyle w:val="5"/>
          <w:rFonts w:hint="eastAsia" w:ascii="仿宋_GB2312" w:hAnsi="Times New Roman" w:eastAsia="仿宋_GB2312" w:cs="仿宋_GB2312"/>
          <w:color w:val="auto"/>
          <w:sz w:val="31"/>
          <w:szCs w:val="31"/>
          <w:shd w:val="clear" w:color="auto" w:fill="FFFFFF"/>
          <w:lang w:eastAsia="zh-CN"/>
        </w:rPr>
        <w:t>，提升政务公开全面性</w:t>
      </w:r>
      <w:r>
        <w:rPr>
          <w:rStyle w:val="5"/>
          <w:rFonts w:hint="eastAsia" w:ascii="仿宋_GB2312" w:hAnsi="Times New Roman" w:eastAsia="仿宋_GB2312" w:cs="仿宋_GB2312"/>
          <w:color w:val="auto"/>
          <w:sz w:val="31"/>
          <w:szCs w:val="31"/>
          <w:shd w:val="clear" w:color="auto" w:fill="FFFFFF"/>
        </w:rPr>
        <w:t>。</w:t>
      </w:r>
      <w:r>
        <w:rPr>
          <w:rFonts w:hint="eastAsia" w:ascii="仿宋_GB2312" w:hAnsi="Times New Roman" w:eastAsia="仿宋_GB2312" w:cs="宋体"/>
          <w:kern w:val="2"/>
          <w:sz w:val="32"/>
          <w:szCs w:val="32"/>
          <w:lang w:val="en-US" w:eastAsia="zh-CN" w:bidi="ar-SA"/>
        </w:rPr>
        <w:t>加强股室之间的沟通协调，明确各股室的职责和责任，将政务服务与税务部门各项重点工作有机结合起来，确保在日常工作及关键节点上政务信息公开全面规范。</w:t>
      </w:r>
      <w:r>
        <w:rPr>
          <w:rFonts w:hint="eastAsia" w:ascii="仿宋_GB2312" w:hAnsi="微软雅黑" w:eastAsia="仿宋_GB2312" w:cs="宋体"/>
          <w:b/>
          <w:bCs/>
          <w:color w:val="auto"/>
          <w:kern w:val="0"/>
          <w:sz w:val="32"/>
          <w:szCs w:val="32"/>
          <w:lang w:val="en-US" w:eastAsia="zh-CN" w:bidi="ar"/>
        </w:rPr>
        <w:t>一</w:t>
      </w:r>
      <w:r>
        <w:rPr>
          <w:rFonts w:ascii="仿宋_GB2312" w:hAnsi="微软雅黑" w:eastAsia="仿宋_GB2312" w:cs="宋体"/>
          <w:b/>
          <w:bCs/>
          <w:color w:val="auto"/>
          <w:kern w:val="0"/>
          <w:sz w:val="32"/>
          <w:szCs w:val="32"/>
          <w:lang w:val="en-US" w:eastAsia="zh-CN" w:bidi="ar"/>
        </w:rPr>
        <w:t>是</w:t>
      </w:r>
      <w:r>
        <w:rPr>
          <w:rFonts w:hint="eastAsia" w:ascii="仿宋_GB2312" w:hAnsi="微软雅黑" w:eastAsia="仿宋_GB2312" w:cs="宋体"/>
          <w:b/>
          <w:bCs/>
          <w:color w:val="auto"/>
          <w:kern w:val="0"/>
          <w:sz w:val="32"/>
          <w:szCs w:val="32"/>
          <w:lang w:val="en-US" w:eastAsia="zh-CN" w:bidi="ar"/>
        </w:rPr>
        <w:t>积极参与培训，增强政务公开精准性</w:t>
      </w:r>
      <w:r>
        <w:rPr>
          <w:rFonts w:hint="eastAsia" w:ascii="仿宋_GB2312" w:hAnsi="Times New Roman" w:eastAsia="仿宋_GB2312" w:cs="宋体"/>
          <w:kern w:val="2"/>
          <w:sz w:val="32"/>
          <w:szCs w:val="32"/>
          <w:lang w:val="en-US" w:eastAsia="zh-CN" w:bidi="ar-SA"/>
        </w:rPr>
        <w:t>。积极组织经办人员参与县委、县政府、市税务局组织的各类培训，提高经办人员工作能力和工作水平，准确把握上级部门考核要求，提高政务信息平台各个栏目信息公开的精准性。</w:t>
      </w:r>
      <w:r>
        <w:rPr>
          <w:rFonts w:hint="eastAsia" w:ascii="仿宋_GB2312" w:hAnsi="Times New Roman" w:eastAsia="仿宋_GB2312" w:cs="宋体"/>
          <w:b/>
          <w:bCs/>
          <w:color w:val="auto"/>
          <w:kern w:val="2"/>
          <w:sz w:val="32"/>
          <w:szCs w:val="32"/>
          <w:lang w:val="en-US" w:eastAsia="zh-CN" w:bidi="ar-SA"/>
        </w:rPr>
        <w:t>三是强化人员配备，提高政务公开创新性</w:t>
      </w:r>
      <w:r>
        <w:rPr>
          <w:rFonts w:hint="eastAsia" w:ascii="仿宋_GB2312" w:hAnsi="Times New Roman" w:eastAsia="仿宋_GB2312" w:cs="宋体"/>
          <w:kern w:val="2"/>
          <w:sz w:val="32"/>
          <w:szCs w:val="32"/>
          <w:lang w:val="en-US" w:eastAsia="zh-CN" w:bidi="ar-SA"/>
        </w:rPr>
        <w:t>。吸纳青年干部加入政务公开队伍，激发队伍活力，创新工作方式，让政务公开工作在创新性上有所突破。</w:t>
      </w:r>
    </w:p>
    <w:p>
      <w:pPr>
        <w:pStyle w:val="2"/>
        <w:keepNext w:val="0"/>
        <w:keepLines w:val="0"/>
        <w:widowControl/>
        <w:suppressLineNumbers w:val="0"/>
        <w:shd w:val="clear" w:color="auto" w:fill="FFFFFF"/>
        <w:spacing w:before="60" w:beforeAutospacing="0" w:after="60" w:afterAutospacing="0" w:line="375" w:lineRule="atLeast"/>
        <w:ind w:left="0" w:right="0" w:firstLine="645"/>
        <w:jc w:val="both"/>
        <w:rPr>
          <w:rFonts w:hint="eastAsia" w:ascii="黑体" w:hAnsi="黑体" w:eastAsia="黑体" w:cs="黑体"/>
          <w:color w:val="auto"/>
          <w:sz w:val="31"/>
          <w:szCs w:val="31"/>
          <w:shd w:val="clear" w:color="auto" w:fill="FFFFFF"/>
        </w:rPr>
      </w:pPr>
      <w:r>
        <w:rPr>
          <w:rFonts w:hint="eastAsia" w:ascii="黑体" w:hAnsi="黑体" w:eastAsia="黑体" w:cs="黑体"/>
          <w:color w:val="auto"/>
          <w:sz w:val="31"/>
          <w:szCs w:val="31"/>
          <w:shd w:val="clear" w:color="auto" w:fill="FFFFFF"/>
        </w:rPr>
        <w:t>六、其他需要报告的事项</w:t>
      </w:r>
    </w:p>
    <w:p>
      <w:pPr>
        <w:pStyle w:val="2"/>
        <w:keepNext w:val="0"/>
        <w:keepLines w:val="0"/>
        <w:widowControl/>
        <w:suppressLineNumbers w:val="0"/>
        <w:shd w:val="clear" w:color="auto" w:fill="FFFFFF"/>
        <w:spacing w:before="60" w:beforeAutospacing="0" w:after="60" w:afterAutospacing="0" w:line="375" w:lineRule="atLeast"/>
        <w:ind w:left="0" w:right="0" w:firstLine="645"/>
        <w:jc w:val="both"/>
        <w:rPr>
          <w:rFonts w:hint="eastAsia" w:ascii="仿宋_GB2312" w:hAnsi="Times New Roman" w:eastAsia="仿宋_GB2312" w:cs="宋体"/>
          <w:color w:val="auto"/>
          <w:kern w:val="2"/>
          <w:sz w:val="32"/>
          <w:szCs w:val="32"/>
          <w:lang w:val="en-US" w:eastAsia="zh-CN" w:bidi="ar-SA"/>
        </w:rPr>
      </w:pPr>
      <w:r>
        <w:rPr>
          <w:rFonts w:hint="eastAsia" w:ascii="仿宋_GB2312" w:hAnsi="Times New Roman" w:eastAsia="仿宋_GB2312" w:cs="宋体"/>
          <w:color w:val="auto"/>
          <w:kern w:val="2"/>
          <w:sz w:val="32"/>
          <w:szCs w:val="32"/>
          <w:lang w:val="en-US" w:eastAsia="zh-CN" w:bidi="ar-SA"/>
        </w:rPr>
        <w:t>按照《国务院办公厅关于印发&lt;政府信息公开信息处理费管理办法&gt;的通知》（</w:t>
      </w:r>
      <w:bookmarkStart w:id="0" w:name="_GoBack"/>
      <w:bookmarkEnd w:id="0"/>
      <w:r>
        <w:rPr>
          <w:rFonts w:hint="eastAsia" w:ascii="仿宋_GB2312" w:hAnsi="Times New Roman" w:eastAsia="仿宋_GB2312" w:cs="宋体"/>
          <w:color w:val="auto"/>
          <w:kern w:val="2"/>
          <w:sz w:val="32"/>
          <w:szCs w:val="32"/>
          <w:lang w:val="en-US" w:eastAsia="zh-CN" w:bidi="ar-SA"/>
        </w:rPr>
        <w:t>国办函〔</w:t>
      </w:r>
      <w:r>
        <w:rPr>
          <w:rFonts w:hint="default" w:ascii="Times New Roman" w:hAnsi="Times New Roman" w:eastAsia="仿宋_GB2312" w:cs="Times New Roman"/>
          <w:color w:val="auto"/>
          <w:kern w:val="2"/>
          <w:sz w:val="32"/>
          <w:szCs w:val="32"/>
          <w:lang w:val="en-US" w:eastAsia="zh-CN" w:bidi="ar-SA"/>
        </w:rPr>
        <w:t>2020</w:t>
      </w:r>
      <w:r>
        <w:rPr>
          <w:rFonts w:hint="eastAsia" w:ascii="仿宋_GB2312" w:hAnsi="Times New Roman" w:eastAsia="仿宋_GB2312" w:cs="宋体"/>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109</w:t>
      </w:r>
      <w:r>
        <w:rPr>
          <w:rFonts w:hint="eastAsia" w:ascii="仿宋_GB2312" w:hAnsi="Times New Roman" w:eastAsia="仿宋_GB2312" w:cs="宋体"/>
          <w:color w:val="auto"/>
          <w:kern w:val="2"/>
          <w:sz w:val="32"/>
          <w:szCs w:val="32"/>
          <w:lang w:val="en-US" w:eastAsia="zh-CN" w:bidi="ar-SA"/>
        </w:rPr>
        <w:t>号）规定的按件、按量收费标准，本年度没有产生信息公开处理费。</w:t>
      </w:r>
    </w:p>
    <w:p>
      <w:pPr>
        <w:keepNext w:val="0"/>
        <w:keepLines w:val="0"/>
        <w:widowControl w:val="0"/>
        <w:suppressLineNumbers w:val="0"/>
        <w:spacing w:before="0" w:beforeAutospacing="1" w:after="0" w:afterAutospacing="1" w:line="600" w:lineRule="exact"/>
        <w:ind w:left="0" w:right="0" w:firstLine="640" w:firstLineChars="200"/>
        <w:jc w:val="left"/>
        <w:rPr>
          <w:rFonts w:hint="default" w:ascii="仿宋_GB2312" w:hAnsi="Times New Roman" w:eastAsia="仿宋_GB2312" w:cs="宋体"/>
          <w:kern w:val="2"/>
          <w:sz w:val="32"/>
          <w:szCs w:val="32"/>
          <w:lang w:val="en-US" w:eastAsia="zh-CN" w:bidi="ar-SA"/>
        </w:rPr>
      </w:pPr>
      <w:r>
        <w:rPr>
          <w:rFonts w:hint="eastAsia" w:ascii="仿宋_GB2312" w:hAnsi="Times New Roman" w:eastAsia="仿宋_GB2312" w:cs="宋体"/>
          <w:kern w:val="2"/>
          <w:sz w:val="32"/>
          <w:szCs w:val="32"/>
          <w:lang w:val="en-US" w:eastAsia="zh-CN" w:bidi="ar-SA"/>
        </w:rPr>
        <w:t xml:space="preserv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exact"/>
        <w:ind w:leftChars="200" w:right="0" w:rightChars="0"/>
        <w:jc w:val="both"/>
        <w:rPr>
          <w:rFonts w:hint="eastAsia" w:ascii="楷体_GB2312" w:hAnsi="楷体_GB2312" w:eastAsia="楷体_GB2312" w:cs="楷体_GB2312"/>
          <w:b/>
          <w:bCs/>
          <w:kern w:val="2"/>
          <w:sz w:val="32"/>
          <w:szCs w:val="32"/>
          <w:lang w:val="en-US" w:eastAsia="zh-CN"/>
        </w:rPr>
      </w:pPr>
    </w:p>
    <w:p>
      <w:pPr>
        <w:pStyle w:val="2"/>
        <w:keepNext w:val="0"/>
        <w:keepLines w:val="0"/>
        <w:widowControl/>
        <w:numPr>
          <w:ilvl w:val="0"/>
          <w:numId w:val="0"/>
        </w:numPr>
        <w:suppressLineNumbers w:val="0"/>
        <w:spacing w:before="60" w:beforeAutospacing="0" w:after="60" w:afterAutospacing="0" w:line="375" w:lineRule="atLeast"/>
        <w:ind w:leftChars="200" w:right="0" w:rightChars="0"/>
        <w:jc w:val="both"/>
        <w:rPr>
          <w:rFonts w:hint="eastAsia" w:ascii="楷体_GB2312" w:hAnsi="楷体_GB2312" w:eastAsia="楷体_GB2312" w:cs="楷体_GB2312"/>
          <w:b/>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8680F0"/>
    <w:multiLevelType w:val="singleLevel"/>
    <w:tmpl w:val="F68680F0"/>
    <w:lvl w:ilvl="0" w:tentative="0">
      <w:start w:val="5"/>
      <w:numFmt w:val="chineseCounting"/>
      <w:suff w:val="nothing"/>
      <w:lvlText w:val="%1、"/>
      <w:lvlJc w:val="left"/>
      <w:rPr>
        <w:rFonts w:hint="eastAsia"/>
      </w:rPr>
    </w:lvl>
  </w:abstractNum>
  <w:abstractNum w:abstractNumId="1">
    <w:nsid w:val="7DABDFC2"/>
    <w:multiLevelType w:val="singleLevel"/>
    <w:tmpl w:val="7DABDFC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2EzOTM5OGE0OWI1Mzg5ODZkNGU4MWIzZTlmNjIifQ=="/>
  </w:docVars>
  <w:rsids>
    <w:rsidRoot w:val="00000000"/>
    <w:rsid w:val="004B0CB0"/>
    <w:rsid w:val="04DA2804"/>
    <w:rsid w:val="09157676"/>
    <w:rsid w:val="0BE1166F"/>
    <w:rsid w:val="0C65276B"/>
    <w:rsid w:val="0DDF2F7F"/>
    <w:rsid w:val="0DE24A0B"/>
    <w:rsid w:val="0EE92F84"/>
    <w:rsid w:val="10726E19"/>
    <w:rsid w:val="11193219"/>
    <w:rsid w:val="11527EFA"/>
    <w:rsid w:val="11F22B53"/>
    <w:rsid w:val="15647F35"/>
    <w:rsid w:val="15FF5951"/>
    <w:rsid w:val="18116C89"/>
    <w:rsid w:val="18943FF1"/>
    <w:rsid w:val="203458FD"/>
    <w:rsid w:val="24E7219B"/>
    <w:rsid w:val="272A55CD"/>
    <w:rsid w:val="2AFC7B17"/>
    <w:rsid w:val="2CF775D2"/>
    <w:rsid w:val="311B481E"/>
    <w:rsid w:val="328A51AB"/>
    <w:rsid w:val="336332AD"/>
    <w:rsid w:val="36802F18"/>
    <w:rsid w:val="36DC2791"/>
    <w:rsid w:val="3CEA4F7F"/>
    <w:rsid w:val="3EBF7ED8"/>
    <w:rsid w:val="443A35FD"/>
    <w:rsid w:val="4938763A"/>
    <w:rsid w:val="493B1131"/>
    <w:rsid w:val="50C77614"/>
    <w:rsid w:val="51987CEC"/>
    <w:rsid w:val="52D04040"/>
    <w:rsid w:val="541119FD"/>
    <w:rsid w:val="5C4660D7"/>
    <w:rsid w:val="5D1041BB"/>
    <w:rsid w:val="5DAC78BD"/>
    <w:rsid w:val="5E7E4F91"/>
    <w:rsid w:val="5ECA2293"/>
    <w:rsid w:val="5EDF3132"/>
    <w:rsid w:val="5F295B30"/>
    <w:rsid w:val="61654448"/>
    <w:rsid w:val="63D0424F"/>
    <w:rsid w:val="63EC3B7F"/>
    <w:rsid w:val="642024AA"/>
    <w:rsid w:val="64D77412"/>
    <w:rsid w:val="65E41BD1"/>
    <w:rsid w:val="67113427"/>
    <w:rsid w:val="67994F49"/>
    <w:rsid w:val="67E81E06"/>
    <w:rsid w:val="685D093B"/>
    <w:rsid w:val="72400978"/>
    <w:rsid w:val="72A53AD1"/>
    <w:rsid w:val="73854316"/>
    <w:rsid w:val="760A7538"/>
    <w:rsid w:val="78CE223E"/>
    <w:rsid w:val="79301896"/>
    <w:rsid w:val="7A5E74D2"/>
    <w:rsid w:val="7A893B99"/>
    <w:rsid w:val="7AB47539"/>
    <w:rsid w:val="7C56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5">
    <w:name w:val="Strong"/>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2023-12-07T01:45:00Z</dcterms:created>
  <dc:creator>Administrator</dc:creator>
  <cp:lastModifiedBy>Vae千千</cp:lastModifiedBy>
  <cp:lastPrinted>2024-01-23T03:13:11Z</cp:lastPrinted>
  <dcterms:modified xsi:type="dcterms:W3CDTF">2024-01-23T03:16:55Z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9D363E8D52784A67B37E1FC4F7C69F0F_12</vt:lpwstr>
  </property>
</Properties>
</file>