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舒城县民政局2022年</w:t>
      </w:r>
      <w:r>
        <w:rPr>
          <w:rFonts w:hint="eastAsia" w:ascii="方正小标宋简体" w:eastAsia="方正小标宋简体"/>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宋体" w:eastAsia="仿宋_GB2312" w:cs="宋体"/>
          <w:bCs/>
          <w:color w:val="333333"/>
          <w:sz w:val="32"/>
          <w:szCs w:val="32"/>
          <w:shd w:val="clear" w:color="auto" w:fill="FFFFFF"/>
          <w:lang w:val="en-US" w:eastAsia="zh-CN"/>
        </w:rPr>
      </w:pPr>
      <w:r>
        <w:rPr>
          <w:rFonts w:hint="default" w:ascii="仿宋_GB2312" w:hAnsi="宋体" w:eastAsia="仿宋_GB2312" w:cs="宋体"/>
          <w:bCs/>
          <w:color w:val="333333"/>
          <w:sz w:val="32"/>
          <w:szCs w:val="32"/>
          <w:shd w:val="clear" w:color="auto" w:fill="FFFFFF"/>
          <w:lang w:val="en-US" w:eastAsia="zh-CN"/>
        </w:rPr>
        <w:t>根据《</w:t>
      </w:r>
      <w:r>
        <w:rPr>
          <w:rFonts w:hint="eastAsia" w:ascii="仿宋_GB2312" w:hAnsi="宋体" w:eastAsia="仿宋_GB2312" w:cs="宋体"/>
          <w:bCs/>
          <w:color w:val="333333"/>
          <w:sz w:val="32"/>
          <w:szCs w:val="32"/>
          <w:shd w:val="clear" w:color="auto" w:fill="FFFFFF"/>
          <w:lang w:val="en-US" w:eastAsia="zh-CN"/>
        </w:rPr>
        <w:t>舒城县人民政府办公室关于做好2022年度政府信息公开年度报告编制和发布工作的通知（舒政办明电〔2023〕1号）</w:t>
      </w:r>
      <w:r>
        <w:rPr>
          <w:rFonts w:hint="default" w:ascii="仿宋_GB2312" w:hAnsi="宋体" w:eastAsia="仿宋_GB2312" w:cs="宋体"/>
          <w:bCs/>
          <w:color w:val="333333"/>
          <w:sz w:val="32"/>
          <w:szCs w:val="32"/>
          <w:shd w:val="clear" w:color="auto" w:fill="FFFFFF"/>
          <w:lang w:val="en-US" w:eastAsia="zh-CN"/>
        </w:rPr>
        <w:t>》要求，编制</w:t>
      </w:r>
      <w:r>
        <w:rPr>
          <w:rFonts w:hint="eastAsia" w:ascii="仿宋_GB2312" w:hAnsi="宋体" w:eastAsia="仿宋_GB2312" w:cs="宋体"/>
          <w:bCs/>
          <w:color w:val="333333"/>
          <w:sz w:val="32"/>
          <w:szCs w:val="32"/>
          <w:shd w:val="clear" w:color="auto" w:fill="FFFFFF"/>
          <w:lang w:val="en-US" w:eastAsia="zh-CN"/>
        </w:rPr>
        <w:t>舒城县</w:t>
      </w:r>
      <w:r>
        <w:rPr>
          <w:rFonts w:hint="default" w:ascii="仿宋_GB2312" w:hAnsi="宋体" w:eastAsia="仿宋_GB2312" w:cs="宋体"/>
          <w:bCs/>
          <w:color w:val="333333"/>
          <w:sz w:val="32"/>
          <w:szCs w:val="32"/>
          <w:shd w:val="clear" w:color="auto" w:fill="FFFFFF"/>
          <w:lang w:val="en-US" w:eastAsia="zh-CN"/>
        </w:rPr>
        <w:t>民政局2022年度政府信息公开工作报告。主要包括：总体情况、主动公开政府信息情况、收到和处理政府信息公开申请情况、政府信息公开行政复议和行政诉讼情况、存在的主要问题及改进情况、其他需要报告的事项等6项内容。本报告统计时间段为2022年1月1日至2022年12月31日</w:t>
      </w:r>
      <w:r>
        <w:rPr>
          <w:rFonts w:hint="eastAsia" w:ascii="仿宋_GB2312" w:hAnsi="宋体" w:eastAsia="仿宋_GB2312" w:cs="宋体"/>
          <w:bCs/>
          <w:color w:val="333333"/>
          <w:sz w:val="32"/>
          <w:szCs w:val="32"/>
          <w:shd w:val="clear" w:color="auto" w:fill="FFFFFF"/>
          <w:lang w:val="en-US" w:eastAsia="zh-CN"/>
        </w:rPr>
        <w:t>。如对本年报有疑问，请与舒城县民政局办公室联系（地址：舒城县经济开发区高峰路社会福利中心二期三楼；电话：</w:t>
      </w:r>
      <w:r>
        <w:rPr>
          <w:rFonts w:hint="default" w:ascii="仿宋_GB2312" w:hAnsi="宋体" w:eastAsia="仿宋_GB2312" w:cs="宋体"/>
          <w:bCs/>
          <w:color w:val="333333"/>
          <w:sz w:val="32"/>
          <w:szCs w:val="32"/>
          <w:shd w:val="clear" w:color="auto" w:fill="FFFFFF"/>
          <w:lang w:val="en-US" w:eastAsia="zh-CN"/>
        </w:rPr>
        <w:t>0564-86</w:t>
      </w:r>
      <w:r>
        <w:rPr>
          <w:rFonts w:hint="eastAsia" w:ascii="仿宋_GB2312" w:hAnsi="宋体" w:eastAsia="仿宋_GB2312" w:cs="宋体"/>
          <w:bCs/>
          <w:color w:val="333333"/>
          <w:sz w:val="32"/>
          <w:szCs w:val="32"/>
          <w:shd w:val="clear" w:color="auto" w:fill="FFFFFF"/>
          <w:lang w:val="en-US" w:eastAsia="zh-CN"/>
        </w:rPr>
        <w:t>21238）。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lang w:val="en-US" w:eastAsia="zh-CN"/>
        </w:rPr>
        <w:t>一、</w:t>
      </w:r>
      <w:r>
        <w:rPr>
          <w:rFonts w:hint="eastAsia" w:ascii="黑体" w:hAnsi="黑体" w:eastAsia="黑体" w:cs="宋体"/>
          <w:bCs/>
          <w:color w:val="333333"/>
          <w:sz w:val="32"/>
          <w:szCs w:val="32"/>
          <w:shd w:val="clear" w:color="auto" w:fill="FFFFFF"/>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2022</w:t>
      </w:r>
      <w:r>
        <w:rPr>
          <w:rFonts w:hint="default" w:ascii="仿宋_GB2312" w:hAnsi="宋体" w:eastAsia="仿宋_GB2312" w:cs="宋体"/>
          <w:bCs/>
          <w:color w:val="333333"/>
          <w:sz w:val="32"/>
          <w:szCs w:val="32"/>
          <w:shd w:val="clear" w:color="auto" w:fill="FFFFFF"/>
          <w:lang w:val="en-US" w:eastAsia="zh-CN"/>
        </w:rPr>
        <w:t>年，我局认真贯彻县委、县政府关于全面推进政务公开的工作部署，加强政府信息管理，着力做好主动公开，规范依申请公开答复，不断健全完善信息公开工作制度机制，及时在政府网站平台上发布更新政务信息、工作动态、政策文件等各类信息，政务公开质量和水平稳步提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主动公开。</w:t>
      </w:r>
    </w:p>
    <w:p>
      <w:pPr>
        <w:ind w:firstLine="640" w:firstLineChars="200"/>
        <w:rPr>
          <w:rFonts w:hint="eastAsia" w:ascii="仿宋_GB2312" w:hAnsi="宋体" w:eastAsia="仿宋_GB2312" w:cs="宋体"/>
          <w:bCs/>
          <w:color w:val="FF0000"/>
          <w:sz w:val="32"/>
          <w:szCs w:val="32"/>
          <w:shd w:val="clear" w:color="auto" w:fill="FFFFFF"/>
          <w:lang w:val="en-US" w:eastAsia="zh-CN"/>
        </w:rPr>
      </w:pPr>
      <w:r>
        <w:rPr>
          <w:rFonts w:hint="default" w:ascii="仿宋_GB2312" w:hAnsi="宋体" w:eastAsia="仿宋_GB2312" w:cs="宋体"/>
          <w:bCs/>
          <w:color w:val="333333"/>
          <w:sz w:val="32"/>
          <w:szCs w:val="32"/>
          <w:shd w:val="clear" w:color="auto" w:fill="FFFFFF"/>
          <w:lang w:val="en-US" w:eastAsia="zh-CN"/>
        </w:rPr>
        <w:t>2022年，通过</w:t>
      </w:r>
      <w:r>
        <w:rPr>
          <w:rFonts w:hint="eastAsia" w:ascii="仿宋_GB2312" w:hAnsi="宋体" w:eastAsia="仿宋_GB2312" w:cs="宋体"/>
          <w:bCs/>
          <w:color w:val="333333"/>
          <w:sz w:val="32"/>
          <w:szCs w:val="32"/>
          <w:shd w:val="clear" w:color="auto" w:fill="FFFFFF"/>
          <w:lang w:val="en-US" w:eastAsia="zh-CN"/>
        </w:rPr>
        <w:t>县</w:t>
      </w:r>
      <w:r>
        <w:rPr>
          <w:rFonts w:hint="default" w:ascii="仿宋_GB2312" w:hAnsi="宋体" w:eastAsia="仿宋_GB2312" w:cs="宋体"/>
          <w:bCs/>
          <w:color w:val="333333"/>
          <w:sz w:val="32"/>
          <w:szCs w:val="32"/>
          <w:shd w:val="clear" w:color="auto" w:fill="FFFFFF"/>
          <w:lang w:val="en-US" w:eastAsia="zh-CN"/>
        </w:rPr>
        <w:t>政府网站发布各类信息</w:t>
      </w:r>
      <w:r>
        <w:rPr>
          <w:rFonts w:hint="eastAsia" w:ascii="仿宋_GB2312" w:hAnsi="宋体" w:eastAsia="仿宋_GB2312" w:cs="宋体"/>
          <w:bCs/>
          <w:color w:val="333333"/>
          <w:sz w:val="32"/>
          <w:szCs w:val="32"/>
          <w:shd w:val="clear" w:color="auto" w:fill="FFFFFF"/>
          <w:lang w:val="en-US" w:eastAsia="zh-CN"/>
        </w:rPr>
        <w:t>7125</w:t>
      </w:r>
      <w:r>
        <w:rPr>
          <w:rFonts w:hint="default" w:ascii="仿宋_GB2312" w:hAnsi="宋体" w:eastAsia="仿宋_GB2312" w:cs="宋体"/>
          <w:bCs/>
          <w:color w:val="333333"/>
          <w:sz w:val="32"/>
          <w:szCs w:val="32"/>
          <w:shd w:val="clear" w:color="auto" w:fill="FFFFFF"/>
          <w:lang w:val="en-US" w:eastAsia="zh-CN"/>
        </w:rPr>
        <w:t>条</w:t>
      </w:r>
      <w:r>
        <w:rPr>
          <w:rFonts w:hint="eastAsia" w:ascii="仿宋_GB2312" w:hAnsi="宋体" w:eastAsia="仿宋_GB2312" w:cs="宋体"/>
          <w:bCs/>
          <w:color w:val="333333"/>
          <w:sz w:val="32"/>
          <w:szCs w:val="32"/>
          <w:shd w:val="clear" w:color="auto" w:fill="FFFFFF"/>
          <w:lang w:val="en-US" w:eastAsia="zh-CN"/>
        </w:rPr>
        <w:t>，</w:t>
      </w:r>
      <w:r>
        <w:rPr>
          <w:rFonts w:hint="default" w:ascii="仿宋_GB2312" w:hAnsi="宋体" w:eastAsia="仿宋_GB2312" w:cs="宋体"/>
          <w:bCs/>
          <w:color w:val="333333"/>
          <w:sz w:val="32"/>
          <w:szCs w:val="32"/>
          <w:shd w:val="clear" w:color="auto" w:fill="FFFFFF"/>
          <w:lang w:val="en-US" w:eastAsia="zh-CN"/>
        </w:rPr>
        <w:t>局门户网站发布各类信息</w:t>
      </w:r>
      <w:r>
        <w:rPr>
          <w:rFonts w:hint="eastAsia" w:ascii="仿宋_GB2312" w:hAnsi="宋体" w:eastAsia="仿宋_GB2312" w:cs="宋体"/>
          <w:bCs/>
          <w:color w:val="333333"/>
          <w:sz w:val="32"/>
          <w:szCs w:val="32"/>
          <w:shd w:val="clear" w:color="auto" w:fill="FFFFFF"/>
          <w:lang w:val="en-US" w:eastAsia="zh-CN"/>
        </w:rPr>
        <w:t>417</w:t>
      </w:r>
      <w:r>
        <w:rPr>
          <w:rFonts w:hint="default" w:ascii="仿宋_GB2312" w:hAnsi="宋体" w:eastAsia="仿宋_GB2312" w:cs="宋体"/>
          <w:bCs/>
          <w:color w:val="333333"/>
          <w:sz w:val="32"/>
          <w:szCs w:val="32"/>
          <w:shd w:val="clear" w:color="auto" w:fill="FFFFFF"/>
          <w:lang w:val="en-US" w:eastAsia="zh-CN"/>
        </w:rPr>
        <w:t>条</w:t>
      </w:r>
      <w:r>
        <w:rPr>
          <w:rFonts w:hint="eastAsia" w:ascii="仿宋_GB2312" w:hAnsi="宋体" w:eastAsia="仿宋_GB2312" w:cs="宋体"/>
          <w:bCs/>
          <w:color w:val="333333"/>
          <w:sz w:val="32"/>
          <w:szCs w:val="32"/>
          <w:shd w:val="clear" w:color="auto" w:fill="FFFFFF"/>
          <w:lang w:val="en-US" w:eastAsia="zh-CN"/>
        </w:rPr>
        <w:t>，</w:t>
      </w:r>
      <w:r>
        <w:rPr>
          <w:rFonts w:hint="default" w:ascii="仿宋_GB2312" w:hAnsi="宋体" w:eastAsia="仿宋_GB2312" w:cs="宋体"/>
          <w:bCs/>
          <w:color w:val="333333"/>
          <w:sz w:val="32"/>
          <w:szCs w:val="32"/>
          <w:shd w:val="clear" w:color="auto" w:fill="FFFFFF"/>
          <w:lang w:val="en-US" w:eastAsia="zh-CN"/>
        </w:rPr>
        <w:t>公开征集意见</w:t>
      </w:r>
      <w:r>
        <w:rPr>
          <w:rFonts w:hint="eastAsia" w:ascii="仿宋_GB2312" w:hAnsi="宋体" w:eastAsia="仿宋_GB2312" w:cs="宋体"/>
          <w:bCs/>
          <w:color w:val="333333"/>
          <w:sz w:val="32"/>
          <w:szCs w:val="32"/>
          <w:shd w:val="clear" w:color="auto" w:fill="FFFFFF"/>
          <w:lang w:val="en-US" w:eastAsia="zh-CN"/>
        </w:rPr>
        <w:t>3</w:t>
      </w:r>
      <w:r>
        <w:rPr>
          <w:rFonts w:hint="default" w:ascii="仿宋_GB2312" w:hAnsi="宋体" w:eastAsia="仿宋_GB2312" w:cs="宋体"/>
          <w:bCs/>
          <w:color w:val="333333"/>
          <w:sz w:val="32"/>
          <w:szCs w:val="32"/>
          <w:shd w:val="clear" w:color="auto" w:fill="FFFFFF"/>
          <w:lang w:val="en-US" w:eastAsia="zh-CN"/>
        </w:rPr>
        <w:t>次</w:t>
      </w:r>
      <w:r>
        <w:rPr>
          <w:rFonts w:hint="eastAsia" w:ascii="仿宋_GB2312" w:hAnsi="宋体" w:eastAsia="仿宋_GB2312" w:cs="宋体"/>
          <w:bCs/>
          <w:color w:val="333333"/>
          <w:sz w:val="32"/>
          <w:szCs w:val="32"/>
          <w:shd w:val="clear" w:color="auto" w:fill="FFFFFF"/>
          <w:lang w:val="en-US" w:eastAsia="zh-CN"/>
        </w:rPr>
        <w:t>。</w:t>
      </w:r>
      <w:r>
        <w:rPr>
          <w:rFonts w:hint="eastAsia" w:ascii="仿宋_GB2312" w:eastAsia="仿宋_GB2312"/>
          <w:color w:val="333333"/>
          <w:sz w:val="32"/>
          <w:szCs w:val="32"/>
        </w:rPr>
        <w:t>依托县政府办签发了关于低保、五保、临救的规范性文件，并及时配合做好政策解读。在两化模块，积极全面公开</w:t>
      </w:r>
      <w:r>
        <w:rPr>
          <w:rFonts w:hint="eastAsia" w:ascii="仿宋_GB2312" w:eastAsia="仿宋_GB2312"/>
          <w:color w:val="333333"/>
          <w:sz w:val="32"/>
          <w:szCs w:val="32"/>
          <w:lang w:val="en-US" w:eastAsia="zh-CN"/>
        </w:rPr>
        <w:t>社会救助</w:t>
      </w:r>
      <w:r>
        <w:rPr>
          <w:rFonts w:hint="eastAsia" w:ascii="仿宋_GB2312" w:eastAsia="仿宋_GB2312"/>
          <w:color w:val="333333"/>
          <w:sz w:val="32"/>
          <w:szCs w:val="32"/>
        </w:rPr>
        <w:t>、残疾人补贴、养老服务的政策及救助流程，按月公开受助人次数、资金支出人均救助水平</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其中社会救助598条，养老232条，残疾人服务287条</w:t>
      </w:r>
      <w:r>
        <w:rPr>
          <w:rFonts w:hint="eastAsia" w:ascii="仿宋_GB2312" w:eastAsia="仿宋_GB2312"/>
          <w:color w:val="333333"/>
          <w:sz w:val="32"/>
          <w:szCs w:val="32"/>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20" w:firstLineChars="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依申请公开。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宋体" w:hAnsi="宋体" w:eastAsia="宋体" w:cs="宋体"/>
          <w:i w:val="0"/>
          <w:iCs w:val="0"/>
          <w:caps w:val="0"/>
          <w:color w:val="FF0000"/>
          <w:spacing w:val="0"/>
          <w:sz w:val="32"/>
          <w:szCs w:val="32"/>
          <w:shd w:val="clear" w:fill="FFFFFF"/>
          <w:lang w:val="en-US" w:eastAsia="zh-CN"/>
        </w:rPr>
      </w:pPr>
      <w:r>
        <w:rPr>
          <w:rFonts w:hint="eastAsia" w:ascii="仿宋_GB2312" w:hAnsi="宋体" w:eastAsia="仿宋_GB2312" w:cs="宋体"/>
          <w:bCs/>
          <w:color w:val="333333"/>
          <w:sz w:val="32"/>
          <w:szCs w:val="32"/>
          <w:shd w:val="clear" w:color="auto" w:fill="FFFFFF"/>
          <w:lang w:val="en-US" w:eastAsia="zh-CN"/>
        </w:rPr>
        <w:t>严格按规定落实依申请公开工作，建立健全我办依申请公开登记、传阅、办理、答复、寄送、归档的工作流程，做到不超时、有回复、合规范。2022年未收到依申请公开事项，</w:t>
      </w:r>
      <w:r>
        <w:rPr>
          <w:rFonts w:hint="eastAsia" w:ascii="仿宋_GB2312" w:eastAsia="仿宋_GB2312"/>
          <w:color w:val="333333"/>
          <w:sz w:val="32"/>
          <w:szCs w:val="32"/>
        </w:rPr>
        <w:t>未发生因为政府信息公开工作被申请行政复议或提起行政诉讼</w:t>
      </w:r>
      <w:r>
        <w:rPr>
          <w:rFonts w:hint="eastAsia" w:ascii="仿宋_GB2312" w:hAnsi="宋体" w:eastAsia="仿宋_GB2312" w:cs="宋体"/>
          <w:bCs/>
          <w:color w:val="333333"/>
          <w:sz w:val="32"/>
          <w:szCs w:val="32"/>
          <w:shd w:val="clear" w:color="auto" w:fill="FFFFFF"/>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20" w:firstLineChars="0"/>
        <w:jc w:val="both"/>
        <w:rPr>
          <w:rFonts w:hint="default"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政府信息管理。</w:t>
      </w:r>
    </w:p>
    <w:p>
      <w:pPr>
        <w:pStyle w:val="2"/>
        <w:widowControl/>
        <w:shd w:val="clear" w:color="auto" w:fill="FFFFFF"/>
        <w:spacing w:beforeAutospacing="0" w:afterAutospacing="0"/>
        <w:ind w:firstLine="640" w:firstLineChars="200"/>
        <w:jc w:val="both"/>
        <w:rPr>
          <w:rFonts w:hint="default"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根据《六安市政务公开办公室关于做好行政规范性文件集中公开工作的通知》调整要求，对代政府、代政府办发文的规范性文件公开格式进行调整。建立门户网站信息发布台账，认真落实“三审三校”制度，对通过局门户网站、县政府网站等进行公开的政府信息进行严格审核把关，严格执行政府信息公开的审查、发布要求，坚持严格管理、严格审核、严格发布的原则，确保信息内容规范、表述准确。及时根据监测平台反馈的问题对网站发布信息中的错别字进行修改，提升网站信息管理的精细化水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420" w:firstLineChars="0"/>
        <w:jc w:val="both"/>
        <w:rPr>
          <w:rFonts w:hint="eastAsia" w:ascii="宋体" w:hAnsi="宋体" w:eastAsia="宋体" w:cs="宋体"/>
          <w:i w:val="0"/>
          <w:iCs w:val="0"/>
          <w:caps w:val="0"/>
          <w:color w:val="333333"/>
          <w:spacing w:val="0"/>
          <w:sz w:val="32"/>
          <w:szCs w:val="32"/>
          <w:shd w:val="clear" w:fill="FFFFFF"/>
          <w:lang w:val="en-US" w:eastAsia="zh-CN"/>
        </w:rPr>
      </w:pPr>
      <w:bookmarkStart w:id="0" w:name="_GoBack"/>
      <w:bookmarkEnd w:id="0"/>
      <w:r>
        <w:rPr>
          <w:rFonts w:hint="eastAsia" w:ascii="宋体" w:hAnsi="宋体" w:eastAsia="宋体" w:cs="宋体"/>
          <w:i w:val="0"/>
          <w:iCs w:val="0"/>
          <w:caps w:val="0"/>
          <w:color w:val="333333"/>
          <w:spacing w:val="0"/>
          <w:sz w:val="32"/>
          <w:szCs w:val="32"/>
          <w:shd w:val="clear" w:fill="FFFFFF"/>
          <w:lang w:val="en-US" w:eastAsia="zh-CN"/>
        </w:rPr>
        <w:t>政府信息公开平台建设。</w:t>
      </w:r>
    </w:p>
    <w:p>
      <w:pPr>
        <w:pStyle w:val="2"/>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按照应公开尽公开的原则，对新制发的行政规范性文件、公示公告信息、预算决算信息、人事信息、社会救助信息、规划信息等及时进行公开，提升公开的全面性，增强社会公众对民政工作的知晓度。</w:t>
      </w:r>
    </w:p>
    <w:p>
      <w:pPr>
        <w:pStyle w:val="2"/>
        <w:widowControl/>
        <w:numPr>
          <w:ilvl w:val="0"/>
          <w:numId w:val="1"/>
        </w:numPr>
        <w:shd w:val="clear" w:color="auto" w:fill="FFFFFF"/>
        <w:spacing w:beforeAutospacing="0" w:afterAutospacing="0"/>
        <w:ind w:left="0" w:leftChars="0" w:firstLine="420" w:firstLineChars="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监督保障。</w:t>
      </w:r>
    </w:p>
    <w:p>
      <w:pPr>
        <w:ind w:firstLine="640" w:firstLineChars="200"/>
        <w:rPr>
          <w:rFonts w:hint="eastAsia" w:ascii="仿宋_GB2312" w:hAnsi="宋体" w:eastAsia="仿宋_GB2312" w:cs="宋体"/>
          <w:bCs/>
          <w:color w:val="FF0000"/>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全年共进行网站安全检测评估10次，未发现网络安全隐患和安全问题。</w:t>
      </w:r>
      <w:r>
        <w:rPr>
          <w:rFonts w:hint="eastAsia" w:ascii="仿宋_GB2312" w:eastAsia="仿宋_GB2312"/>
          <w:color w:val="333333"/>
          <w:sz w:val="32"/>
          <w:szCs w:val="32"/>
        </w:rPr>
        <w:t>定期对门户网站公开的信息进行检查，及时纠正公开信息中的错误，并积极配合县级测评和市级测评的结果做好整改工作。在政府信息公开过程中，加强统筹协调、规范公开流程、严格</w:t>
      </w:r>
      <w:r>
        <w:rPr>
          <w:rFonts w:hint="eastAsia" w:ascii="仿宋_GB2312" w:eastAsia="仿宋_GB2312"/>
          <w:color w:val="333333"/>
          <w:sz w:val="32"/>
          <w:szCs w:val="32"/>
          <w:lang w:val="en-US" w:eastAsia="zh-CN"/>
        </w:rPr>
        <w:t>工作</w:t>
      </w:r>
      <w:r>
        <w:rPr>
          <w:rFonts w:hint="eastAsia" w:ascii="仿宋_GB2312" w:eastAsia="仿宋_GB2312"/>
          <w:color w:val="333333"/>
          <w:sz w:val="32"/>
          <w:szCs w:val="32"/>
        </w:rPr>
        <w:t>考核、落实保密规定。积极组织人员参加各类政府信息公开培训活动，提升政务公开工作水平。202</w:t>
      </w:r>
      <w:r>
        <w:rPr>
          <w:rFonts w:hint="eastAsia" w:ascii="仿宋_GB2312" w:eastAsia="仿宋_GB2312"/>
          <w:color w:val="333333"/>
          <w:sz w:val="32"/>
          <w:szCs w:val="32"/>
          <w:lang w:val="en-US" w:eastAsia="zh-CN"/>
        </w:rPr>
        <w:t>2</w:t>
      </w:r>
      <w:r>
        <w:rPr>
          <w:rFonts w:hint="eastAsia" w:ascii="仿宋_GB2312" w:eastAsia="仿宋_GB2312"/>
          <w:color w:val="333333"/>
          <w:sz w:val="32"/>
          <w:szCs w:val="32"/>
        </w:rPr>
        <w:t>年舒城县民政局暂无造成社会评议和责任追究的结果情况。</w:t>
      </w:r>
    </w:p>
    <w:p>
      <w:pPr>
        <w:pStyle w:val="2"/>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default" w:eastAsiaTheme="minorEastAsia"/>
                <w:lang w:val="en-US" w:eastAsia="zh-CN"/>
              </w:rPr>
            </w:pPr>
            <w:r>
              <w:rPr>
                <w:rFonts w:hint="eastAsia"/>
                <w:lang w:val="en-US" w:eastAsia="zh-CN"/>
              </w:rPr>
              <w:t>227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ascii="宋体"/>
                <w:sz w:val="24"/>
              </w:rPr>
            </w:pPr>
            <w:r>
              <w:rPr>
                <w:rFonts w:hint="eastAsia"/>
                <w:lang w:val="en-US" w:eastAsia="zh-CN"/>
              </w:rPr>
              <w:t>0</w:t>
            </w:r>
          </w:p>
        </w:tc>
      </w:tr>
    </w:tbl>
    <w:p>
      <w:pPr>
        <w:widowControl/>
        <w:jc w:val="left"/>
      </w:pPr>
    </w:p>
    <w:p>
      <w:pPr>
        <w:pStyle w:val="2"/>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jc w:val="center"/>
              <w:rPr>
                <w:rFonts w:ascii="宋体"/>
                <w:sz w:val="24"/>
              </w:rPr>
            </w:pPr>
            <w:r>
              <w:rPr>
                <w:rFonts w:hint="eastAsia"/>
                <w:lang w:val="en-US" w:eastAsia="zh-CN"/>
              </w:rPr>
              <w:t>0</w:t>
            </w:r>
          </w:p>
        </w:tc>
      </w:tr>
    </w:tbl>
    <w:p>
      <w:pPr>
        <w:widowControl/>
        <w:shd w:val="clear" w:color="auto" w:fill="FFFFFF"/>
        <w:rPr>
          <w:rFonts w:ascii="宋体" w:hAnsi="宋体" w:eastAsia="宋体" w:cs="宋体"/>
          <w:color w:val="333333"/>
          <w:sz w:val="16"/>
          <w:szCs w:val="16"/>
        </w:rPr>
      </w:pPr>
    </w:p>
    <w:p>
      <w:pPr>
        <w:pStyle w:val="2"/>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lang w:val="en-US" w:eastAsia="zh-CN"/>
              </w:rPr>
            </w:pPr>
            <w:r>
              <w:rPr>
                <w:rFonts w:hint="eastAsia" w:ascii="宋体"/>
                <w:sz w:val="24"/>
                <w:lang w:val="en-US" w:eastAsia="zh-CN"/>
              </w:rPr>
              <w:t>0</w:t>
            </w:r>
          </w:p>
        </w:tc>
      </w:tr>
    </w:tbl>
    <w:p>
      <w:pPr>
        <w:widowControl/>
        <w:jc w:val="left"/>
      </w:pPr>
    </w:p>
    <w:p>
      <w:pPr>
        <w:pStyle w:val="2"/>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五、存在的主要问题及改进情况</w:t>
      </w:r>
    </w:p>
    <w:p>
      <w:pPr>
        <w:pStyle w:val="2"/>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rPr>
      </w:pPr>
      <w:r>
        <w:rPr>
          <w:rFonts w:hint="eastAsia" w:ascii="仿宋_GB2312" w:hAnsi="宋体" w:eastAsia="仿宋_GB2312" w:cs="宋体"/>
          <w:bCs/>
          <w:color w:val="333333"/>
          <w:sz w:val="32"/>
          <w:szCs w:val="32"/>
          <w:shd w:val="clear" w:color="auto" w:fill="FFFFFF"/>
        </w:rPr>
        <w:t>2022年，信息公开工作取得一定成效，但仍存在问题和不足：一是政府信息管理水平还需加强；二是政务公开工作责任意识和业务水平还需强化。</w:t>
      </w:r>
    </w:p>
    <w:p>
      <w:pPr>
        <w:pStyle w:val="2"/>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lang w:eastAsia="zh-CN"/>
        </w:rPr>
      </w:pPr>
      <w:r>
        <w:rPr>
          <w:rFonts w:hint="default" w:ascii="仿宋_GB2312" w:hAnsi="宋体" w:eastAsia="仿宋_GB2312" w:cs="宋体"/>
          <w:bCs/>
          <w:color w:val="333333"/>
          <w:sz w:val="32"/>
          <w:szCs w:val="32"/>
          <w:shd w:val="clear" w:color="auto" w:fill="FFFFFF"/>
        </w:rPr>
        <w:t>2023年，将采取以下措施加以改进：一是优化“</w:t>
      </w:r>
      <w:r>
        <w:rPr>
          <w:rFonts w:hint="eastAsia" w:ascii="仿宋_GB2312" w:hAnsi="宋体" w:eastAsia="仿宋_GB2312" w:cs="宋体"/>
          <w:bCs/>
          <w:color w:val="333333"/>
          <w:sz w:val="32"/>
          <w:szCs w:val="32"/>
          <w:shd w:val="clear" w:color="auto" w:fill="FFFFFF"/>
          <w:lang w:val="en-US" w:eastAsia="zh-CN"/>
        </w:rPr>
        <w:t>社会救助</w:t>
      </w:r>
      <w:r>
        <w:rPr>
          <w:rFonts w:hint="default" w:ascii="仿宋_GB2312" w:hAnsi="宋体" w:eastAsia="仿宋_GB2312" w:cs="宋体"/>
          <w:bCs/>
          <w:color w:val="333333"/>
          <w:sz w:val="32"/>
          <w:szCs w:val="32"/>
          <w:shd w:val="clear" w:color="auto" w:fill="FFFFFF"/>
        </w:rPr>
        <w:t>”“</w:t>
      </w:r>
      <w:r>
        <w:rPr>
          <w:rFonts w:hint="eastAsia" w:ascii="仿宋_GB2312" w:hAnsi="宋体" w:eastAsia="仿宋_GB2312" w:cs="宋体"/>
          <w:bCs/>
          <w:color w:val="333333"/>
          <w:sz w:val="32"/>
          <w:szCs w:val="32"/>
          <w:shd w:val="clear" w:color="auto" w:fill="FFFFFF"/>
          <w:lang w:val="en-US" w:eastAsia="zh-CN"/>
        </w:rPr>
        <w:t>养老服务</w:t>
      </w:r>
      <w:r>
        <w:rPr>
          <w:rFonts w:hint="default" w:ascii="仿宋_GB2312" w:hAnsi="宋体" w:eastAsia="仿宋_GB2312" w:cs="宋体"/>
          <w:bCs/>
          <w:color w:val="333333"/>
          <w:sz w:val="32"/>
          <w:szCs w:val="32"/>
          <w:shd w:val="clear" w:color="auto" w:fill="FFFFFF"/>
        </w:rPr>
        <w:t>”等</w:t>
      </w:r>
      <w:r>
        <w:rPr>
          <w:rFonts w:hint="eastAsia" w:ascii="仿宋_GB2312" w:hAnsi="宋体" w:eastAsia="仿宋_GB2312" w:cs="宋体"/>
          <w:bCs/>
          <w:color w:val="333333"/>
          <w:sz w:val="32"/>
          <w:szCs w:val="32"/>
          <w:shd w:val="clear" w:color="auto" w:fill="FFFFFF"/>
          <w:lang w:val="en-US" w:eastAsia="zh-CN"/>
        </w:rPr>
        <w:t>模块</w:t>
      </w:r>
      <w:r>
        <w:rPr>
          <w:rFonts w:hint="default" w:ascii="仿宋_GB2312" w:hAnsi="宋体" w:eastAsia="仿宋_GB2312" w:cs="宋体"/>
          <w:bCs/>
          <w:color w:val="333333"/>
          <w:sz w:val="32"/>
          <w:szCs w:val="32"/>
          <w:shd w:val="clear" w:color="auto" w:fill="FFFFFF"/>
        </w:rPr>
        <w:t>信息。</w:t>
      </w:r>
      <w:r>
        <w:rPr>
          <w:rFonts w:hint="eastAsia" w:ascii="仿宋_GB2312" w:hAnsi="宋体" w:eastAsia="仿宋_GB2312" w:cs="宋体"/>
          <w:bCs/>
          <w:color w:val="333333"/>
          <w:sz w:val="32"/>
          <w:szCs w:val="32"/>
          <w:shd w:val="clear" w:color="auto" w:fill="FFFFFF"/>
          <w:lang w:val="en-US" w:eastAsia="zh-CN"/>
        </w:rPr>
        <w:t>加强</w:t>
      </w:r>
      <w:r>
        <w:rPr>
          <w:rFonts w:hint="default" w:ascii="仿宋_GB2312" w:hAnsi="宋体" w:eastAsia="仿宋_GB2312" w:cs="宋体"/>
          <w:bCs/>
          <w:color w:val="333333"/>
          <w:sz w:val="32"/>
          <w:szCs w:val="32"/>
          <w:shd w:val="clear" w:color="auto" w:fill="FFFFFF"/>
        </w:rPr>
        <w:t>政府门户网站</w:t>
      </w:r>
      <w:r>
        <w:rPr>
          <w:rFonts w:hint="eastAsia" w:ascii="仿宋_GB2312" w:hAnsi="宋体" w:eastAsia="仿宋_GB2312" w:cs="宋体"/>
          <w:bCs/>
          <w:color w:val="333333"/>
          <w:sz w:val="32"/>
          <w:szCs w:val="32"/>
          <w:shd w:val="clear" w:color="auto" w:fill="FFFFFF"/>
          <w:lang w:val="en-US" w:eastAsia="zh-CN"/>
        </w:rPr>
        <w:t>信息</w:t>
      </w:r>
      <w:r>
        <w:rPr>
          <w:rFonts w:hint="default" w:ascii="仿宋_GB2312" w:hAnsi="宋体" w:eastAsia="仿宋_GB2312" w:cs="宋体"/>
          <w:bCs/>
          <w:color w:val="333333"/>
          <w:sz w:val="32"/>
          <w:szCs w:val="32"/>
          <w:shd w:val="clear" w:color="auto" w:fill="FFFFFF"/>
        </w:rPr>
        <w:t>适老化</w:t>
      </w:r>
      <w:r>
        <w:rPr>
          <w:rFonts w:hint="eastAsia" w:ascii="仿宋_GB2312" w:hAnsi="宋体" w:eastAsia="仿宋_GB2312" w:cs="宋体"/>
          <w:bCs/>
          <w:color w:val="333333"/>
          <w:sz w:val="32"/>
          <w:szCs w:val="32"/>
          <w:shd w:val="clear" w:color="auto" w:fill="FFFFFF"/>
          <w:lang w:eastAsia="zh-CN"/>
        </w:rPr>
        <w:t>，</w:t>
      </w:r>
      <w:r>
        <w:rPr>
          <w:rFonts w:hint="eastAsia" w:ascii="仿宋_GB2312" w:hAnsi="宋体" w:eastAsia="仿宋_GB2312" w:cs="宋体"/>
          <w:bCs/>
          <w:color w:val="333333"/>
          <w:sz w:val="32"/>
          <w:szCs w:val="32"/>
          <w:shd w:val="clear" w:color="auto" w:fill="FFFFFF"/>
          <w:lang w:val="en-US" w:eastAsia="zh-CN"/>
        </w:rPr>
        <w:t>简明易懂</w:t>
      </w:r>
      <w:r>
        <w:rPr>
          <w:rFonts w:hint="default" w:ascii="仿宋_GB2312" w:hAnsi="宋体" w:eastAsia="仿宋_GB2312" w:cs="宋体"/>
          <w:bCs/>
          <w:color w:val="333333"/>
          <w:sz w:val="32"/>
          <w:szCs w:val="32"/>
          <w:shd w:val="clear" w:color="auto" w:fill="FFFFFF"/>
        </w:rPr>
        <w:t>。二是通过集中培训、点对点指导等方式，加强政务公开培训，加大先进工作经验推广交流力度。</w:t>
      </w:r>
    </w:p>
    <w:p>
      <w:pPr>
        <w:pStyle w:val="2"/>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六、其他需要报告的事项</w:t>
      </w:r>
    </w:p>
    <w:p>
      <w:pPr>
        <w:pStyle w:val="2"/>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rPr>
      </w:pPr>
      <w:r>
        <w:rPr>
          <w:rFonts w:hint="eastAsia" w:ascii="仿宋_GB2312" w:hAnsi="宋体" w:eastAsia="仿宋_GB2312" w:cs="宋体"/>
          <w:bCs/>
          <w:color w:val="333333"/>
          <w:sz w:val="32"/>
          <w:szCs w:val="32"/>
          <w:shd w:val="clear" w:color="auto" w:fill="FFFFFF"/>
        </w:rPr>
        <w:t>按照《国务院办公厅关于印发〈政府信息公开信息处理费管理办法〉的通知》（国办函〔2020〕109号）规定的按件、按量收费标准，本年度没有产生信息公开处理费。</w:t>
      </w:r>
    </w:p>
    <w:p>
      <w:pPr>
        <w:pStyle w:val="2"/>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rPr>
      </w:pPr>
    </w:p>
    <w:p>
      <w:pPr>
        <w:pStyle w:val="2"/>
        <w:widowControl/>
        <w:shd w:val="clear" w:color="auto" w:fill="FFFFFF"/>
        <w:spacing w:beforeAutospacing="0" w:afterAutospacing="0"/>
        <w:ind w:firstLine="640" w:firstLineChars="200"/>
        <w:jc w:val="right"/>
        <w:rPr>
          <w:rFonts w:hint="eastAsia"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舒城县民政局</w:t>
      </w:r>
    </w:p>
    <w:p>
      <w:pPr>
        <w:pStyle w:val="2"/>
        <w:widowControl/>
        <w:shd w:val="clear" w:color="auto" w:fill="FFFFFF"/>
        <w:spacing w:beforeAutospacing="0" w:afterAutospacing="0"/>
        <w:ind w:firstLine="640" w:firstLineChars="200"/>
        <w:jc w:val="right"/>
        <w:rPr>
          <w:rFonts w:hint="default"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lang w:val="en-US" w:eastAsia="zh-CN"/>
        </w:rPr>
        <w:t>2023年1月16日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0ED77"/>
    <w:multiLevelType w:val="singleLevel"/>
    <w:tmpl w:val="9ED0ED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YmYyZTRhYTRiYzhhNTk2NGRkZDQzOWRjNTMyNmUifQ=="/>
    <w:docVar w:name="KSO_WPS_MARK_KEY" w:val="feb5ce5b-7506-4aac-becf-1de907d99db6"/>
  </w:docVars>
  <w:rsids>
    <w:rsidRoot w:val="00000000"/>
    <w:rsid w:val="03571F30"/>
    <w:rsid w:val="0D9A50E8"/>
    <w:rsid w:val="11C52008"/>
    <w:rsid w:val="14B6257B"/>
    <w:rsid w:val="14CA051D"/>
    <w:rsid w:val="17EC02EE"/>
    <w:rsid w:val="1B5126FE"/>
    <w:rsid w:val="22A55C69"/>
    <w:rsid w:val="25311A36"/>
    <w:rsid w:val="2D147C0E"/>
    <w:rsid w:val="318850D4"/>
    <w:rsid w:val="37C11E6D"/>
    <w:rsid w:val="4A3E412A"/>
    <w:rsid w:val="52495D62"/>
    <w:rsid w:val="57E04CC1"/>
    <w:rsid w:val="5A642AFE"/>
    <w:rsid w:val="67184229"/>
    <w:rsid w:val="68D45FF8"/>
    <w:rsid w:val="6D840D7D"/>
    <w:rsid w:val="6F0F40A1"/>
    <w:rsid w:val="72E43211"/>
    <w:rsid w:val="7B2F7570"/>
    <w:rsid w:val="7B60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2336</Words>
  <Characters>2427</Characters>
  <Lines>0</Lines>
  <Paragraphs>0</Paragraphs>
  <TotalTime>60</TotalTime>
  <ScaleCrop>false</ScaleCrop>
  <LinksUpToDate>false</LinksUpToDate>
  <CharactersWithSpaces>2427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2023-01-11T01:49:00Z</dcterms:created>
  <dc:creator>Lenovo</dc:creator>
  <cp:lastModifiedBy>岁月可暖</cp:lastModifiedBy>
  <dcterms:modified xsi:type="dcterms:W3CDTF">2023-01-16T02:16:14Z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C589824A5A614F1FA50F73978B0120CD</vt:lpwstr>
  </property>
</Properties>
</file>