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舒城县教育局2019年政府信息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公开工作年度报告</w:t>
      </w:r>
    </w:p>
    <w:p>
      <w:pPr>
        <w:spacing w:line="560" w:lineRule="exact"/>
        <w:ind w:firstLine="632" w:firstLineChars="200"/>
        <w:rPr>
          <w:rFonts w:hint="default" w:ascii="Times New Roman" w:hAnsi="Times New Roman" w:cs="Times New Roman"/>
        </w:rPr>
      </w:pPr>
    </w:p>
    <w:p>
      <w:pPr>
        <w:spacing w:line="560" w:lineRule="exact"/>
        <w:ind w:firstLine="632" w:firstLineChars="200"/>
        <w:rPr>
          <w:rFonts w:hint="default" w:ascii="Times New Roman" w:hAnsi="Times New Roman" w:cs="Times New Roman"/>
          <w:kern w:val="0"/>
        </w:rPr>
      </w:pPr>
      <w:r>
        <w:rPr>
          <w:rFonts w:hint="default" w:ascii="Times New Roman" w:hAnsi="Times New Roman" w:cs="Times New Roman"/>
        </w:rPr>
        <w:t>根据新修订《中华人民共和国政府信息公开条例》，结合上级有关文件精神等要求，编制2019年度舒城县教育局政府信息公开工作年度报告。全文包括总体情况、主动公开政府信息情况、收到和处理政府信息公开申请情况、作被申请行政复议、提起行政诉讼情况、存在的主要问题和改进情况和其他需要报告的事项。本年度报告中使用数据统计期限为2019年1月1日至2019年12月31日。如对本报告有任何疑问，请与舒城县教育局联系（地址：大黉水巷2号；邮编：231300；联系电话：0564-8621209）。</w:t>
      </w:r>
    </w:p>
    <w:p>
      <w:pPr>
        <w:spacing w:line="560" w:lineRule="exact"/>
        <w:ind w:firstLine="632" w:firstLineChars="20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一、总体情况</w:t>
      </w:r>
    </w:p>
    <w:p>
      <w:pPr>
        <w:spacing w:line="560" w:lineRule="exact"/>
        <w:ind w:firstLine="632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2019年，在县委县政府的正确领导下，在县政府政务公开办的具体指导下，舒城县教育局深入贯彻落实修订后的《中华人民共和国政府信息公开条例》，加强民主监督，大力推进依法行政、优质行政、廉洁行政，深化政务公开工作落实，不断提升工作透明度。</w:t>
      </w:r>
    </w:p>
    <w:p>
      <w:pPr>
        <w:spacing w:line="560" w:lineRule="exact"/>
        <w:ind w:firstLine="632" w:firstLineChars="20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楷体_GB2312" w:cs="Times New Roman"/>
        </w:rPr>
        <w:t>（一）主动公开。</w:t>
      </w:r>
      <w:r>
        <w:rPr>
          <w:rFonts w:hint="default" w:ascii="Times New Roman" w:hAnsi="Times New Roman" w:cs="Times New Roman"/>
        </w:rPr>
        <w:t>我局积极落实政府信息公开工作要求，推进电子政务建设和网上政务公开，依托舒城县政府信息公开网平台，围绕工作动态、领导分工、公告通告、规章制度等涉及群众切实利益和社会需要广泛知晓的内容，做到应公开、尽公开。2019年共发布政务动态信息更新684条，推送县政府网站平台信息103条，信息公开目录信息更新 28条，政策解读材料1篇。</w:t>
      </w:r>
    </w:p>
    <w:p>
      <w:pPr>
        <w:spacing w:line="560" w:lineRule="exact"/>
        <w:ind w:firstLine="632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</w:rPr>
        <w:t>（二）依申请公开。</w:t>
      </w:r>
      <w:r>
        <w:rPr>
          <w:rFonts w:hint="default" w:ascii="Times New Roman" w:hAnsi="Times New Roman" w:cs="Times New Roman"/>
        </w:rPr>
        <w:t>我局认真贯彻落实《国务院办公厅关于做好政府信息依申请公开工作的意见》，深入研究并妥善处理新情况、新问题，注意加强与申请人的主动沟通，做到依法有据、严谨规范、慎重稳妥。积极做好信息公开的各项工作，严格执行政府工作信息依申请公开标准，继续在信息公开网上开通了“依申请公开”栏目。2019年我局收到依申请公开申请事项1件，在规定时限内向申请人回复不予公开1件。</w:t>
      </w:r>
    </w:p>
    <w:p>
      <w:pPr>
        <w:spacing w:line="560" w:lineRule="exact"/>
        <w:ind w:firstLine="632" w:firstLineChars="200"/>
        <w:rPr>
          <w:rFonts w:hint="default" w:ascii="Times New Roman" w:hAnsi="Times New Roman" w:cs="Times New Roman"/>
          <w:color w:val="FF0000"/>
        </w:rPr>
      </w:pPr>
      <w:r>
        <w:rPr>
          <w:rFonts w:hint="default" w:ascii="Times New Roman" w:hAnsi="Times New Roman" w:eastAsia="楷体_GB2312" w:cs="Times New Roman"/>
        </w:rPr>
        <w:t>（三）政府信息管理。</w:t>
      </w:r>
      <w:r>
        <w:rPr>
          <w:rFonts w:hint="default" w:ascii="Times New Roman" w:hAnsi="Times New Roman" w:cs="Times New Roman"/>
          <w:b/>
        </w:rPr>
        <w:t>一是加强组织领导。</w:t>
      </w:r>
      <w:r>
        <w:rPr>
          <w:rFonts w:hint="default" w:ascii="Times New Roman" w:hAnsi="Times New Roman" w:cs="Times New Roman"/>
        </w:rPr>
        <w:t>建立了局主要领导亲自抓、分管领导具体抓、具体工作专人干的工作机制。2019</w:t>
      </w:r>
      <w:r>
        <w:rPr>
          <w:rFonts w:hint="default" w:ascii="Times New Roman" w:hAnsi="Times New Roman" w:cs="Times New Roman"/>
          <w:kern w:val="0"/>
        </w:rPr>
        <w:t>年度，我局根据人员变化，重新调整政务公开经办人员，进一步细化分工，明确职责，抓好落实。</w:t>
      </w:r>
      <w:r>
        <w:rPr>
          <w:rFonts w:hint="default" w:ascii="Times New Roman" w:hAnsi="Times New Roman" w:cs="Times New Roman"/>
          <w:b/>
        </w:rPr>
        <w:t>二是完善工作机制</w:t>
      </w:r>
      <w:r>
        <w:rPr>
          <w:rFonts w:hint="default" w:ascii="Times New Roman" w:hAnsi="Times New Roman" w:cs="Times New Roman"/>
        </w:rPr>
        <w:t>。围绕政府信息公开的范围、内容、形式等，建立健全信息公开审核、保密安全制度，要求遵循“谁公开、谁负责”和“先审查、后公开”的原则，对拟公开的信息均应进行逐级审核，确保内容准确、表述规范，可公开，做到全程留痕、有据可查。</w:t>
      </w:r>
      <w:r>
        <w:rPr>
          <w:rFonts w:hint="default" w:ascii="Times New Roman" w:hAnsi="Times New Roman" w:cs="Times New Roman"/>
          <w:b/>
          <w:kern w:val="0"/>
        </w:rPr>
        <w:t>三是规范信息公开管理。</w:t>
      </w:r>
      <w:r>
        <w:rPr>
          <w:rFonts w:hint="default" w:ascii="Times New Roman" w:hAnsi="Times New Roman" w:cs="Times New Roman"/>
          <w:kern w:val="0"/>
        </w:rPr>
        <w:t>将教育局行政权力目录及其运行流程图在政府信息网上公开的同时，将各股室工作职责、服务承诺、办事流程、办理时限等内容也一并在政府信息网上公开，方便群众办事查阅。</w:t>
      </w:r>
    </w:p>
    <w:p>
      <w:pPr>
        <w:spacing w:line="560" w:lineRule="exact"/>
        <w:ind w:firstLine="632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</w:rPr>
        <w:t>（四）平台建设方面。</w:t>
      </w:r>
      <w:r>
        <w:rPr>
          <w:rFonts w:hint="default" w:ascii="Times New Roman" w:hAnsi="Times New Roman" w:cs="Times New Roman"/>
          <w:b/>
        </w:rPr>
        <w:t>一是定期安排网站平台的维护、更新，配合做好上级安全评估和审查。</w:t>
      </w:r>
      <w:r>
        <w:rPr>
          <w:rFonts w:hint="default" w:ascii="Times New Roman" w:hAnsi="Times New Roman" w:cs="Times New Roman"/>
          <w:kern w:val="0"/>
        </w:rPr>
        <w:t>每季度对政务公开的情况进行检查，汇总编制统计表，同时根据不同时期的工作重点，更新公开内容。先后</w:t>
      </w:r>
      <w:r>
        <w:rPr>
          <w:rFonts w:hint="default" w:ascii="Times New Roman" w:hAnsi="Times New Roman" w:cs="Times New Roman"/>
        </w:rPr>
        <w:t>接受省、市、县或第三方各类检测抽测5次，并按要求完成了整改和调整补充完善。</w:t>
      </w:r>
      <w:r>
        <w:rPr>
          <w:rFonts w:hint="default" w:ascii="Times New Roman" w:hAnsi="Times New Roman" w:cs="Times New Roman"/>
          <w:b/>
        </w:rPr>
        <w:t>二是及时调整政务公开目录。</w:t>
      </w:r>
      <w:r>
        <w:rPr>
          <w:rFonts w:hint="default" w:ascii="Times New Roman" w:hAnsi="Times New Roman" w:cs="Times New Roman"/>
        </w:rPr>
        <w:t>根据《关于做好政府信息主动公开目录调整工作的通知》（六政务公开办〔2019〕9号）的要求，我局在原有《政府信息主动公开基本目录》基础上，在市、县统一部署下，共完成2次政务公开目录调整。</w:t>
      </w:r>
      <w:r>
        <w:rPr>
          <w:rFonts w:hint="default" w:ascii="Times New Roman" w:hAnsi="Times New Roman" w:cs="Times New Roman"/>
          <w:b/>
          <w:kern w:val="0"/>
        </w:rPr>
        <w:t>三是采取多种形式规范政务公开模式。</w:t>
      </w:r>
      <w:r>
        <w:rPr>
          <w:rFonts w:hint="default" w:ascii="Times New Roman" w:hAnsi="Times New Roman" w:cs="Times New Roman"/>
          <w:kern w:val="0"/>
        </w:rPr>
        <w:t>按照政务公开的具体要求，我局通过设立公开宣传栏、公开监督电话、设立意见箱等方式规范政务公开运行，确保政务公开内容更新及时、准确和全面，不断提升服务群众水平，推进平台建设，切实增强政务公开实际效果。</w:t>
      </w:r>
    </w:p>
    <w:p>
      <w:pPr>
        <w:spacing w:line="560" w:lineRule="exact"/>
        <w:ind w:firstLine="632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</w:rPr>
        <w:t>（五）监督保障方面。</w:t>
      </w:r>
      <w:r>
        <w:rPr>
          <w:rFonts w:hint="default" w:ascii="Times New Roman" w:hAnsi="Times New Roman" w:cs="Times New Roman"/>
          <w:b/>
          <w:kern w:val="0"/>
        </w:rPr>
        <w:t>一是把政务公开与廉政风险防控工作紧密结合。</w:t>
      </w:r>
      <w:r>
        <w:rPr>
          <w:rFonts w:hint="default" w:ascii="Times New Roman" w:hAnsi="Times New Roman" w:cs="Times New Roman"/>
          <w:kern w:val="0"/>
        </w:rPr>
        <w:t>进一步加强对行政权力的监管，健全权力运行监控机制，堵塞权力运行的漏洞，有效地防控廉政风险，尤其是加大对“三重一大”决策、行政审批、行政执法的监督管理，加强招生录取工作、招投标采购、工程建设、教师职称评聘等方面的廉政风险防控，不断强化对权力运行的制约和监督。</w:t>
      </w:r>
      <w:r>
        <w:rPr>
          <w:rFonts w:hint="default" w:ascii="Times New Roman" w:hAnsi="Times New Roman" w:cs="Times New Roman"/>
          <w:b/>
          <w:kern w:val="0"/>
        </w:rPr>
        <w:t>二是建立网上舆情监测机制。</w:t>
      </w:r>
      <w:r>
        <w:rPr>
          <w:rFonts w:hint="default" w:ascii="Times New Roman" w:hAnsi="Times New Roman" w:cs="Times New Roman"/>
          <w:kern w:val="0"/>
        </w:rPr>
        <w:t>建立舆情信息答复反馈机制，对市、县或上级主管部门领导批示的舆情信息，建立督办制度，由专人负责，各有关部门认真进行调查核实，并限期做出答复。全年共回复网上信箱留言31条。</w:t>
      </w:r>
      <w:r>
        <w:rPr>
          <w:rFonts w:hint="default" w:ascii="Times New Roman" w:hAnsi="Times New Roman" w:cs="Times New Roman"/>
          <w:b/>
          <w:kern w:val="0"/>
        </w:rPr>
        <w:t>三是自觉接受社会咨询与群众监督。</w:t>
      </w:r>
      <w:r>
        <w:rPr>
          <w:rFonts w:hint="default" w:ascii="Times New Roman" w:hAnsi="Times New Roman" w:cs="Times New Roman"/>
          <w:kern w:val="0"/>
        </w:rPr>
        <w:t>通过设立政务公开工作意见箱，积极参加县纪委牵头组织的“政风行风在线”等活动，自觉接受社会咨询与群众监督。</w:t>
      </w:r>
    </w:p>
    <w:p>
      <w:pPr>
        <w:spacing w:line="580" w:lineRule="exact"/>
        <w:ind w:firstLine="632" w:firstLineChars="20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二、主动公开政府信息情况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42"/>
        <w:gridCol w:w="1984"/>
        <w:gridCol w:w="992"/>
        <w:gridCol w:w="1276"/>
        <w:gridCol w:w="20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信息内容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本年新制作数量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本年新公开数量</w:t>
            </w:r>
          </w:p>
        </w:tc>
        <w:tc>
          <w:tcPr>
            <w:tcW w:w="200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对外公开总数量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规章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0</w:t>
            </w:r>
          </w:p>
        </w:tc>
        <w:tc>
          <w:tcPr>
            <w:tcW w:w="200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规范性文件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00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楷体_GB2312" w:cs="Times New Roman"/>
                <w:sz w:val="24"/>
                <w:szCs w:val="24"/>
                <w:lang w:val="en-US" w:eastAsia="zh-CN"/>
              </w:rPr>
              <w:t>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信息内容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上一年项目数量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本年增/减</w:t>
            </w:r>
          </w:p>
        </w:tc>
        <w:tc>
          <w:tcPr>
            <w:tcW w:w="200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行政许可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-1</w:t>
            </w:r>
          </w:p>
        </w:tc>
        <w:tc>
          <w:tcPr>
            <w:tcW w:w="200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其他对外管理服务事项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51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-10</w:t>
            </w:r>
          </w:p>
        </w:tc>
        <w:tc>
          <w:tcPr>
            <w:tcW w:w="200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535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信息内容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上一年项目数量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本年增/减</w:t>
            </w:r>
          </w:p>
        </w:tc>
        <w:tc>
          <w:tcPr>
            <w:tcW w:w="200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行政处罚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-6</w:t>
            </w:r>
          </w:p>
        </w:tc>
        <w:tc>
          <w:tcPr>
            <w:tcW w:w="200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行政强制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0</w:t>
            </w:r>
          </w:p>
        </w:tc>
        <w:tc>
          <w:tcPr>
            <w:tcW w:w="200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信息内容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上一年项目数量</w:t>
            </w:r>
          </w:p>
        </w:tc>
        <w:tc>
          <w:tcPr>
            <w:tcW w:w="328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本年增/减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行政事业性收费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6</w:t>
            </w:r>
          </w:p>
        </w:tc>
        <w:tc>
          <w:tcPr>
            <w:tcW w:w="328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第二十条第（九）项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信息内容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采购项目数量</w:t>
            </w:r>
          </w:p>
        </w:tc>
        <w:tc>
          <w:tcPr>
            <w:tcW w:w="328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采购总金额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政府集中采购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7</w:t>
            </w:r>
          </w:p>
        </w:tc>
        <w:tc>
          <w:tcPr>
            <w:tcW w:w="328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2064.95万元</w:t>
            </w:r>
          </w:p>
        </w:tc>
      </w:tr>
    </w:tbl>
    <w:p>
      <w:pPr>
        <w:spacing w:line="580" w:lineRule="exact"/>
        <w:ind w:firstLine="632" w:firstLineChars="20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三、收到和处理政府信息公开申请情况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044"/>
        <w:gridCol w:w="1870"/>
        <w:gridCol w:w="567"/>
        <w:gridCol w:w="709"/>
        <w:gridCol w:w="850"/>
        <w:gridCol w:w="851"/>
        <w:gridCol w:w="992"/>
        <w:gridCol w:w="709"/>
        <w:gridCol w:w="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（本列数据的勾稽关系为：第一项加第二项之和，等于第三项加第四项之和）</w:t>
            </w:r>
          </w:p>
        </w:tc>
        <w:tc>
          <w:tcPr>
            <w:tcW w:w="5266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567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自然人</w:t>
            </w:r>
          </w:p>
        </w:tc>
        <w:tc>
          <w:tcPr>
            <w:tcW w:w="4111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法人或其他组织</w:t>
            </w:r>
          </w:p>
        </w:tc>
        <w:tc>
          <w:tcPr>
            <w:tcW w:w="588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企业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机构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公益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组织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服务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机构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其他</w:t>
            </w:r>
          </w:p>
        </w:tc>
        <w:tc>
          <w:tcPr>
            <w:tcW w:w="58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gridSpan w:val="3"/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一、本年新收政府信息公开申请数量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gridSpan w:val="3"/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二、上年结转政府信息公开申请数量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restart"/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三、本年度办理结果</w:t>
            </w:r>
          </w:p>
        </w:tc>
        <w:tc>
          <w:tcPr>
            <w:tcW w:w="291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（一）予以公开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291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（二）部分公开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restart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（三）不予公开</w:t>
            </w:r>
          </w:p>
        </w:tc>
        <w:tc>
          <w:tcPr>
            <w:tcW w:w="1870" w:type="dxa"/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1.属于国家秘密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2.其他法律行政法规禁止公开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3.违反“三安全一稳定”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4.保护第三方合法权益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5.属于三类内部事务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6.属于四类过程性信息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7.属于行政执法案卷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8.属于行政查询事项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restart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（四）无法提供</w:t>
            </w: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1.本机关不掌握相关政府信息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2.没有现成信息需要另行制作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3.补正后申请内容仍不明确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restart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（五）不予处理</w:t>
            </w: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1.信访举报投诉类申请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2.重复申请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3.要求提供公开出版物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4.无正当理由大量反复申请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04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楷体_GB2312" w:cs="Times New Roman"/>
                <w:sz w:val="21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1"/>
                <w:szCs w:val="28"/>
              </w:rPr>
              <w:t>5.要求行政机关确认或重新出具已获取信息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2914" w:type="dxa"/>
            <w:gridSpan w:val="2"/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（六）其他处理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</w:p>
        </w:tc>
        <w:tc>
          <w:tcPr>
            <w:tcW w:w="2914" w:type="dxa"/>
            <w:gridSpan w:val="2"/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（七）总计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gridSpan w:val="3"/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四、结转下年度继续办理</w:t>
            </w: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  <w:tc>
          <w:tcPr>
            <w:tcW w:w="5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2"/>
                <w:szCs w:val="28"/>
              </w:rPr>
              <w:t>0</w:t>
            </w:r>
          </w:p>
        </w:tc>
      </w:tr>
    </w:tbl>
    <w:p>
      <w:pPr>
        <w:ind w:firstLine="474" w:firstLineChars="150"/>
        <w:rPr>
          <w:rFonts w:hint="default" w:ascii="Times New Roman" w:hAnsi="Times New Roman" w:eastAsia="黑体" w:cs="Times New Roman"/>
        </w:rPr>
      </w:pPr>
    </w:p>
    <w:p>
      <w:pPr>
        <w:ind w:firstLine="474" w:firstLineChars="15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</w:rPr>
        <w:t>四、政府信息公开行政复议、行政诉讼情况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0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行政复议</w:t>
            </w:r>
          </w:p>
        </w:tc>
        <w:tc>
          <w:tcPr>
            <w:tcW w:w="6040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行政诉讼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结果维持</w:t>
            </w:r>
          </w:p>
        </w:tc>
        <w:tc>
          <w:tcPr>
            <w:tcW w:w="604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结果纠正</w:t>
            </w:r>
          </w:p>
        </w:tc>
        <w:tc>
          <w:tcPr>
            <w:tcW w:w="604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其他结果</w:t>
            </w:r>
          </w:p>
        </w:tc>
        <w:tc>
          <w:tcPr>
            <w:tcW w:w="604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尚未审结</w:t>
            </w:r>
          </w:p>
        </w:tc>
        <w:tc>
          <w:tcPr>
            <w:tcW w:w="604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总计</w:t>
            </w:r>
          </w:p>
        </w:tc>
        <w:tc>
          <w:tcPr>
            <w:tcW w:w="3020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未经复议直接起诉</w:t>
            </w:r>
          </w:p>
        </w:tc>
        <w:tc>
          <w:tcPr>
            <w:tcW w:w="3020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复议后起诉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</w:p>
        </w:tc>
        <w:tc>
          <w:tcPr>
            <w:tcW w:w="604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</w:p>
        </w:tc>
        <w:tc>
          <w:tcPr>
            <w:tcW w:w="604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</w:p>
        </w:tc>
        <w:tc>
          <w:tcPr>
            <w:tcW w:w="604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</w:p>
        </w:tc>
        <w:tc>
          <w:tcPr>
            <w:tcW w:w="604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结果维持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结果纠正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其他结果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尚未审结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总计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结果维持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结果纠正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其他结果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尚未审结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  <w:tc>
          <w:tcPr>
            <w:tcW w:w="60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8"/>
              </w:rPr>
              <w:t>0</w:t>
            </w:r>
          </w:p>
        </w:tc>
      </w:tr>
    </w:tbl>
    <w:p>
      <w:pPr>
        <w:spacing w:line="560" w:lineRule="exact"/>
        <w:ind w:firstLine="632" w:firstLineChars="20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五、存在的主要问题及改进情况</w:t>
      </w:r>
    </w:p>
    <w:p>
      <w:pPr>
        <w:spacing w:line="560" w:lineRule="exact"/>
        <w:ind w:firstLine="632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2019年，我局的政务公开工作虽然取得了一些成绩，但仍存在着一些问题：一是公开方式还不够创新，图解、视频等新媒体宣传能力还不够，可读性、感染力不够强；二是部分项目内容公开不够及时，在省、市、县检测抽测中发现部分项目内容公开不全或滞后，经整改后陆续得到补充和完善；三是政策解读质量不高，形式还比较单一。</w:t>
      </w:r>
    </w:p>
    <w:p>
      <w:pPr>
        <w:spacing w:line="560" w:lineRule="exact"/>
        <w:ind w:firstLine="632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下一步，我局将进一步完善政务公开工作相关机制，创新门户网站和政务新媒体运维体制机制，强化运维人员业务能力培训，加强政务公开、门户网站和政务新媒体管理，提升网站和新媒体的传播力、引导力、影响力、公信力，切实抓好政务公开工作。</w:t>
      </w:r>
    </w:p>
    <w:p>
      <w:pPr>
        <w:spacing w:line="560" w:lineRule="exact"/>
        <w:ind w:firstLine="632" w:firstLineChars="20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六、其他需要报告的事项</w:t>
      </w:r>
    </w:p>
    <w:p>
      <w:pPr>
        <w:spacing w:line="560" w:lineRule="exact"/>
        <w:ind w:firstLine="632" w:firstLineChars="200"/>
        <w:jc w:val="left"/>
        <w:rPr>
          <w:rFonts w:hint="default" w:ascii="Times New Roman" w:hAnsi="Times New Roman" w:eastAsia="楷体_GB2312" w:cs="Times New Roman"/>
          <w:kern w:val="0"/>
        </w:rPr>
      </w:pPr>
      <w:r>
        <w:rPr>
          <w:rFonts w:hint="default" w:ascii="Times New Roman" w:hAnsi="Times New Roman" w:eastAsia="楷体_GB2312" w:cs="Times New Roman"/>
          <w:kern w:val="0"/>
        </w:rPr>
        <w:t>无</w:t>
      </w:r>
    </w:p>
    <w:p>
      <w:pPr>
        <w:spacing w:line="560" w:lineRule="exact"/>
        <w:ind w:firstLine="632" w:firstLineChars="200"/>
        <w:jc w:val="left"/>
        <w:rPr>
          <w:rFonts w:hint="default" w:ascii="Times New Roman" w:hAnsi="Times New Roman" w:eastAsia="楷体_GB2312" w:cs="Times New Roman"/>
          <w:kern w:val="0"/>
        </w:rPr>
      </w:pPr>
    </w:p>
    <w:p>
      <w:pPr>
        <w:spacing w:line="560" w:lineRule="exact"/>
        <w:ind w:firstLine="632" w:firstLineChars="200"/>
        <w:jc w:val="left"/>
        <w:rPr>
          <w:rFonts w:hint="default" w:ascii="Times New Roman" w:hAnsi="Times New Roman" w:eastAsia="楷体_GB2312" w:cs="Times New Roman"/>
          <w:kern w:val="0"/>
        </w:rPr>
      </w:pPr>
    </w:p>
    <w:p>
      <w:pPr>
        <w:spacing w:line="560" w:lineRule="exact"/>
        <w:ind w:firstLine="632" w:firstLineChars="200"/>
        <w:jc w:val="left"/>
        <w:rPr>
          <w:rFonts w:hint="default" w:ascii="Times New Roman" w:hAnsi="Times New Roman" w:cs="Times New Roman"/>
          <w:kern w:val="0"/>
        </w:rPr>
      </w:pPr>
      <w:r>
        <w:rPr>
          <w:rFonts w:hint="default" w:ascii="Times New Roman" w:hAnsi="Times New Roman" w:eastAsia="楷体_GB2312" w:cs="Times New Roman"/>
          <w:kern w:val="0"/>
        </w:rPr>
        <w:t xml:space="preserve">                                   </w:t>
      </w:r>
      <w:r>
        <w:rPr>
          <w:rFonts w:hint="default" w:ascii="Times New Roman" w:hAnsi="Times New Roman" w:cs="Times New Roman"/>
          <w:kern w:val="0"/>
        </w:rPr>
        <w:t>舒城县教育局</w:t>
      </w:r>
    </w:p>
    <w:p>
      <w:pPr>
        <w:spacing w:line="560" w:lineRule="exact"/>
        <w:ind w:firstLine="632" w:firstLineChars="2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</w:rPr>
        <w:t xml:space="preserve">                                 </w:t>
      </w:r>
      <w:r>
        <w:rPr>
          <w:rFonts w:hint="default" w:ascii="Times New Roman" w:hAnsi="Times New Roman" w:cs="Times New Roman"/>
        </w:rPr>
        <w:t>2020年1月16日</w:t>
      </w:r>
    </w:p>
    <w:sectPr>
      <w:footerReference r:id="rId3" w:type="default"/>
      <w:pgSz w:w="11906" w:h="16838"/>
      <w:pgMar w:top="2098" w:right="1474" w:bottom="1984" w:left="1588" w:header="1361" w:footer="1587" w:gutter="0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48615762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2"/>
          <w:jc w:val="center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>—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>—</w:t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E3YjA3ZTZmMzU5ODgxZGNlYmI0YWQwNjhjZmNlZTgifQ=="/>
  </w:docVars>
  <w:rsids>
    <w:rsidRoot w:val="00C81CD3"/>
    <w:rsid w:val="000057C8"/>
    <w:rsid w:val="00014AB9"/>
    <w:rsid w:val="00016CB2"/>
    <w:rsid w:val="00020F57"/>
    <w:rsid w:val="00032B69"/>
    <w:rsid w:val="000744C5"/>
    <w:rsid w:val="00084D8D"/>
    <w:rsid w:val="000922C3"/>
    <w:rsid w:val="00095B5B"/>
    <w:rsid w:val="00095C6F"/>
    <w:rsid w:val="000965D2"/>
    <w:rsid w:val="000A0F20"/>
    <w:rsid w:val="000B78ED"/>
    <w:rsid w:val="000C3C90"/>
    <w:rsid w:val="000F0A67"/>
    <w:rsid w:val="0010318B"/>
    <w:rsid w:val="001065A8"/>
    <w:rsid w:val="001162E3"/>
    <w:rsid w:val="00126A37"/>
    <w:rsid w:val="00127A66"/>
    <w:rsid w:val="00131FEC"/>
    <w:rsid w:val="001519CC"/>
    <w:rsid w:val="001570A3"/>
    <w:rsid w:val="00193596"/>
    <w:rsid w:val="001B546D"/>
    <w:rsid w:val="001B63EC"/>
    <w:rsid w:val="001C3C42"/>
    <w:rsid w:val="001D099C"/>
    <w:rsid w:val="001E4CFD"/>
    <w:rsid w:val="002345EE"/>
    <w:rsid w:val="00244434"/>
    <w:rsid w:val="0025082A"/>
    <w:rsid w:val="0026422E"/>
    <w:rsid w:val="002A4390"/>
    <w:rsid w:val="002A4CF4"/>
    <w:rsid w:val="002A7FD5"/>
    <w:rsid w:val="002C2D42"/>
    <w:rsid w:val="002D74C1"/>
    <w:rsid w:val="002E6551"/>
    <w:rsid w:val="002F06BB"/>
    <w:rsid w:val="00326786"/>
    <w:rsid w:val="003630B1"/>
    <w:rsid w:val="0039622C"/>
    <w:rsid w:val="003B1BC7"/>
    <w:rsid w:val="003B5B0B"/>
    <w:rsid w:val="003C29C7"/>
    <w:rsid w:val="003D5116"/>
    <w:rsid w:val="003E1E81"/>
    <w:rsid w:val="003E2E1C"/>
    <w:rsid w:val="003F62CE"/>
    <w:rsid w:val="004316A3"/>
    <w:rsid w:val="00431DAA"/>
    <w:rsid w:val="0043713D"/>
    <w:rsid w:val="00443774"/>
    <w:rsid w:val="004534C6"/>
    <w:rsid w:val="00455A96"/>
    <w:rsid w:val="00456D4E"/>
    <w:rsid w:val="0046710D"/>
    <w:rsid w:val="00467ECF"/>
    <w:rsid w:val="004917EF"/>
    <w:rsid w:val="004D6D74"/>
    <w:rsid w:val="00526760"/>
    <w:rsid w:val="00542E1E"/>
    <w:rsid w:val="00546AC1"/>
    <w:rsid w:val="00570CBF"/>
    <w:rsid w:val="00576172"/>
    <w:rsid w:val="005B3840"/>
    <w:rsid w:val="005D112B"/>
    <w:rsid w:val="005D7DD8"/>
    <w:rsid w:val="005E5343"/>
    <w:rsid w:val="00602285"/>
    <w:rsid w:val="00615338"/>
    <w:rsid w:val="00616E01"/>
    <w:rsid w:val="006307C1"/>
    <w:rsid w:val="00667F08"/>
    <w:rsid w:val="006711B4"/>
    <w:rsid w:val="0068181B"/>
    <w:rsid w:val="00685FC0"/>
    <w:rsid w:val="00690F0A"/>
    <w:rsid w:val="00695EB4"/>
    <w:rsid w:val="006D6076"/>
    <w:rsid w:val="006E3343"/>
    <w:rsid w:val="006E5EF6"/>
    <w:rsid w:val="006F41E1"/>
    <w:rsid w:val="006F52DF"/>
    <w:rsid w:val="007351C1"/>
    <w:rsid w:val="00770899"/>
    <w:rsid w:val="00771CEC"/>
    <w:rsid w:val="00794463"/>
    <w:rsid w:val="007A34A8"/>
    <w:rsid w:val="007C3286"/>
    <w:rsid w:val="007C6EB5"/>
    <w:rsid w:val="007D16F0"/>
    <w:rsid w:val="007E0CE3"/>
    <w:rsid w:val="00801F8D"/>
    <w:rsid w:val="008052F8"/>
    <w:rsid w:val="008236C9"/>
    <w:rsid w:val="00823CC6"/>
    <w:rsid w:val="00833D6D"/>
    <w:rsid w:val="0086080A"/>
    <w:rsid w:val="00865EA2"/>
    <w:rsid w:val="0086609C"/>
    <w:rsid w:val="0087209C"/>
    <w:rsid w:val="00880B6D"/>
    <w:rsid w:val="008931B9"/>
    <w:rsid w:val="008A34C3"/>
    <w:rsid w:val="008A65CB"/>
    <w:rsid w:val="008B0AC2"/>
    <w:rsid w:val="008C2A04"/>
    <w:rsid w:val="008D1A6B"/>
    <w:rsid w:val="008D622D"/>
    <w:rsid w:val="008E530C"/>
    <w:rsid w:val="008F7017"/>
    <w:rsid w:val="00911972"/>
    <w:rsid w:val="0092148B"/>
    <w:rsid w:val="009445C2"/>
    <w:rsid w:val="00945DAE"/>
    <w:rsid w:val="009637C6"/>
    <w:rsid w:val="009640F7"/>
    <w:rsid w:val="009E6552"/>
    <w:rsid w:val="009F7AF4"/>
    <w:rsid w:val="00A07532"/>
    <w:rsid w:val="00A3607E"/>
    <w:rsid w:val="00A929D9"/>
    <w:rsid w:val="00A95277"/>
    <w:rsid w:val="00AA303F"/>
    <w:rsid w:val="00AC2C7E"/>
    <w:rsid w:val="00AD4AF2"/>
    <w:rsid w:val="00AF7392"/>
    <w:rsid w:val="00B16451"/>
    <w:rsid w:val="00B20240"/>
    <w:rsid w:val="00B317D1"/>
    <w:rsid w:val="00B514FA"/>
    <w:rsid w:val="00B51DCB"/>
    <w:rsid w:val="00B56D51"/>
    <w:rsid w:val="00B826EC"/>
    <w:rsid w:val="00BA2762"/>
    <w:rsid w:val="00BA54FE"/>
    <w:rsid w:val="00BB59F5"/>
    <w:rsid w:val="00C20C6A"/>
    <w:rsid w:val="00C444E2"/>
    <w:rsid w:val="00C445A8"/>
    <w:rsid w:val="00C71DCF"/>
    <w:rsid w:val="00C73FD3"/>
    <w:rsid w:val="00C808C0"/>
    <w:rsid w:val="00C81CD3"/>
    <w:rsid w:val="00C839FE"/>
    <w:rsid w:val="00C8697E"/>
    <w:rsid w:val="00C87FDA"/>
    <w:rsid w:val="00C93EDB"/>
    <w:rsid w:val="00CB0880"/>
    <w:rsid w:val="00CC6D18"/>
    <w:rsid w:val="00CD3DBD"/>
    <w:rsid w:val="00D259CF"/>
    <w:rsid w:val="00D40F09"/>
    <w:rsid w:val="00D42DE0"/>
    <w:rsid w:val="00D43D0A"/>
    <w:rsid w:val="00D626BA"/>
    <w:rsid w:val="00D70321"/>
    <w:rsid w:val="00D72FC6"/>
    <w:rsid w:val="00D73406"/>
    <w:rsid w:val="00D771E1"/>
    <w:rsid w:val="00D87020"/>
    <w:rsid w:val="00D97205"/>
    <w:rsid w:val="00DB1A56"/>
    <w:rsid w:val="00DE1BD4"/>
    <w:rsid w:val="00DE37B1"/>
    <w:rsid w:val="00DF69A0"/>
    <w:rsid w:val="00E16B89"/>
    <w:rsid w:val="00E31481"/>
    <w:rsid w:val="00E33071"/>
    <w:rsid w:val="00E37DA8"/>
    <w:rsid w:val="00E44D06"/>
    <w:rsid w:val="00E549A3"/>
    <w:rsid w:val="00E56A2D"/>
    <w:rsid w:val="00E6368E"/>
    <w:rsid w:val="00E64ECA"/>
    <w:rsid w:val="00E879D1"/>
    <w:rsid w:val="00EA4ADD"/>
    <w:rsid w:val="00EA7877"/>
    <w:rsid w:val="00EB1B0F"/>
    <w:rsid w:val="00EB71DB"/>
    <w:rsid w:val="00EC1F5A"/>
    <w:rsid w:val="00EC33C5"/>
    <w:rsid w:val="00EE26CB"/>
    <w:rsid w:val="00EF180B"/>
    <w:rsid w:val="00F008D3"/>
    <w:rsid w:val="00F02651"/>
    <w:rsid w:val="00F05503"/>
    <w:rsid w:val="00F14E51"/>
    <w:rsid w:val="00F20E8A"/>
    <w:rsid w:val="00F359D2"/>
    <w:rsid w:val="00F6010E"/>
    <w:rsid w:val="00F6452E"/>
    <w:rsid w:val="00F73F70"/>
    <w:rsid w:val="00F75A80"/>
    <w:rsid w:val="00F77172"/>
    <w:rsid w:val="00F87437"/>
    <w:rsid w:val="00FA5CCE"/>
    <w:rsid w:val="00FA6C32"/>
    <w:rsid w:val="00FB1E55"/>
    <w:rsid w:val="00FC4AA8"/>
    <w:rsid w:val="00FD66BE"/>
    <w:rsid w:val="00FE1F35"/>
    <w:rsid w:val="00FE38F2"/>
    <w:rsid w:val="00FF01AD"/>
    <w:rsid w:val="00FF556F"/>
    <w:rsid w:val="015854C7"/>
    <w:rsid w:val="0A4D5F6A"/>
    <w:rsid w:val="1C2344FA"/>
    <w:rsid w:val="250E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autoRedefine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脚 Char"/>
    <w:basedOn w:val="6"/>
    <w:link w:val="2"/>
    <w:autoRedefine/>
    <w:qFormat/>
    <w:uiPriority w:val="99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505</Words>
  <Characters>2882</Characters>
  <Lines>24</Lines>
  <Paragraphs>6</Paragraphs>
  <TotalTime>122</TotalTime>
  <ScaleCrop>false</ScaleCrop>
  <LinksUpToDate>false</LinksUpToDate>
  <CharactersWithSpaces>3381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2020-01-15T23:57:00Z</dcterms:created>
  <dc:creator>gyb1</dc:creator>
  <cp:lastModifiedBy>xiaomidevice用户</cp:lastModifiedBy>
  <cp:lastPrinted>2021-01-12T01:42:00Z</cp:lastPrinted>
  <dcterms:modified xsi:type="dcterms:W3CDTF">2024-01-22T02:51:55Z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AB6401EB1182413DB46D3A0C0113040E_12</vt:lpwstr>
  </property>
</Properties>
</file>