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黑体" w:hAnsi="黑体" w:eastAsia="黑体" w:cs="黑体"/>
          <w:i w:val="0"/>
          <w:iCs w:val="0"/>
          <w:caps w:val="0"/>
          <w:color w:val="000000"/>
          <w:spacing w:val="0"/>
          <w:sz w:val="44"/>
          <w:szCs w:val="44"/>
          <w:shd w:val="clear" w:fill="FFFFFF"/>
        </w:rPr>
      </w:pPr>
      <w:r>
        <w:rPr>
          <w:rFonts w:hint="eastAsia" w:ascii="黑体" w:hAnsi="黑体" w:eastAsia="黑体" w:cs="黑体"/>
          <w:i w:val="0"/>
          <w:iCs w:val="0"/>
          <w:caps w:val="0"/>
          <w:color w:val="000000"/>
          <w:spacing w:val="0"/>
          <w:sz w:val="44"/>
          <w:szCs w:val="44"/>
          <w:shd w:val="clear" w:fill="FFFFFF"/>
        </w:rPr>
        <w:t>舒城县</w:t>
      </w:r>
      <w:r>
        <w:rPr>
          <w:rFonts w:hint="eastAsia" w:ascii="黑体" w:hAnsi="黑体" w:eastAsia="黑体" w:cs="黑体"/>
          <w:i w:val="0"/>
          <w:iCs w:val="0"/>
          <w:caps w:val="0"/>
          <w:color w:val="000000"/>
          <w:spacing w:val="0"/>
          <w:sz w:val="44"/>
          <w:szCs w:val="44"/>
          <w:shd w:val="clear" w:fill="FFFFFF"/>
          <w:lang w:eastAsia="zh-CN"/>
        </w:rPr>
        <w:t>河棚镇人民政府</w:t>
      </w:r>
      <w:r>
        <w:rPr>
          <w:rFonts w:hint="eastAsia" w:ascii="黑体" w:hAnsi="黑体" w:eastAsia="黑体" w:cs="黑体"/>
          <w:i w:val="0"/>
          <w:iCs w:val="0"/>
          <w:caps w:val="0"/>
          <w:color w:val="000000"/>
          <w:spacing w:val="0"/>
          <w:sz w:val="44"/>
          <w:szCs w:val="44"/>
          <w:shd w:val="clear" w:fill="FFFFFF"/>
        </w:rPr>
        <w:t>2023年</w:t>
      </w:r>
    </w:p>
    <w:p>
      <w:pPr>
        <w:widowControl/>
        <w:shd w:val="clear" w:color="auto" w:fill="FFFFFF"/>
        <w:jc w:val="center"/>
        <w:rPr>
          <w:rFonts w:ascii="仿宋" w:hAnsi="仿宋" w:eastAsia="仿宋" w:cs="仿宋"/>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44"/>
          <w:szCs w:val="44"/>
          <w:shd w:val="clear" w:fill="FFFFFF"/>
        </w:rPr>
        <w:t>政府信息公开工作年度报告</w:t>
      </w:r>
    </w:p>
    <w:p>
      <w:pPr>
        <w:widowControl/>
        <w:shd w:val="clear" w:color="auto" w:fill="FFFFFF"/>
        <w:ind w:firstLine="640" w:firstLineChars="200"/>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本报告依据《中华人民共和国政府信息公开条例》（国务院令第711</w:t>
      </w:r>
      <w:r>
        <w:rPr>
          <w:rFonts w:hint="eastAsia" w:ascii="仿宋" w:hAnsi="仿宋" w:eastAsia="仿宋" w:cs="仿宋"/>
          <w:i w:val="0"/>
          <w:iCs w:val="0"/>
          <w:caps w:val="0"/>
          <w:color w:val="000000"/>
          <w:spacing w:val="0"/>
          <w:sz w:val="32"/>
          <w:szCs w:val="32"/>
          <w:shd w:val="clear" w:fill="FFFFFF"/>
        </w:rPr>
        <w:t>号）和《六安市政务公开办公室关于做好2023</w:t>
      </w:r>
      <w:r>
        <w:rPr>
          <w:rFonts w:hint="eastAsia" w:ascii="仿宋" w:hAnsi="仿宋" w:eastAsia="仿宋" w:cs="仿宋"/>
          <w:i w:val="0"/>
          <w:iCs w:val="0"/>
          <w:caps w:val="0"/>
          <w:color w:val="000000"/>
          <w:spacing w:val="0"/>
          <w:sz w:val="32"/>
          <w:szCs w:val="32"/>
          <w:shd w:val="clear" w:fill="FFFFFF"/>
        </w:rPr>
        <w:t>年度政府信息公开年度报告编制和发布工作的通知》（六政务公开办〔2024</w:t>
      </w:r>
      <w:r>
        <w:rPr>
          <w:rFonts w:hint="eastAsia" w:ascii="仿宋" w:hAnsi="仿宋" w:eastAsia="仿宋" w:cs="仿宋"/>
          <w:i w:val="0"/>
          <w:iCs w:val="0"/>
          <w:caps w:val="0"/>
          <w:color w:val="000000"/>
          <w:spacing w:val="0"/>
          <w:sz w:val="32"/>
          <w:szCs w:val="32"/>
          <w:shd w:val="clear" w:fill="FFFFFF"/>
        </w:rPr>
        <w:t>〕2</w:t>
      </w:r>
      <w:r>
        <w:rPr>
          <w:rFonts w:hint="eastAsia" w:ascii="仿宋" w:hAnsi="仿宋" w:eastAsia="仿宋" w:cs="仿宋"/>
          <w:i w:val="0"/>
          <w:iCs w:val="0"/>
          <w:caps w:val="0"/>
          <w:color w:val="000000"/>
          <w:spacing w:val="0"/>
          <w:sz w:val="32"/>
          <w:szCs w:val="32"/>
          <w:shd w:val="clear" w:fill="FFFFFF"/>
        </w:rPr>
        <w:t>号）要求，结合舒城县</w:t>
      </w:r>
      <w:r>
        <w:rPr>
          <w:rFonts w:hint="eastAsia" w:ascii="仿宋" w:hAnsi="仿宋" w:eastAsia="仿宋" w:cs="仿宋"/>
          <w:i w:val="0"/>
          <w:iCs w:val="0"/>
          <w:caps w:val="0"/>
          <w:color w:val="000000"/>
          <w:spacing w:val="0"/>
          <w:sz w:val="32"/>
          <w:szCs w:val="32"/>
          <w:shd w:val="clear" w:fill="FFFFFF"/>
          <w:lang w:eastAsia="zh-CN"/>
        </w:rPr>
        <w:t>河棚镇</w:t>
      </w:r>
      <w:r>
        <w:rPr>
          <w:rFonts w:hint="eastAsia" w:ascii="仿宋" w:hAnsi="仿宋" w:eastAsia="仿宋" w:cs="仿宋"/>
          <w:i w:val="0"/>
          <w:iCs w:val="0"/>
          <w:caps w:val="0"/>
          <w:color w:val="000000"/>
          <w:spacing w:val="0"/>
          <w:sz w:val="32"/>
          <w:szCs w:val="32"/>
          <w:shd w:val="clear" w:fill="FFFFFF"/>
        </w:rPr>
        <w:t>政府信息公开工作有关统计数据撰写，数据统计期限为2023</w:t>
      </w:r>
      <w:r>
        <w:rPr>
          <w:rFonts w:hint="eastAsia" w:ascii="仿宋" w:hAnsi="仿宋" w:eastAsia="仿宋" w:cs="仿宋"/>
          <w:i w:val="0"/>
          <w:iCs w:val="0"/>
          <w:caps w:val="0"/>
          <w:color w:val="000000"/>
          <w:spacing w:val="0"/>
          <w:sz w:val="32"/>
          <w:szCs w:val="32"/>
          <w:shd w:val="clear" w:fill="FFFFFF"/>
        </w:rPr>
        <w:t>年1</w:t>
      </w:r>
      <w:r>
        <w:rPr>
          <w:rFonts w:hint="eastAsia" w:ascii="仿宋" w:hAnsi="仿宋" w:eastAsia="仿宋" w:cs="仿宋"/>
          <w:i w:val="0"/>
          <w:iCs w:val="0"/>
          <w:caps w:val="0"/>
          <w:color w:val="000000"/>
          <w:spacing w:val="0"/>
          <w:sz w:val="32"/>
          <w:szCs w:val="32"/>
          <w:shd w:val="clear" w:fill="FFFFFF"/>
        </w:rPr>
        <w:t>月1</w:t>
      </w:r>
      <w:r>
        <w:rPr>
          <w:rFonts w:hint="eastAsia" w:ascii="仿宋" w:hAnsi="仿宋" w:eastAsia="仿宋" w:cs="仿宋"/>
          <w:i w:val="0"/>
          <w:iCs w:val="0"/>
          <w:caps w:val="0"/>
          <w:color w:val="000000"/>
          <w:spacing w:val="0"/>
          <w:sz w:val="32"/>
          <w:szCs w:val="32"/>
          <w:shd w:val="clear" w:fill="FFFFFF"/>
        </w:rPr>
        <w:t>日至2023</w:t>
      </w:r>
      <w:r>
        <w:rPr>
          <w:rFonts w:hint="eastAsia" w:ascii="仿宋" w:hAnsi="仿宋" w:eastAsia="仿宋" w:cs="仿宋"/>
          <w:i w:val="0"/>
          <w:iCs w:val="0"/>
          <w:caps w:val="0"/>
          <w:color w:val="000000"/>
          <w:spacing w:val="0"/>
          <w:sz w:val="32"/>
          <w:szCs w:val="32"/>
          <w:shd w:val="clear" w:fill="FFFFFF"/>
        </w:rPr>
        <w:t>年12</w:t>
      </w:r>
      <w:r>
        <w:rPr>
          <w:rFonts w:hint="eastAsia" w:ascii="仿宋" w:hAnsi="仿宋" w:eastAsia="仿宋" w:cs="仿宋"/>
          <w:i w:val="0"/>
          <w:iCs w:val="0"/>
          <w:caps w:val="0"/>
          <w:color w:val="000000"/>
          <w:spacing w:val="0"/>
          <w:sz w:val="32"/>
          <w:szCs w:val="32"/>
          <w:shd w:val="clear" w:fill="FFFFFF"/>
        </w:rPr>
        <w:t>月31</w:t>
      </w:r>
      <w:r>
        <w:rPr>
          <w:rFonts w:hint="eastAsia" w:ascii="仿宋" w:hAnsi="仿宋" w:eastAsia="仿宋" w:cs="仿宋"/>
          <w:i w:val="0"/>
          <w:iCs w:val="0"/>
          <w:caps w:val="0"/>
          <w:color w:val="000000"/>
          <w:spacing w:val="0"/>
          <w:sz w:val="32"/>
          <w:szCs w:val="32"/>
          <w:shd w:val="clear" w:fill="FFFFFF"/>
        </w:rPr>
        <w:t>日。报告全文包括：2023</w:t>
      </w:r>
      <w:r>
        <w:rPr>
          <w:rFonts w:hint="eastAsia" w:ascii="仿宋" w:hAnsi="仿宋" w:eastAsia="仿宋" w:cs="仿宋"/>
          <w:i w:val="0"/>
          <w:iCs w:val="0"/>
          <w:caps w:val="0"/>
          <w:color w:val="000000"/>
          <w:spacing w:val="0"/>
          <w:sz w:val="32"/>
          <w:szCs w:val="32"/>
          <w:shd w:val="clear" w:fill="FFFFFF"/>
        </w:rPr>
        <w:t>年度总体情况、主动公开政府信息情况、收到和处理政府信息公开申请情况、政府信息公开行政复议行政诉讼情况、存在的主要问题和改进情况、其他需要报告的事项。如对本报告有任何疑问，请与舒城县</w:t>
      </w:r>
      <w:r>
        <w:rPr>
          <w:rFonts w:hint="eastAsia" w:ascii="仿宋" w:hAnsi="仿宋" w:eastAsia="仿宋" w:cs="仿宋"/>
          <w:i w:val="0"/>
          <w:iCs w:val="0"/>
          <w:caps w:val="0"/>
          <w:color w:val="000000"/>
          <w:spacing w:val="0"/>
          <w:sz w:val="32"/>
          <w:szCs w:val="32"/>
          <w:shd w:val="clear" w:fill="FFFFFF"/>
          <w:lang w:eastAsia="zh-CN"/>
        </w:rPr>
        <w:t>河棚镇</w:t>
      </w:r>
      <w:r>
        <w:rPr>
          <w:rFonts w:hint="eastAsia" w:ascii="仿宋" w:hAnsi="仿宋" w:eastAsia="仿宋" w:cs="仿宋"/>
          <w:i w:val="0"/>
          <w:iCs w:val="0"/>
          <w:caps w:val="0"/>
          <w:color w:val="000000"/>
          <w:spacing w:val="0"/>
          <w:sz w:val="32"/>
          <w:szCs w:val="32"/>
          <w:shd w:val="clear" w:fill="FFFFFF"/>
        </w:rPr>
        <w:t>政府</w:t>
      </w:r>
      <w:r>
        <w:rPr>
          <w:rFonts w:hint="eastAsia" w:ascii="仿宋" w:hAnsi="仿宋" w:eastAsia="仿宋" w:cs="仿宋"/>
          <w:i w:val="0"/>
          <w:iCs w:val="0"/>
          <w:caps w:val="0"/>
          <w:color w:val="000000"/>
          <w:spacing w:val="0"/>
          <w:sz w:val="32"/>
          <w:szCs w:val="32"/>
          <w:shd w:val="clear" w:fill="FFFFFF"/>
          <w:lang w:eastAsia="zh-CN"/>
        </w:rPr>
        <w:t>办公室</w:t>
      </w:r>
      <w:r>
        <w:rPr>
          <w:rFonts w:hint="eastAsia" w:ascii="仿宋" w:hAnsi="仿宋" w:eastAsia="仿宋" w:cs="仿宋"/>
          <w:i w:val="0"/>
          <w:iCs w:val="0"/>
          <w:caps w:val="0"/>
          <w:color w:val="000000"/>
          <w:spacing w:val="0"/>
          <w:sz w:val="32"/>
          <w:szCs w:val="32"/>
          <w:shd w:val="clear" w:fill="FFFFFF"/>
        </w:rPr>
        <w:t>联系（联系电话：0564-8</w:t>
      </w:r>
      <w:r>
        <w:rPr>
          <w:rFonts w:hint="eastAsia" w:ascii="仿宋" w:hAnsi="仿宋" w:eastAsia="仿宋" w:cs="仿宋"/>
          <w:i w:val="0"/>
          <w:iCs w:val="0"/>
          <w:caps w:val="0"/>
          <w:color w:val="000000"/>
          <w:spacing w:val="0"/>
          <w:sz w:val="32"/>
          <w:szCs w:val="32"/>
          <w:shd w:val="clear" w:fill="FFFFFF"/>
          <w:lang w:val="en-US" w:eastAsia="zh-CN"/>
        </w:rPr>
        <w:t>289222</w:t>
      </w:r>
      <w:r>
        <w:rPr>
          <w:rFonts w:hint="eastAsia" w:ascii="仿宋" w:hAnsi="仿宋" w:eastAsia="仿宋" w:cs="仿宋"/>
          <w:i w:val="0"/>
          <w:iCs w:val="0"/>
          <w:caps w:val="0"/>
          <w:color w:val="000000"/>
          <w:spacing w:val="0"/>
          <w:sz w:val="32"/>
          <w:szCs w:val="32"/>
          <w:shd w:val="clear" w:fill="FFFFFF"/>
        </w:rPr>
        <w:t>）。</w:t>
      </w:r>
    </w:p>
    <w:p>
      <w:pPr>
        <w:widowControl/>
        <w:numPr>
          <w:ilvl w:val="0"/>
          <w:numId w:val="1"/>
        </w:numPr>
        <w:shd w:val="clear" w:color="auto" w:fill="FFFFFF"/>
        <w:ind w:left="630" w:leftChars="0" w:firstLineChars="0"/>
        <w:rPr>
          <w:rFonts w:hint="eastAsia" w:ascii="黑体" w:hAnsi="黑体" w:eastAsia="黑体" w:cs="Calibri"/>
          <w:color w:val="333333"/>
          <w:kern w:val="0"/>
          <w:sz w:val="32"/>
          <w:szCs w:val="32"/>
          <w:shd w:val="clear" w:color="auto" w:fill="FFFFFF"/>
        </w:rPr>
      </w:pPr>
      <w:r>
        <w:rPr>
          <w:rFonts w:hint="eastAsia" w:ascii="黑体" w:hAnsi="黑体" w:eastAsia="黑体" w:cs="Calibri"/>
          <w:color w:val="333333"/>
          <w:kern w:val="0"/>
          <w:sz w:val="32"/>
          <w:szCs w:val="32"/>
          <w:shd w:val="clear" w:color="auto" w:fill="FFFFFF"/>
        </w:rPr>
        <w:t>总体情况</w:t>
      </w:r>
    </w:p>
    <w:p>
      <w:pPr>
        <w:widowControl/>
        <w:numPr>
          <w:ilvl w:val="0"/>
          <w:numId w:val="0"/>
        </w:numPr>
        <w:shd w:val="clear" w:color="auto" w:fill="FFFFFF"/>
        <w:ind w:firstLine="643" w:firstLineChars="200"/>
        <w:rPr>
          <w:rFonts w:hint="eastAsia" w:ascii="仿宋" w:hAnsi="仿宋" w:eastAsia="仿宋" w:cs="仿宋"/>
          <w:color w:val="333333"/>
          <w:kern w:val="0"/>
          <w:sz w:val="32"/>
          <w:szCs w:val="32"/>
          <w:shd w:val="clear" w:color="auto" w:fill="FFFFFF"/>
          <w:lang w:val="en-US" w:eastAsia="zh-CN"/>
        </w:rPr>
      </w:pPr>
      <w:r>
        <w:rPr>
          <w:rFonts w:hint="eastAsia" w:ascii="仿宋" w:hAnsi="仿宋" w:eastAsia="仿宋" w:cs="仿宋"/>
          <w:b/>
          <w:bCs/>
          <w:color w:val="333333"/>
          <w:kern w:val="0"/>
          <w:sz w:val="32"/>
          <w:szCs w:val="32"/>
          <w:shd w:val="clear" w:color="auto" w:fill="FFFFFF"/>
          <w:lang w:eastAsia="zh-CN"/>
        </w:rPr>
        <w:t>（一）</w:t>
      </w:r>
      <w:r>
        <w:rPr>
          <w:rFonts w:hint="eastAsia" w:ascii="仿宋" w:hAnsi="仿宋" w:eastAsia="仿宋" w:cs="仿宋"/>
          <w:b/>
          <w:bCs/>
          <w:color w:val="333333"/>
          <w:kern w:val="0"/>
          <w:sz w:val="32"/>
          <w:szCs w:val="32"/>
          <w:shd w:val="clear" w:color="auto" w:fill="FFFFFF"/>
        </w:rPr>
        <w:t>主动公开</w:t>
      </w:r>
      <w:r>
        <w:rPr>
          <w:rFonts w:hint="eastAsia" w:ascii="仿宋" w:hAnsi="仿宋" w:eastAsia="仿宋" w:cs="仿宋"/>
          <w:b/>
          <w:bCs/>
          <w:color w:val="333333"/>
          <w:kern w:val="0"/>
          <w:sz w:val="32"/>
          <w:szCs w:val="32"/>
          <w:shd w:val="clear" w:color="auto" w:fill="FFFFFF"/>
          <w:lang w:eastAsia="zh-CN"/>
        </w:rPr>
        <w:t>。</w:t>
      </w:r>
      <w:r>
        <w:rPr>
          <w:rFonts w:hint="eastAsia" w:ascii="仿宋" w:hAnsi="仿宋" w:eastAsia="仿宋" w:cs="仿宋"/>
          <w:color w:val="333333"/>
          <w:kern w:val="0"/>
          <w:sz w:val="32"/>
          <w:szCs w:val="32"/>
          <w:shd w:val="clear" w:color="auto" w:fill="FFFFFF"/>
        </w:rPr>
        <w:t>2023年度河棚镇政府主动梳理公开本单位信息</w:t>
      </w:r>
      <w:r>
        <w:rPr>
          <w:rFonts w:hint="eastAsia" w:ascii="仿宋" w:hAnsi="仿宋" w:eastAsia="仿宋" w:cs="仿宋"/>
          <w:color w:val="333333"/>
          <w:kern w:val="0"/>
          <w:sz w:val="32"/>
          <w:szCs w:val="32"/>
          <w:shd w:val="clear" w:color="auto" w:fill="FFFFFF"/>
          <w:lang w:val="en-US" w:eastAsia="zh-CN"/>
        </w:rPr>
        <w:t>1038</w:t>
      </w:r>
      <w:r>
        <w:rPr>
          <w:rFonts w:hint="eastAsia" w:ascii="仿宋" w:hAnsi="仿宋" w:eastAsia="仿宋" w:cs="仿宋"/>
          <w:color w:val="333333"/>
          <w:kern w:val="0"/>
          <w:sz w:val="32"/>
          <w:szCs w:val="32"/>
          <w:shd w:val="clear" w:color="auto" w:fill="FFFFFF"/>
        </w:rPr>
        <w:t>条，</w:t>
      </w:r>
      <w:r>
        <w:rPr>
          <w:rFonts w:hint="eastAsia" w:ascii="仿宋" w:hAnsi="仿宋" w:eastAsia="仿宋" w:cs="仿宋"/>
          <w:color w:val="333333"/>
          <w:kern w:val="0"/>
          <w:sz w:val="32"/>
          <w:szCs w:val="32"/>
          <w:shd w:val="clear" w:color="auto" w:fill="FFFFFF"/>
          <w:lang w:eastAsia="zh-CN"/>
        </w:rPr>
        <w:t>其中“两化”专题发布信息</w:t>
      </w:r>
      <w:r>
        <w:rPr>
          <w:rFonts w:hint="eastAsia" w:ascii="仿宋" w:hAnsi="仿宋" w:eastAsia="仿宋" w:cs="仿宋"/>
          <w:color w:val="333333"/>
          <w:kern w:val="0"/>
          <w:sz w:val="32"/>
          <w:szCs w:val="32"/>
          <w:shd w:val="clear" w:color="auto" w:fill="FFFFFF"/>
          <w:lang w:val="en-US" w:eastAsia="zh-CN"/>
        </w:rPr>
        <w:t>532条。</w:t>
      </w:r>
      <w:r>
        <w:rPr>
          <w:rFonts w:hint="eastAsia" w:ascii="仿宋" w:hAnsi="仿宋" w:eastAsia="仿宋" w:cs="仿宋"/>
          <w:i w:val="0"/>
          <w:iCs w:val="0"/>
          <w:caps w:val="0"/>
          <w:color w:val="000000"/>
          <w:spacing w:val="0"/>
          <w:sz w:val="32"/>
          <w:szCs w:val="32"/>
          <w:shd w:val="clear" w:fill="FFFFFF"/>
        </w:rPr>
        <w:t>强化民生领域信息公开，做好权责清单、行政权力运行结果等相关信息公开，不断跟进我镇重点项目进展，努力提高重点工作的透明度。认真贯彻落实政务信息公开工作部署，全面梳理各类信息，规范化、系统化公开政府信息。</w:t>
      </w:r>
      <w:r>
        <w:rPr>
          <w:rFonts w:hint="eastAsia" w:ascii="仿宋" w:hAnsi="仿宋" w:eastAsia="仿宋" w:cs="仿宋"/>
          <w:color w:val="333333"/>
          <w:kern w:val="0"/>
          <w:sz w:val="32"/>
          <w:szCs w:val="32"/>
          <w:shd w:val="clear" w:color="auto" w:fill="FFFFFF"/>
          <w:lang w:val="en-US" w:eastAsia="zh-CN"/>
        </w:rPr>
        <w:t>一是针对群众关注重点领域信息</w:t>
      </w:r>
      <w:r>
        <w:rPr>
          <w:rFonts w:hint="eastAsia" w:ascii="仿宋" w:hAnsi="仿宋" w:eastAsia="仿宋" w:cs="仿宋"/>
          <w:color w:val="333333"/>
          <w:kern w:val="0"/>
          <w:sz w:val="32"/>
          <w:szCs w:val="32"/>
          <w:shd w:val="clear" w:color="auto" w:fill="FFFFFF"/>
          <w:lang w:eastAsia="zh-CN"/>
        </w:rPr>
        <w:t>及时准确公开。其中</w:t>
      </w:r>
      <w:r>
        <w:rPr>
          <w:rFonts w:hint="eastAsia" w:ascii="仿宋" w:hAnsi="仿宋" w:eastAsia="仿宋" w:cs="仿宋"/>
          <w:color w:val="333333"/>
          <w:kern w:val="0"/>
          <w:sz w:val="32"/>
          <w:szCs w:val="32"/>
          <w:shd w:val="clear" w:color="auto" w:fill="FFFFFF"/>
        </w:rPr>
        <w:t>财政专项资金类</w:t>
      </w:r>
      <w:r>
        <w:rPr>
          <w:rFonts w:hint="eastAsia" w:ascii="仿宋" w:hAnsi="仿宋" w:eastAsia="仿宋" w:cs="仿宋"/>
          <w:color w:val="333333"/>
          <w:kern w:val="0"/>
          <w:sz w:val="32"/>
          <w:szCs w:val="32"/>
          <w:shd w:val="clear" w:color="auto" w:fill="FFFFFF"/>
          <w:lang w:eastAsia="zh-CN"/>
        </w:rPr>
        <w:t>公开</w:t>
      </w:r>
      <w:r>
        <w:rPr>
          <w:rFonts w:hint="eastAsia" w:ascii="仿宋" w:hAnsi="仿宋" w:eastAsia="仿宋" w:cs="仿宋"/>
          <w:color w:val="333333"/>
          <w:kern w:val="0"/>
          <w:sz w:val="32"/>
          <w:szCs w:val="32"/>
          <w:shd w:val="clear" w:color="auto" w:fill="FFFFFF"/>
        </w:rPr>
        <w:t>166</w:t>
      </w:r>
      <w:r>
        <w:rPr>
          <w:rFonts w:hint="eastAsia" w:ascii="仿宋" w:hAnsi="仿宋" w:eastAsia="仿宋" w:cs="仿宋"/>
          <w:color w:val="333333"/>
          <w:kern w:val="0"/>
          <w:sz w:val="32"/>
          <w:szCs w:val="32"/>
          <w:shd w:val="clear" w:color="auto" w:fill="FFFFFF"/>
          <w:lang w:eastAsia="zh-CN"/>
        </w:rPr>
        <w:t>条，</w:t>
      </w:r>
      <w:r>
        <w:rPr>
          <w:rFonts w:hint="eastAsia" w:ascii="仿宋" w:hAnsi="仿宋" w:eastAsia="仿宋" w:cs="仿宋"/>
          <w:color w:val="333333"/>
          <w:kern w:val="0"/>
          <w:sz w:val="32"/>
          <w:szCs w:val="32"/>
          <w:shd w:val="clear" w:color="auto" w:fill="FFFFFF"/>
        </w:rPr>
        <w:t>财政资金管理和使用情况</w:t>
      </w:r>
      <w:r>
        <w:rPr>
          <w:rFonts w:hint="eastAsia" w:ascii="仿宋" w:hAnsi="仿宋" w:eastAsia="仿宋" w:cs="仿宋"/>
          <w:color w:val="333333"/>
          <w:kern w:val="0"/>
          <w:sz w:val="32"/>
          <w:szCs w:val="32"/>
          <w:shd w:val="clear" w:color="auto" w:fill="FFFFFF"/>
          <w:lang w:eastAsia="zh-CN"/>
        </w:rPr>
        <w:t>公开</w:t>
      </w:r>
      <w:r>
        <w:rPr>
          <w:rFonts w:hint="eastAsia" w:ascii="仿宋" w:hAnsi="仿宋" w:eastAsia="仿宋" w:cs="仿宋"/>
          <w:color w:val="333333"/>
          <w:kern w:val="0"/>
          <w:sz w:val="32"/>
          <w:szCs w:val="32"/>
          <w:shd w:val="clear" w:color="auto" w:fill="FFFFFF"/>
        </w:rPr>
        <w:t>165</w:t>
      </w:r>
      <w:r>
        <w:rPr>
          <w:rFonts w:hint="eastAsia" w:ascii="仿宋" w:hAnsi="仿宋" w:eastAsia="仿宋" w:cs="仿宋"/>
          <w:color w:val="333333"/>
          <w:kern w:val="0"/>
          <w:sz w:val="32"/>
          <w:szCs w:val="32"/>
          <w:shd w:val="clear" w:color="auto" w:fill="FFFFFF"/>
          <w:lang w:eastAsia="zh-CN"/>
        </w:rPr>
        <w:t>条，</w:t>
      </w:r>
      <w:r>
        <w:rPr>
          <w:rFonts w:hint="eastAsia" w:ascii="仿宋" w:hAnsi="仿宋" w:eastAsia="仿宋" w:cs="仿宋"/>
          <w:color w:val="333333"/>
          <w:kern w:val="0"/>
          <w:sz w:val="32"/>
          <w:szCs w:val="32"/>
          <w:shd w:val="clear" w:color="auto" w:fill="FFFFFF"/>
        </w:rPr>
        <w:t>应急管理领域</w:t>
      </w:r>
      <w:r>
        <w:rPr>
          <w:rFonts w:hint="eastAsia" w:ascii="仿宋" w:hAnsi="仿宋" w:eastAsia="仿宋" w:cs="仿宋"/>
          <w:color w:val="333333"/>
          <w:kern w:val="0"/>
          <w:sz w:val="32"/>
          <w:szCs w:val="32"/>
          <w:shd w:val="clear" w:color="auto" w:fill="FFFFFF"/>
          <w:lang w:eastAsia="zh-CN"/>
        </w:rPr>
        <w:t>公开</w:t>
      </w:r>
      <w:r>
        <w:rPr>
          <w:rFonts w:hint="eastAsia" w:ascii="仿宋" w:hAnsi="仿宋" w:eastAsia="仿宋" w:cs="仿宋"/>
          <w:color w:val="333333"/>
          <w:kern w:val="0"/>
          <w:sz w:val="32"/>
          <w:szCs w:val="32"/>
          <w:shd w:val="clear" w:color="auto" w:fill="FFFFFF"/>
        </w:rPr>
        <w:t>37</w:t>
      </w:r>
      <w:r>
        <w:rPr>
          <w:rFonts w:hint="eastAsia" w:ascii="仿宋" w:hAnsi="仿宋" w:eastAsia="仿宋" w:cs="仿宋"/>
          <w:color w:val="333333"/>
          <w:kern w:val="0"/>
          <w:sz w:val="32"/>
          <w:szCs w:val="32"/>
          <w:shd w:val="clear" w:color="auto" w:fill="FFFFFF"/>
          <w:lang w:eastAsia="zh-CN"/>
        </w:rPr>
        <w:t>条，</w:t>
      </w:r>
      <w:r>
        <w:rPr>
          <w:rFonts w:hint="eastAsia" w:ascii="仿宋" w:hAnsi="仿宋" w:eastAsia="仿宋" w:cs="仿宋"/>
          <w:color w:val="333333"/>
          <w:kern w:val="0"/>
          <w:sz w:val="32"/>
          <w:szCs w:val="32"/>
          <w:shd w:val="clear" w:color="auto" w:fill="FFFFFF"/>
        </w:rPr>
        <w:t>回应关切</w:t>
      </w:r>
      <w:r>
        <w:rPr>
          <w:rFonts w:hint="eastAsia" w:ascii="仿宋" w:hAnsi="仿宋" w:eastAsia="仿宋" w:cs="仿宋"/>
          <w:color w:val="333333"/>
          <w:kern w:val="0"/>
          <w:sz w:val="32"/>
          <w:szCs w:val="32"/>
          <w:shd w:val="clear" w:color="auto" w:fill="FFFFFF"/>
          <w:lang w:eastAsia="zh-CN"/>
        </w:rPr>
        <w:t>类公开</w:t>
      </w:r>
      <w:r>
        <w:rPr>
          <w:rFonts w:hint="eastAsia" w:ascii="仿宋" w:hAnsi="仿宋" w:eastAsia="仿宋" w:cs="仿宋"/>
          <w:color w:val="333333"/>
          <w:kern w:val="0"/>
          <w:sz w:val="32"/>
          <w:szCs w:val="32"/>
          <w:shd w:val="clear" w:color="auto" w:fill="FFFFFF"/>
        </w:rPr>
        <w:t>20</w:t>
      </w:r>
      <w:r>
        <w:rPr>
          <w:rFonts w:hint="eastAsia" w:ascii="仿宋" w:hAnsi="仿宋" w:eastAsia="仿宋" w:cs="仿宋"/>
          <w:color w:val="333333"/>
          <w:kern w:val="0"/>
          <w:sz w:val="32"/>
          <w:szCs w:val="32"/>
          <w:shd w:val="clear" w:color="auto" w:fill="FFFFFF"/>
          <w:lang w:eastAsia="zh-CN"/>
        </w:rPr>
        <w:t>条。</w:t>
      </w:r>
      <w:r>
        <w:rPr>
          <w:rFonts w:hint="eastAsia" w:ascii="仿宋" w:hAnsi="仿宋" w:eastAsia="仿宋" w:cs="仿宋"/>
          <w:color w:val="333333"/>
          <w:kern w:val="0"/>
          <w:sz w:val="32"/>
          <w:szCs w:val="32"/>
          <w:shd w:val="clear" w:color="auto" w:fill="FFFFFF"/>
          <w:lang w:val="en-US" w:eastAsia="zh-CN"/>
        </w:rPr>
        <w:t>二是深化“两化”专题政务公开。按照省级最新两化标准目录指引，根据县政府办相关要求，常态化做好日常信息更新。</w:t>
      </w:r>
      <w:r>
        <w:rPr>
          <w:rFonts w:hint="eastAsia" w:ascii="仿宋" w:hAnsi="仿宋" w:eastAsia="仿宋" w:cs="仿宋"/>
          <w:i w:val="0"/>
          <w:iCs w:val="0"/>
          <w:caps w:val="0"/>
          <w:color w:val="000000"/>
          <w:spacing w:val="0"/>
          <w:sz w:val="32"/>
          <w:szCs w:val="32"/>
          <w:shd w:val="clear" w:fill="FFFFFF"/>
          <w:lang w:eastAsia="zh-CN"/>
        </w:rPr>
        <w:t>三</w:t>
      </w:r>
      <w:r>
        <w:rPr>
          <w:rFonts w:hint="eastAsia" w:ascii="仿宋" w:hAnsi="仿宋" w:eastAsia="仿宋" w:cs="仿宋"/>
          <w:i w:val="0"/>
          <w:iCs w:val="0"/>
          <w:caps w:val="0"/>
          <w:color w:val="000000"/>
          <w:spacing w:val="0"/>
          <w:sz w:val="32"/>
          <w:szCs w:val="32"/>
          <w:shd w:val="clear" w:fill="FFFFFF"/>
        </w:rPr>
        <w:t>是</w:t>
      </w:r>
      <w:r>
        <w:rPr>
          <w:rFonts w:hint="eastAsia" w:ascii="仿宋" w:hAnsi="仿宋" w:eastAsia="仿宋" w:cs="仿宋"/>
          <w:i w:val="0"/>
          <w:iCs w:val="0"/>
          <w:caps w:val="0"/>
          <w:color w:val="000000"/>
          <w:spacing w:val="0"/>
          <w:sz w:val="32"/>
          <w:szCs w:val="32"/>
          <w:shd w:val="clear" w:fill="FFFFFF"/>
        </w:rPr>
        <w:t>优化政策咨询服务。</w:t>
      </w:r>
      <w:r>
        <w:rPr>
          <w:rFonts w:hint="eastAsia" w:ascii="仿宋" w:hAnsi="仿宋" w:eastAsia="仿宋" w:cs="仿宋"/>
          <w:i w:val="0"/>
          <w:iCs w:val="0"/>
          <w:caps w:val="0"/>
          <w:color w:val="000000"/>
          <w:spacing w:val="0"/>
          <w:sz w:val="32"/>
          <w:szCs w:val="32"/>
          <w:shd w:val="clear" w:fill="FFFFFF"/>
          <w:lang w:eastAsia="zh-CN"/>
        </w:rPr>
        <w:t>充分利用镇</w:t>
      </w:r>
      <w:r>
        <w:rPr>
          <w:rFonts w:hint="eastAsia" w:ascii="仿宋" w:hAnsi="仿宋" w:eastAsia="仿宋" w:cs="仿宋"/>
          <w:i w:val="0"/>
          <w:iCs w:val="0"/>
          <w:caps w:val="0"/>
          <w:color w:val="000000"/>
          <w:spacing w:val="0"/>
          <w:sz w:val="32"/>
          <w:szCs w:val="32"/>
          <w:shd w:val="clear" w:fill="FFFFFF"/>
        </w:rPr>
        <w:t>政府网站、</w:t>
      </w:r>
      <w:r>
        <w:rPr>
          <w:rFonts w:hint="eastAsia" w:ascii="仿宋" w:hAnsi="仿宋" w:eastAsia="仿宋" w:cs="仿宋"/>
          <w:i w:val="0"/>
          <w:iCs w:val="0"/>
          <w:caps w:val="0"/>
          <w:color w:val="000000"/>
          <w:spacing w:val="0"/>
          <w:sz w:val="32"/>
          <w:szCs w:val="32"/>
          <w:shd w:val="clear" w:fill="FFFFFF"/>
          <w:lang w:eastAsia="zh-CN"/>
        </w:rPr>
        <w:t>镇政府</w:t>
      </w:r>
      <w:r>
        <w:rPr>
          <w:rFonts w:hint="eastAsia" w:ascii="仿宋" w:hAnsi="仿宋" w:eastAsia="仿宋" w:cs="仿宋"/>
          <w:i w:val="0"/>
          <w:iCs w:val="0"/>
          <w:caps w:val="0"/>
          <w:color w:val="000000"/>
          <w:spacing w:val="0"/>
          <w:sz w:val="32"/>
          <w:szCs w:val="32"/>
          <w:shd w:val="clear" w:fill="FFFFFF"/>
        </w:rPr>
        <w:t>政务公开专区、政务服务大厅等渠道，积极做好</w:t>
      </w:r>
      <w:r>
        <w:rPr>
          <w:rFonts w:hint="eastAsia" w:ascii="仿宋" w:hAnsi="仿宋" w:eastAsia="仿宋" w:cs="仿宋"/>
          <w:i w:val="0"/>
          <w:iCs w:val="0"/>
          <w:caps w:val="0"/>
          <w:color w:val="000000"/>
          <w:spacing w:val="0"/>
          <w:sz w:val="32"/>
          <w:szCs w:val="32"/>
          <w:shd w:val="clear" w:fill="FFFFFF"/>
          <w:lang w:eastAsia="zh-CN"/>
        </w:rPr>
        <w:t>政策</w:t>
      </w:r>
      <w:r>
        <w:rPr>
          <w:rFonts w:hint="eastAsia" w:ascii="仿宋" w:hAnsi="仿宋" w:eastAsia="仿宋" w:cs="仿宋"/>
          <w:i w:val="0"/>
          <w:iCs w:val="0"/>
          <w:caps w:val="0"/>
          <w:color w:val="000000"/>
          <w:spacing w:val="0"/>
          <w:sz w:val="32"/>
          <w:szCs w:val="32"/>
          <w:shd w:val="clear" w:fill="FFFFFF"/>
        </w:rPr>
        <w:t>咨询解答工作</w:t>
      </w:r>
      <w:r>
        <w:rPr>
          <w:rFonts w:hint="eastAsia" w:ascii="仿宋" w:hAnsi="仿宋" w:eastAsia="仿宋" w:cs="仿宋"/>
          <w:i w:val="0"/>
          <w:iCs w:val="0"/>
          <w:caps w:val="0"/>
          <w:color w:val="000000"/>
          <w:spacing w:val="0"/>
          <w:sz w:val="32"/>
          <w:szCs w:val="32"/>
          <w:shd w:val="clear" w:fill="FFFFFF"/>
          <w:lang w:eastAsia="zh-CN"/>
        </w:rPr>
        <w:t>。四</w:t>
      </w:r>
      <w:r>
        <w:rPr>
          <w:rFonts w:hint="eastAsia" w:ascii="仿宋" w:hAnsi="仿宋" w:eastAsia="仿宋" w:cs="仿宋"/>
          <w:i w:val="0"/>
          <w:iCs w:val="0"/>
          <w:caps w:val="0"/>
          <w:color w:val="000000"/>
          <w:spacing w:val="0"/>
          <w:sz w:val="32"/>
          <w:szCs w:val="32"/>
          <w:shd w:val="clear" w:fill="FFFFFF"/>
        </w:rPr>
        <w:t>是深化基层政务公开。对</w:t>
      </w:r>
      <w:r>
        <w:rPr>
          <w:rFonts w:hint="eastAsia" w:ascii="仿宋" w:hAnsi="仿宋" w:eastAsia="仿宋" w:cs="仿宋"/>
          <w:i w:val="0"/>
          <w:iCs w:val="0"/>
          <w:caps w:val="0"/>
          <w:color w:val="000000"/>
          <w:spacing w:val="0"/>
          <w:sz w:val="32"/>
          <w:szCs w:val="32"/>
          <w:shd w:val="clear" w:fill="FFFFFF"/>
          <w:lang w:eastAsia="zh-CN"/>
        </w:rPr>
        <w:t>各</w:t>
      </w:r>
      <w:r>
        <w:rPr>
          <w:rFonts w:hint="eastAsia" w:ascii="仿宋" w:hAnsi="仿宋" w:eastAsia="仿宋" w:cs="仿宋"/>
          <w:i w:val="0"/>
          <w:iCs w:val="0"/>
          <w:caps w:val="0"/>
          <w:color w:val="000000"/>
          <w:spacing w:val="0"/>
          <w:sz w:val="32"/>
          <w:szCs w:val="32"/>
          <w:shd w:val="clear" w:fill="FFFFFF"/>
        </w:rPr>
        <w:t>村（街）政务公开业务经办人员进行集体培训，对标、对表进行村（街）各项便民服务和公开内容有机融合。</w:t>
      </w:r>
    </w:p>
    <w:p>
      <w:pPr>
        <w:widowControl/>
        <w:shd w:val="clear" w:color="auto" w:fill="FFFFFF"/>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color w:val="333333"/>
          <w:kern w:val="0"/>
          <w:sz w:val="32"/>
          <w:szCs w:val="32"/>
          <w:shd w:val="clear" w:color="auto" w:fill="FFFFFF"/>
        </w:rPr>
        <w:t>   </w:t>
      </w:r>
      <w:r>
        <w:rPr>
          <w:rFonts w:hint="eastAsia" w:ascii="仿宋" w:hAnsi="仿宋" w:eastAsia="仿宋" w:cs="仿宋"/>
          <w:color w:val="333333"/>
          <w:kern w:val="0"/>
          <w:sz w:val="32"/>
          <w:szCs w:val="32"/>
          <w:shd w:val="clear" w:color="auto" w:fill="FFFFFF"/>
          <w:lang w:val="en-US" w:eastAsia="zh-CN"/>
        </w:rPr>
        <w:t xml:space="preserve"> </w:t>
      </w:r>
      <w:r>
        <w:rPr>
          <w:rFonts w:hint="eastAsia" w:ascii="仿宋" w:hAnsi="仿宋" w:eastAsia="仿宋" w:cs="仿宋"/>
          <w:b/>
          <w:bCs/>
          <w:color w:val="333333"/>
          <w:kern w:val="0"/>
          <w:sz w:val="32"/>
          <w:szCs w:val="32"/>
          <w:shd w:val="clear" w:color="auto" w:fill="FFFFFF"/>
        </w:rPr>
        <w:t>（二）依申请公开</w:t>
      </w:r>
      <w:r>
        <w:rPr>
          <w:rFonts w:hint="eastAsia" w:ascii="仿宋" w:hAnsi="仿宋" w:eastAsia="仿宋" w:cs="仿宋"/>
          <w:b/>
          <w:bCs/>
          <w:color w:val="333333"/>
          <w:kern w:val="0"/>
          <w:sz w:val="32"/>
          <w:szCs w:val="32"/>
          <w:shd w:val="clear" w:color="auto" w:fill="FFFFFF"/>
          <w:lang w:eastAsia="zh-CN"/>
        </w:rPr>
        <w:t>。</w:t>
      </w:r>
      <w:r>
        <w:rPr>
          <w:rFonts w:hint="eastAsia" w:ascii="仿宋" w:hAnsi="仿宋" w:eastAsia="仿宋" w:cs="仿宋"/>
          <w:i w:val="0"/>
          <w:iCs w:val="0"/>
          <w:caps w:val="0"/>
          <w:color w:val="000000"/>
          <w:spacing w:val="0"/>
          <w:sz w:val="32"/>
          <w:szCs w:val="32"/>
          <w:shd w:val="clear" w:fill="FFFFFF"/>
        </w:rPr>
        <w:t>我镇完善和规范依申请公开指南、流程及答复公文的格式，严格按照依申请公开流程执行。</w:t>
      </w:r>
      <w:r>
        <w:rPr>
          <w:rFonts w:hint="eastAsia" w:ascii="仿宋" w:hAnsi="仿宋" w:eastAsia="仿宋" w:cs="仿宋"/>
          <w:i w:val="0"/>
          <w:iCs w:val="0"/>
          <w:caps w:val="0"/>
          <w:color w:val="000000"/>
          <w:spacing w:val="0"/>
          <w:sz w:val="32"/>
          <w:szCs w:val="32"/>
          <w:shd w:val="clear" w:fill="FFFFFF"/>
          <w:lang w:eastAsia="zh-CN"/>
        </w:rPr>
        <w:t>2023年度，我镇未收到政府信息公开申请。</w:t>
      </w:r>
    </w:p>
    <w:p>
      <w:pPr>
        <w:widowControl/>
        <w:numPr>
          <w:ilvl w:val="0"/>
          <w:numId w:val="2"/>
        </w:numPr>
        <w:shd w:val="clear" w:color="auto" w:fill="FFFFFF"/>
        <w:ind w:firstLine="643" w:firstLineChars="200"/>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b/>
          <w:bCs/>
          <w:color w:val="333333"/>
          <w:kern w:val="0"/>
          <w:sz w:val="32"/>
          <w:szCs w:val="32"/>
          <w:shd w:val="clear" w:color="auto" w:fill="FFFFFF"/>
        </w:rPr>
        <w:t>政府信息管理</w:t>
      </w:r>
      <w:r>
        <w:rPr>
          <w:rFonts w:hint="eastAsia" w:ascii="仿宋" w:hAnsi="仿宋" w:eastAsia="仿宋" w:cs="仿宋"/>
          <w:b/>
          <w:bCs/>
          <w:color w:val="333333"/>
          <w:kern w:val="0"/>
          <w:sz w:val="32"/>
          <w:szCs w:val="32"/>
          <w:shd w:val="clear" w:color="auto" w:fill="FFFFFF"/>
          <w:lang w:eastAsia="zh-CN"/>
        </w:rPr>
        <w:t>。</w:t>
      </w:r>
      <w:r>
        <w:rPr>
          <w:rFonts w:hint="eastAsia" w:ascii="仿宋" w:hAnsi="仿宋" w:eastAsia="仿宋" w:cs="仿宋"/>
          <w:i w:val="0"/>
          <w:iCs w:val="0"/>
          <w:caps w:val="0"/>
          <w:color w:val="000000"/>
          <w:spacing w:val="0"/>
          <w:sz w:val="32"/>
          <w:szCs w:val="32"/>
          <w:shd w:val="clear" w:fill="FFFFFF"/>
          <w:lang w:eastAsia="zh-CN"/>
        </w:rPr>
        <w:t>明确专人负责信息公开工作，严格按照乡镇主动公开基本目录要求和公开时限，严格执行信息采编发布审核制度、信息保密审查制度等管理制度，保证及时公开信息，不上传涉密信息，使政府信息公开网站的管理更加规范化、制度化，确保信息公开规范有序运行。同时做好涉及个人隐私的政府信息发布工作，依法保护公民个人隐私，另外根据要求避免出现严重表述性错误和敏感信息。</w:t>
      </w:r>
    </w:p>
    <w:p>
      <w:pPr>
        <w:widowControl/>
        <w:numPr>
          <w:ilvl w:val="0"/>
          <w:numId w:val="0"/>
        </w:numPr>
        <w:shd w:val="clear" w:color="auto" w:fill="FFFFFF"/>
        <w:ind w:firstLine="643" w:firstLineChars="200"/>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b/>
          <w:bCs/>
          <w:i w:val="0"/>
          <w:iCs w:val="0"/>
          <w:caps w:val="0"/>
          <w:color w:val="000000"/>
          <w:spacing w:val="0"/>
          <w:sz w:val="32"/>
          <w:szCs w:val="32"/>
          <w:shd w:val="clear" w:fill="FFFFFF"/>
          <w:lang w:eastAsia="zh-CN"/>
        </w:rPr>
        <w:t>（四）政府信息公开平台建设。</w:t>
      </w:r>
      <w:r>
        <w:rPr>
          <w:rFonts w:hint="eastAsia" w:ascii="仿宋" w:hAnsi="仿宋" w:eastAsia="仿宋" w:cs="仿宋"/>
          <w:i w:val="0"/>
          <w:iCs w:val="0"/>
          <w:caps w:val="0"/>
          <w:color w:val="000000"/>
          <w:spacing w:val="0"/>
          <w:sz w:val="32"/>
          <w:szCs w:val="32"/>
          <w:shd w:val="clear" w:fill="FFFFFF"/>
          <w:lang w:eastAsia="zh-CN"/>
        </w:rPr>
        <w:t>依托舒城县人民政府网站进一步加强和规范政府信息公开网站的管理，健全完善河棚镇政府信息公开专栏。搭建政务公开专区，深化基层政务公开，切实补短板、堵漏洞、强弱项，全力打造优质政务公开环境。</w:t>
      </w:r>
    </w:p>
    <w:p>
      <w:pPr>
        <w:widowControl/>
        <w:shd w:val="clear" w:color="auto" w:fill="FFFFFF"/>
        <w:ind w:firstLine="643" w:firstLineChars="200"/>
        <w:rPr>
          <w:rFonts w:hint="eastAsia" w:ascii="仿宋" w:hAnsi="仿宋" w:eastAsia="仿宋" w:cs="仿宋"/>
          <w:i w:val="0"/>
          <w:iCs w:val="0"/>
          <w:caps w:val="0"/>
          <w:color w:val="333333"/>
          <w:spacing w:val="0"/>
          <w:sz w:val="32"/>
          <w:szCs w:val="32"/>
          <w:highlight w:val="yellow"/>
          <w:shd w:val="clear" w:fill="FFFFFF"/>
        </w:rPr>
      </w:pPr>
      <w:r>
        <w:rPr>
          <w:rFonts w:hint="eastAsia" w:ascii="仿宋" w:hAnsi="仿宋" w:eastAsia="仿宋" w:cs="仿宋"/>
          <w:b/>
          <w:bCs/>
          <w:color w:val="333333"/>
          <w:kern w:val="0"/>
          <w:sz w:val="32"/>
          <w:szCs w:val="32"/>
          <w:highlight w:val="none"/>
          <w:shd w:val="clear" w:color="auto" w:fill="FFFFFF"/>
        </w:rPr>
        <w:t>（五）监督保障</w:t>
      </w:r>
      <w:r>
        <w:rPr>
          <w:rFonts w:hint="eastAsia" w:ascii="仿宋" w:hAnsi="仿宋" w:eastAsia="仿宋" w:cs="仿宋"/>
          <w:b/>
          <w:bCs/>
          <w:color w:val="333333"/>
          <w:kern w:val="0"/>
          <w:sz w:val="32"/>
          <w:szCs w:val="32"/>
          <w:highlight w:val="none"/>
          <w:shd w:val="clear" w:color="auto" w:fill="FFFFFF"/>
          <w:lang w:eastAsia="zh-CN"/>
        </w:rPr>
        <w:t>。</w:t>
      </w:r>
      <w:r>
        <w:rPr>
          <w:rFonts w:hint="eastAsia" w:ascii="仿宋" w:hAnsi="仿宋" w:eastAsia="仿宋" w:cs="仿宋"/>
          <w:i w:val="0"/>
          <w:iCs w:val="0"/>
          <w:caps w:val="0"/>
          <w:color w:val="000000"/>
          <w:spacing w:val="0"/>
          <w:sz w:val="32"/>
          <w:szCs w:val="32"/>
          <w:shd w:val="clear" w:fill="FFFFFF"/>
          <w:lang w:eastAsia="zh-CN"/>
        </w:rPr>
        <w:t>我镇</w:t>
      </w:r>
      <w:r>
        <w:rPr>
          <w:rFonts w:hint="eastAsia" w:ascii="仿宋" w:hAnsi="仿宋" w:eastAsia="仿宋" w:cs="仿宋"/>
          <w:i w:val="0"/>
          <w:iCs w:val="0"/>
          <w:caps w:val="0"/>
          <w:color w:val="000000"/>
          <w:spacing w:val="0"/>
          <w:sz w:val="32"/>
          <w:szCs w:val="32"/>
          <w:shd w:val="clear" w:fill="FFFFFF"/>
        </w:rPr>
        <w:t>认真梳理整改市、县两级测评结果，按县公开办要求公开整改清单和整改报告到监督保障栏目，确保整改落实到位。</w:t>
      </w:r>
      <w:r>
        <w:rPr>
          <w:rFonts w:hint="eastAsia" w:ascii="仿宋" w:hAnsi="仿宋" w:eastAsia="仿宋" w:cs="仿宋"/>
          <w:i w:val="0"/>
          <w:iCs w:val="0"/>
          <w:caps w:val="0"/>
          <w:color w:val="000000"/>
          <w:spacing w:val="0"/>
          <w:sz w:val="32"/>
          <w:szCs w:val="32"/>
          <w:shd w:val="clear" w:fill="FFFFFF"/>
        </w:rPr>
        <w:t>积极开展社会评议工作，完善投诉机制，设立意见箱、意见簿，接受群众对政务公开信息问题反映，规范办理流程，提高办结质量；建立政务公开考评机制，纳入年度乡镇站所考核。对村（街）线下公开进行常态化督察，考评结果纳入年度考核。2023年度，我</w:t>
      </w:r>
      <w:r>
        <w:rPr>
          <w:rFonts w:hint="eastAsia" w:ascii="仿宋" w:hAnsi="仿宋" w:eastAsia="仿宋" w:cs="仿宋"/>
          <w:i w:val="0"/>
          <w:iCs w:val="0"/>
          <w:caps w:val="0"/>
          <w:color w:val="000000"/>
          <w:spacing w:val="0"/>
          <w:sz w:val="32"/>
          <w:szCs w:val="32"/>
          <w:shd w:val="clear" w:fill="FFFFFF"/>
          <w:lang w:eastAsia="zh-CN"/>
        </w:rPr>
        <w:t>镇</w:t>
      </w:r>
      <w:r>
        <w:rPr>
          <w:rFonts w:hint="eastAsia" w:ascii="仿宋" w:hAnsi="仿宋" w:eastAsia="仿宋" w:cs="仿宋"/>
          <w:i w:val="0"/>
          <w:iCs w:val="0"/>
          <w:caps w:val="0"/>
          <w:color w:val="000000"/>
          <w:spacing w:val="0"/>
          <w:sz w:val="32"/>
          <w:szCs w:val="32"/>
          <w:shd w:val="clear" w:fill="FFFFFF"/>
        </w:rPr>
        <w:t>未产生因政务公开不到位需要进行责任追究的情况。</w:t>
      </w:r>
    </w:p>
    <w:p>
      <w:pPr>
        <w:widowControl/>
        <w:shd w:val="clear" w:color="auto" w:fill="FFFFFF"/>
        <w:ind w:firstLine="640" w:firstLineChars="200"/>
        <w:rPr>
          <w:rFonts w:ascii="Calibri" w:hAnsi="Calibri" w:eastAsia="宋体" w:cs="Calibri"/>
          <w:color w:val="333333"/>
          <w:kern w:val="0"/>
          <w:sz w:val="24"/>
          <w:szCs w:val="24"/>
        </w:rPr>
      </w:pPr>
      <w:r>
        <w:rPr>
          <w:rFonts w:hint="eastAsia" w:ascii="黑体" w:hAnsi="黑体" w:eastAsia="黑体" w:cs="Calibri"/>
          <w:color w:val="333333"/>
          <w:kern w:val="0"/>
          <w:sz w:val="32"/>
          <w:szCs w:val="32"/>
          <w:shd w:val="clear" w:color="auto" w:fill="FFFFFF"/>
        </w:rPr>
        <w:t>二、主动公开政府信息情况</w:t>
      </w:r>
    </w:p>
    <w:tbl>
      <w:tblPr>
        <w:tblStyle w:val="3"/>
        <w:tblW w:w="9740" w:type="dxa"/>
        <w:jc w:val="center"/>
        <w:tblLayout w:type="autofit"/>
        <w:tblCellMar>
          <w:top w:w="15" w:type="dxa"/>
          <w:left w:w="15" w:type="dxa"/>
          <w:bottom w:w="15" w:type="dxa"/>
          <w:right w:w="15" w:type="dxa"/>
        </w:tblCellMar>
      </w:tblPr>
      <w:tblGrid>
        <w:gridCol w:w="2435"/>
        <w:gridCol w:w="2435"/>
        <w:gridCol w:w="2435"/>
        <w:gridCol w:w="2435"/>
      </w:tblGrid>
      <w:tr>
        <w:tblPrEx>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宋体" w:hAnsi="宋体" w:eastAsia="宋体" w:cs="Calibri"/>
                <w:color w:val="000000"/>
                <w:kern w:val="0"/>
                <w:sz w:val="20"/>
                <w:szCs w:val="20"/>
              </w:rPr>
              <w:t>第二十条第（一）项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宋体" w:hAnsi="宋体" w:eastAsia="宋体" w:cs="Calibri"/>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宋体" w:hAnsi="宋体" w:eastAsia="宋体" w:cs="Calibri"/>
                <w:color w:val="000000"/>
                <w:kern w:val="0"/>
                <w:sz w:val="20"/>
                <w:szCs w:val="20"/>
              </w:rPr>
              <w:t>本年</w:t>
            </w:r>
            <w:r>
              <w:rPr>
                <w:rFonts w:hint="eastAsia" w:ascii="宋体" w:hAnsi="宋体" w:eastAsia="宋体" w:cs="Calibri"/>
                <w:kern w:val="0"/>
                <w:sz w:val="20"/>
                <w:szCs w:val="20"/>
              </w:rPr>
              <w:t>制发件数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宋体" w:hAnsi="宋体" w:eastAsia="宋体" w:cs="Calibri"/>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宋体" w:hAnsi="宋体" w:eastAsia="宋体" w:cs="Calibri"/>
                <w:color w:val="000000"/>
                <w:kern w:val="0"/>
                <w:sz w:val="20"/>
                <w:szCs w:val="20"/>
              </w:rPr>
              <w:t>现行有效件</w:t>
            </w:r>
            <w:r>
              <w:rPr>
                <w:rFonts w:hint="eastAsia" w:ascii="宋体" w:hAnsi="宋体" w:eastAsia="宋体" w:cs="Calibri"/>
                <w:kern w:val="0"/>
                <w:sz w:val="20"/>
                <w:szCs w:val="20"/>
              </w:rPr>
              <w:t>数</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wordWrap w:val="0"/>
              <w:jc w:val="left"/>
              <w:rPr>
                <w:rFonts w:ascii="Calibri" w:hAnsi="Calibri" w:eastAsia="宋体" w:cs="Calibri"/>
                <w:kern w:val="0"/>
                <w:szCs w:val="21"/>
              </w:rPr>
            </w:pPr>
            <w:r>
              <w:rPr>
                <w:rFonts w:hint="eastAsia" w:ascii="宋体" w:hAnsi="宋体" w:eastAsia="宋体" w:cs="Calibri"/>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wordWrap w:val="0"/>
              <w:jc w:val="left"/>
              <w:rPr>
                <w:rFonts w:ascii="Calibri" w:hAnsi="Calibri" w:eastAsia="宋体" w:cs="Calibri"/>
                <w:kern w:val="0"/>
                <w:szCs w:val="21"/>
              </w:rPr>
            </w:pPr>
            <w:r>
              <w:rPr>
                <w:rFonts w:hint="eastAsia" w:ascii="宋体" w:hAnsi="宋体" w:eastAsia="宋体" w:cs="Calibri"/>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ascii="Calibri" w:hAnsi="Calibri" w:eastAsia="宋体" w:cs="Calibri"/>
                <w:kern w:val="0"/>
                <w:szCs w:val="21"/>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ascii="Calibri" w:hAnsi="Calibri" w:eastAsia="宋体" w:cs="Calibri"/>
                <w:kern w:val="0"/>
                <w:szCs w:val="21"/>
              </w:rPr>
              <w:t>0</w:t>
            </w:r>
          </w:p>
        </w:tc>
      </w:tr>
      <w:tr>
        <w:tblPrEx>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宋体" w:hAnsi="宋体" w:eastAsia="宋体" w:cs="Calibri"/>
                <w:color w:val="000000"/>
                <w:kern w:val="0"/>
                <w:sz w:val="20"/>
                <w:szCs w:val="20"/>
              </w:rPr>
              <w:t>第二十条第（五）项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宋体" w:hAnsi="宋体" w:eastAsia="宋体" w:cs="Calibri"/>
                <w:color w:val="000000"/>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宋体" w:hAnsi="宋体" w:eastAsia="宋体" w:cs="Calibri"/>
                <w:color w:val="000000"/>
                <w:kern w:val="0"/>
                <w:sz w:val="20"/>
                <w:szCs w:val="20"/>
              </w:rPr>
              <w:t>本年处理决定数量</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wordWrap w:val="0"/>
              <w:jc w:val="left"/>
              <w:rPr>
                <w:rFonts w:ascii="Calibri" w:hAnsi="Calibri" w:eastAsia="宋体" w:cs="Calibri"/>
                <w:kern w:val="0"/>
                <w:szCs w:val="21"/>
              </w:rPr>
            </w:pPr>
            <w:r>
              <w:rPr>
                <w:rFonts w:hint="eastAsia" w:ascii="宋体" w:hAnsi="宋体" w:eastAsia="宋体" w:cs="Calibri"/>
                <w:color w:val="000000"/>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hint="eastAsia" w:ascii="Calibri" w:hAnsi="Calibri" w:eastAsia="宋体" w:cs="Calibri"/>
                <w:kern w:val="0"/>
                <w:szCs w:val="21"/>
                <w:lang w:val="en-US" w:eastAsia="zh-CN"/>
              </w:rPr>
            </w:pPr>
            <w:r>
              <w:rPr>
                <w:rFonts w:hint="eastAsia" w:ascii="Calibri" w:hAnsi="Calibri" w:eastAsia="宋体" w:cs="Calibri"/>
                <w:kern w:val="0"/>
                <w:szCs w:val="21"/>
                <w:lang w:val="en-US" w:eastAsia="zh-CN"/>
              </w:rPr>
              <w:t>0</w:t>
            </w:r>
          </w:p>
        </w:tc>
      </w:tr>
      <w:tr>
        <w:tblPrEx>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宋体" w:hAnsi="宋体" w:eastAsia="宋体" w:cs="Calibri"/>
                <w:color w:val="000000"/>
                <w:kern w:val="0"/>
                <w:sz w:val="20"/>
                <w:szCs w:val="20"/>
              </w:rPr>
              <w:t>第二十条第（六）项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宋体" w:hAnsi="宋体" w:eastAsia="宋体" w:cs="Calibri"/>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宋体" w:hAnsi="宋体" w:eastAsia="宋体" w:cs="Calibri"/>
                <w:color w:val="000000"/>
                <w:kern w:val="0"/>
                <w:sz w:val="20"/>
                <w:szCs w:val="20"/>
              </w:rPr>
              <w:t>本年处理决定数量</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wordWrap w:val="0"/>
              <w:jc w:val="left"/>
              <w:rPr>
                <w:rFonts w:ascii="Calibri" w:hAnsi="Calibri" w:eastAsia="宋体" w:cs="Calibri"/>
                <w:kern w:val="0"/>
                <w:szCs w:val="21"/>
              </w:rPr>
            </w:pPr>
            <w:r>
              <w:rPr>
                <w:rFonts w:hint="eastAsia" w:ascii="宋体" w:hAnsi="宋体" w:eastAsia="宋体" w:cs="Calibri"/>
                <w:color w:val="000000"/>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wordWrap w:val="0"/>
              <w:jc w:val="left"/>
              <w:rPr>
                <w:rFonts w:ascii="Calibri" w:hAnsi="Calibri" w:eastAsia="宋体" w:cs="Calibri"/>
                <w:kern w:val="0"/>
                <w:szCs w:val="21"/>
              </w:rPr>
            </w:pPr>
            <w:r>
              <w:rPr>
                <w:rFonts w:hint="eastAsia" w:ascii="宋体" w:hAnsi="宋体" w:eastAsia="宋体" w:cs="Calibri"/>
                <w:color w:val="000000"/>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r>
      <w:tr>
        <w:tblPrEx>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宋体" w:hAnsi="宋体" w:eastAsia="宋体" w:cs="Calibri"/>
                <w:color w:val="000000"/>
                <w:kern w:val="0"/>
                <w:sz w:val="20"/>
                <w:szCs w:val="20"/>
              </w:rPr>
              <w:t>第二十条第（八）项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宋体" w:hAnsi="宋体" w:eastAsia="宋体" w:cs="Calibri"/>
                <w:color w:val="000000"/>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宋体" w:hAnsi="宋体" w:eastAsia="宋体" w:cs="Calibri"/>
                <w:color w:val="000000"/>
                <w:kern w:val="0"/>
                <w:sz w:val="20"/>
                <w:szCs w:val="20"/>
              </w:rPr>
              <w:t>本年收费金额（单位：万元）</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wordWrap w:val="0"/>
              <w:jc w:val="left"/>
              <w:rPr>
                <w:rFonts w:ascii="Calibri" w:hAnsi="Calibri" w:eastAsia="宋体" w:cs="Calibri"/>
                <w:kern w:val="0"/>
                <w:szCs w:val="21"/>
              </w:rPr>
            </w:pPr>
            <w:r>
              <w:rPr>
                <w:rFonts w:hint="eastAsia" w:ascii="宋体" w:hAnsi="宋体" w:eastAsia="宋体" w:cs="Calibri"/>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r>
    </w:tbl>
    <w:p>
      <w:pPr>
        <w:widowControl/>
        <w:shd w:val="clear" w:color="auto" w:fill="F8F8F8"/>
        <w:ind w:firstLine="640" w:firstLineChars="200"/>
        <w:jc w:val="left"/>
        <w:rPr>
          <w:rFonts w:ascii="Calibri" w:hAnsi="Calibri" w:eastAsia="宋体" w:cs="Calibri"/>
          <w:color w:val="333333"/>
          <w:kern w:val="0"/>
          <w:sz w:val="24"/>
          <w:szCs w:val="24"/>
        </w:rPr>
      </w:pPr>
      <w:r>
        <w:rPr>
          <w:rFonts w:hint="eastAsia" w:ascii="黑体" w:hAnsi="黑体" w:eastAsia="黑体" w:cs="Calibri"/>
          <w:color w:val="333333"/>
          <w:kern w:val="0"/>
          <w:sz w:val="32"/>
          <w:szCs w:val="32"/>
          <w:shd w:val="clear" w:color="auto" w:fill="FFFFFF"/>
        </w:rPr>
        <w:t>三、收到和处理政府信息公开申请情况</w:t>
      </w:r>
    </w:p>
    <w:tbl>
      <w:tblPr>
        <w:tblStyle w:val="3"/>
        <w:tblW w:w="9748" w:type="dxa"/>
        <w:jc w:val="center"/>
        <w:tblLayout w:type="autofit"/>
        <w:tblCellMar>
          <w:top w:w="15" w:type="dxa"/>
          <w:left w:w="15" w:type="dxa"/>
          <w:bottom w:w="15" w:type="dxa"/>
          <w:right w:w="15" w:type="dxa"/>
        </w:tblCellMar>
      </w:tblPr>
      <w:tblGrid>
        <w:gridCol w:w="765"/>
        <w:gridCol w:w="941"/>
        <w:gridCol w:w="3199"/>
        <w:gridCol w:w="685"/>
        <w:gridCol w:w="693"/>
        <w:gridCol w:w="693"/>
        <w:gridCol w:w="693"/>
        <w:gridCol w:w="693"/>
        <w:gridCol w:w="693"/>
        <w:gridCol w:w="693"/>
      </w:tblGrid>
      <w:tr>
        <w:tblPrEx>
          <w:tblCellMar>
            <w:top w:w="15" w:type="dxa"/>
            <w:left w:w="15" w:type="dxa"/>
            <w:bottom w:w="15" w:type="dxa"/>
            <w:right w:w="15" w:type="dxa"/>
          </w:tblCellMar>
        </w:tblPrEx>
        <w:trPr>
          <w:jc w:val="center"/>
        </w:trPr>
        <w:tc>
          <w:tcPr>
            <w:tcW w:w="4905"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wordWrap w:val="0"/>
              <w:jc w:val="left"/>
              <w:rPr>
                <w:rFonts w:ascii="Calibri" w:hAnsi="Calibri" w:eastAsia="宋体" w:cs="Calibri"/>
                <w:kern w:val="0"/>
                <w:szCs w:val="21"/>
              </w:rPr>
            </w:pPr>
            <w:r>
              <w:rPr>
                <w:rFonts w:hint="eastAsia" w:ascii="宋体" w:hAnsi="宋体" w:eastAsia="宋体" w:cs="Calibri"/>
                <w:kern w:val="0"/>
                <w:sz w:val="20"/>
                <w:szCs w:val="20"/>
              </w:rPr>
              <w:t>（本列数据的勾稽关系为：第一项加第二项之和，等于第三项加第四项之和）</w:t>
            </w:r>
          </w:p>
        </w:tc>
        <w:tc>
          <w:tcPr>
            <w:tcW w:w="4843"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宋体" w:hAnsi="宋体" w:eastAsia="宋体" w:cs="Calibri"/>
                <w:kern w:val="0"/>
                <w:sz w:val="20"/>
                <w:szCs w:val="20"/>
              </w:rPr>
              <w:t>申请人情况</w:t>
            </w:r>
          </w:p>
        </w:tc>
      </w:tr>
      <w:tr>
        <w:tblPrEx>
          <w:tblCellMar>
            <w:top w:w="15" w:type="dxa"/>
            <w:left w:w="15" w:type="dxa"/>
            <w:bottom w:w="15" w:type="dxa"/>
            <w:right w:w="15"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685"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宋体" w:hAnsi="宋体" w:eastAsia="宋体" w:cs="Calibri"/>
                <w:kern w:val="0"/>
                <w:sz w:val="20"/>
                <w:szCs w:val="20"/>
              </w:rPr>
              <w:t>自然人</w:t>
            </w:r>
          </w:p>
        </w:tc>
        <w:tc>
          <w:tcPr>
            <w:tcW w:w="34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Calibri" w:hAnsi="Calibri" w:eastAsia="宋体" w:cs="Calibri"/>
                <w:kern w:val="0"/>
                <w:szCs w:val="21"/>
              </w:rPr>
            </w:pPr>
            <w:r>
              <w:rPr>
                <w:rFonts w:hint="eastAsia" w:ascii="宋体" w:hAnsi="宋体" w:eastAsia="宋体" w:cs="Calibri"/>
                <w:kern w:val="0"/>
                <w:sz w:val="20"/>
                <w:szCs w:val="20"/>
              </w:rPr>
              <w:t>法人或其他组织</w:t>
            </w:r>
          </w:p>
        </w:tc>
        <w:tc>
          <w:tcPr>
            <w:tcW w:w="693" w:type="dxa"/>
            <w:vMerge w:val="restart"/>
            <w:tcBorders>
              <w:top w:val="single" w:color="auto" w:sz="8" w:space="0"/>
              <w:left w:val="nil"/>
              <w:bottom w:val="inset" w:color="auto" w:sz="8" w:space="0"/>
              <w:right w:val="single" w:color="auto" w:sz="8" w:space="0"/>
            </w:tcBorders>
            <w:tcMar>
              <w:top w:w="0" w:type="dxa"/>
              <w:left w:w="108" w:type="dxa"/>
              <w:bottom w:w="0" w:type="dxa"/>
              <w:right w:w="108" w:type="dxa"/>
            </w:tcMar>
            <w:vAlign w:val="center"/>
          </w:tcPr>
          <w:p>
            <w:pPr>
              <w:widowControl/>
              <w:wordWrap w:val="0"/>
              <w:jc w:val="center"/>
              <w:rPr>
                <w:rFonts w:ascii="Calibri" w:hAnsi="Calibri" w:eastAsia="宋体" w:cs="Calibri"/>
                <w:kern w:val="0"/>
                <w:szCs w:val="21"/>
              </w:rPr>
            </w:pPr>
            <w:r>
              <w:rPr>
                <w:rFonts w:hint="eastAsia" w:ascii="宋体" w:hAnsi="宋体" w:eastAsia="宋体" w:cs="Calibri"/>
                <w:kern w:val="0"/>
                <w:sz w:val="20"/>
                <w:szCs w:val="20"/>
              </w:rPr>
              <w:t>总计</w:t>
            </w:r>
          </w:p>
        </w:tc>
      </w:tr>
      <w:tr>
        <w:tblPrEx>
          <w:tblCellMar>
            <w:top w:w="15" w:type="dxa"/>
            <w:left w:w="15" w:type="dxa"/>
            <w:bottom w:w="15" w:type="dxa"/>
            <w:right w:w="15"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0" w:type="auto"/>
            <w:vMerge w:val="continue"/>
            <w:tcBorders>
              <w:top w:val="nil"/>
              <w:left w:val="nil"/>
              <w:bottom w:val="single"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6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Calibri" w:hAnsi="Calibri" w:eastAsia="宋体" w:cs="Calibri"/>
                <w:kern w:val="0"/>
                <w:szCs w:val="21"/>
              </w:rPr>
            </w:pPr>
            <w:r>
              <w:rPr>
                <w:rFonts w:hint="eastAsia" w:ascii="宋体" w:hAnsi="宋体" w:eastAsia="宋体" w:cs="Calibri"/>
                <w:kern w:val="0"/>
                <w:sz w:val="20"/>
                <w:szCs w:val="20"/>
              </w:rPr>
              <w:t>商业</w:t>
            </w:r>
          </w:p>
          <w:p>
            <w:pPr>
              <w:widowControl/>
              <w:wordWrap w:val="0"/>
              <w:jc w:val="center"/>
              <w:rPr>
                <w:rFonts w:ascii="Calibri" w:hAnsi="Calibri" w:eastAsia="宋体" w:cs="Calibri"/>
                <w:kern w:val="0"/>
                <w:szCs w:val="21"/>
              </w:rPr>
            </w:pPr>
            <w:r>
              <w:rPr>
                <w:rFonts w:hint="eastAsia" w:ascii="宋体" w:hAnsi="宋体" w:eastAsia="宋体" w:cs="Calibri"/>
                <w:kern w:val="0"/>
                <w:sz w:val="20"/>
                <w:szCs w:val="20"/>
              </w:rPr>
              <w:t>企业</w:t>
            </w:r>
          </w:p>
        </w:tc>
        <w:tc>
          <w:tcPr>
            <w:tcW w:w="6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Calibri" w:hAnsi="Calibri" w:eastAsia="宋体" w:cs="Calibri"/>
                <w:kern w:val="0"/>
                <w:szCs w:val="21"/>
              </w:rPr>
            </w:pPr>
            <w:r>
              <w:rPr>
                <w:rFonts w:hint="eastAsia" w:ascii="宋体" w:hAnsi="宋体" w:eastAsia="宋体" w:cs="Calibri"/>
                <w:kern w:val="0"/>
                <w:sz w:val="20"/>
                <w:szCs w:val="20"/>
              </w:rPr>
              <w:t>科研</w:t>
            </w:r>
          </w:p>
          <w:p>
            <w:pPr>
              <w:widowControl/>
              <w:wordWrap w:val="0"/>
              <w:jc w:val="center"/>
              <w:rPr>
                <w:rFonts w:ascii="Calibri" w:hAnsi="Calibri" w:eastAsia="宋体" w:cs="Calibri"/>
                <w:kern w:val="0"/>
                <w:szCs w:val="21"/>
              </w:rPr>
            </w:pPr>
            <w:r>
              <w:rPr>
                <w:rFonts w:hint="eastAsia" w:ascii="宋体" w:hAnsi="宋体" w:eastAsia="宋体" w:cs="Calibri"/>
                <w:kern w:val="0"/>
                <w:sz w:val="20"/>
                <w:szCs w:val="20"/>
              </w:rPr>
              <w:t>机构</w:t>
            </w:r>
          </w:p>
        </w:tc>
        <w:tc>
          <w:tcPr>
            <w:tcW w:w="6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Calibri" w:hAnsi="Calibri" w:eastAsia="宋体" w:cs="Calibri"/>
                <w:kern w:val="0"/>
                <w:szCs w:val="21"/>
              </w:rPr>
            </w:pPr>
            <w:r>
              <w:rPr>
                <w:rFonts w:hint="eastAsia" w:ascii="宋体" w:hAnsi="宋体" w:eastAsia="宋体" w:cs="Calibri"/>
                <w:kern w:val="0"/>
                <w:sz w:val="20"/>
                <w:szCs w:val="20"/>
              </w:rPr>
              <w:t>社会公益组织</w:t>
            </w:r>
          </w:p>
        </w:tc>
        <w:tc>
          <w:tcPr>
            <w:tcW w:w="6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Calibri" w:hAnsi="Calibri" w:eastAsia="宋体" w:cs="Calibri"/>
                <w:kern w:val="0"/>
                <w:szCs w:val="21"/>
              </w:rPr>
            </w:pPr>
            <w:r>
              <w:rPr>
                <w:rFonts w:hint="eastAsia" w:ascii="宋体" w:hAnsi="宋体" w:eastAsia="宋体" w:cs="Calibri"/>
                <w:kern w:val="0"/>
                <w:sz w:val="20"/>
                <w:szCs w:val="20"/>
              </w:rPr>
              <w:t>法律服务机构</w:t>
            </w:r>
          </w:p>
        </w:tc>
        <w:tc>
          <w:tcPr>
            <w:tcW w:w="6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Calibri" w:hAnsi="Calibri" w:eastAsia="宋体" w:cs="Calibri"/>
                <w:kern w:val="0"/>
                <w:szCs w:val="21"/>
              </w:rPr>
            </w:pPr>
            <w:r>
              <w:rPr>
                <w:rFonts w:hint="eastAsia" w:ascii="宋体" w:hAnsi="宋体" w:eastAsia="宋体" w:cs="Calibri"/>
                <w:kern w:val="0"/>
                <w:sz w:val="20"/>
                <w:szCs w:val="20"/>
              </w:rPr>
              <w:t>其他</w:t>
            </w:r>
          </w:p>
        </w:tc>
        <w:tc>
          <w:tcPr>
            <w:tcW w:w="0" w:type="auto"/>
            <w:vMerge w:val="continue"/>
            <w:tcBorders>
              <w:top w:val="single" w:color="auto" w:sz="8" w:space="0"/>
              <w:left w:val="nil"/>
              <w:bottom w:val="inset"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r>
      <w:tr>
        <w:tblPrEx>
          <w:tblCellMar>
            <w:top w:w="15" w:type="dxa"/>
            <w:left w:w="15" w:type="dxa"/>
            <w:bottom w:w="15" w:type="dxa"/>
            <w:right w:w="15" w:type="dxa"/>
          </w:tblCellMar>
        </w:tblPrEx>
        <w:trPr>
          <w:jc w:val="center"/>
        </w:trPr>
        <w:tc>
          <w:tcPr>
            <w:tcW w:w="4905"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wordWrap w:val="0"/>
              <w:jc w:val="left"/>
              <w:rPr>
                <w:rFonts w:ascii="Calibri" w:hAnsi="Calibri" w:eastAsia="宋体" w:cs="Calibri"/>
                <w:kern w:val="0"/>
                <w:szCs w:val="21"/>
              </w:rPr>
            </w:pPr>
            <w:r>
              <w:rPr>
                <w:rFonts w:hint="eastAsia" w:ascii="宋体" w:hAnsi="宋体" w:eastAsia="宋体" w:cs="Calibri"/>
                <w:kern w:val="0"/>
                <w:sz w:val="20"/>
                <w:szCs w:val="20"/>
              </w:rPr>
              <w:t>一、本年新收政府信息公开申请数量</w:t>
            </w:r>
          </w:p>
        </w:tc>
        <w:tc>
          <w:tcPr>
            <w:tcW w:w="6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r>
      <w:tr>
        <w:tblPrEx>
          <w:tblCellMar>
            <w:top w:w="15" w:type="dxa"/>
            <w:left w:w="15" w:type="dxa"/>
            <w:bottom w:w="15" w:type="dxa"/>
            <w:right w:w="15" w:type="dxa"/>
          </w:tblCellMar>
        </w:tblPrEx>
        <w:trPr>
          <w:jc w:val="center"/>
        </w:trPr>
        <w:tc>
          <w:tcPr>
            <w:tcW w:w="4905"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wordWrap w:val="0"/>
              <w:jc w:val="left"/>
              <w:rPr>
                <w:rFonts w:ascii="Calibri" w:hAnsi="Calibri" w:eastAsia="宋体" w:cs="Calibri"/>
                <w:kern w:val="0"/>
                <w:szCs w:val="21"/>
              </w:rPr>
            </w:pPr>
            <w:r>
              <w:rPr>
                <w:rFonts w:hint="eastAsia" w:ascii="宋体" w:hAnsi="宋体" w:eastAsia="宋体" w:cs="Calibri"/>
                <w:kern w:val="0"/>
                <w:sz w:val="20"/>
                <w:szCs w:val="20"/>
              </w:rPr>
              <w:t>二、上年结转政府信息公开申请数量</w:t>
            </w:r>
          </w:p>
        </w:tc>
        <w:tc>
          <w:tcPr>
            <w:tcW w:w="6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r>
      <w:tr>
        <w:tblPrEx>
          <w:tblCellMar>
            <w:top w:w="15" w:type="dxa"/>
            <w:left w:w="15" w:type="dxa"/>
            <w:bottom w:w="15" w:type="dxa"/>
            <w:right w:w="15" w:type="dxa"/>
          </w:tblCellMar>
        </w:tblPrEx>
        <w:trPr>
          <w:trHeight w:val="400" w:hRule="atLeast"/>
          <w:jc w:val="center"/>
        </w:trPr>
        <w:tc>
          <w:tcPr>
            <w:tcW w:w="765" w:type="dxa"/>
            <w:vMerge w:val="restart"/>
            <w:tcBorders>
              <w:top w:val="single" w:color="auto" w:sz="8" w:space="0"/>
              <w:left w:val="single" w:color="auto" w:sz="8" w:space="0"/>
              <w:bottom w:val="inset" w:color="auto" w:sz="8" w:space="0"/>
              <w:right w:val="single" w:color="auto" w:sz="8" w:space="0"/>
            </w:tcBorders>
            <w:tcMar>
              <w:top w:w="0" w:type="dxa"/>
              <w:left w:w="57" w:type="dxa"/>
              <w:bottom w:w="0" w:type="dxa"/>
              <w:right w:w="57" w:type="dxa"/>
            </w:tcMar>
            <w:vAlign w:val="center"/>
          </w:tcPr>
          <w:p>
            <w:pPr>
              <w:widowControl/>
              <w:wordWrap w:val="0"/>
              <w:jc w:val="left"/>
              <w:rPr>
                <w:rFonts w:ascii="Calibri" w:hAnsi="Calibri" w:eastAsia="宋体" w:cs="Calibri"/>
                <w:kern w:val="0"/>
                <w:szCs w:val="21"/>
              </w:rPr>
            </w:pPr>
            <w:r>
              <w:rPr>
                <w:rFonts w:hint="eastAsia" w:ascii="宋体" w:hAnsi="宋体" w:eastAsia="宋体" w:cs="Calibri"/>
                <w:kern w:val="0"/>
                <w:sz w:val="20"/>
                <w:szCs w:val="20"/>
              </w:rPr>
              <w:t>三、本年度办理结果</w:t>
            </w:r>
          </w:p>
        </w:tc>
        <w:tc>
          <w:tcPr>
            <w:tcW w:w="4140"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left"/>
              <w:rPr>
                <w:rFonts w:ascii="Calibri" w:hAnsi="Calibri" w:eastAsia="宋体" w:cs="Calibri"/>
                <w:kern w:val="0"/>
                <w:szCs w:val="21"/>
              </w:rPr>
            </w:pPr>
            <w:r>
              <w:rPr>
                <w:rFonts w:hint="eastAsia" w:ascii="宋体" w:hAnsi="宋体" w:eastAsia="宋体" w:cs="Calibri"/>
                <w:kern w:val="0"/>
                <w:sz w:val="20"/>
                <w:szCs w:val="20"/>
              </w:rPr>
              <w:t>（一）予以公开</w:t>
            </w:r>
          </w:p>
        </w:tc>
        <w:tc>
          <w:tcPr>
            <w:tcW w:w="685"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4140"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left"/>
              <w:rPr>
                <w:rFonts w:ascii="Calibri" w:hAnsi="Calibri" w:eastAsia="宋体" w:cs="Calibri"/>
                <w:kern w:val="0"/>
                <w:szCs w:val="21"/>
              </w:rPr>
            </w:pPr>
            <w:r>
              <w:rPr>
                <w:rFonts w:hint="eastAsia" w:ascii="宋体" w:hAnsi="宋体" w:eastAsia="宋体" w:cs="Calibri"/>
                <w:kern w:val="0"/>
                <w:sz w:val="20"/>
                <w:szCs w:val="20"/>
              </w:rPr>
              <w:t>（二）部分公开</w:t>
            </w:r>
            <w:r>
              <w:rPr>
                <w:rFonts w:hint="eastAsia" w:ascii="楷体" w:hAnsi="楷体" w:eastAsia="楷体" w:cs="Calibri"/>
                <w:kern w:val="0"/>
                <w:sz w:val="20"/>
                <w:szCs w:val="20"/>
              </w:rPr>
              <w:t>（区分处理的，只计这一情形，不计其他情形）</w:t>
            </w:r>
          </w:p>
        </w:tc>
        <w:tc>
          <w:tcPr>
            <w:tcW w:w="6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941"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wordWrap w:val="0"/>
              <w:jc w:val="left"/>
              <w:rPr>
                <w:rFonts w:ascii="Calibri" w:hAnsi="Calibri" w:eastAsia="宋体" w:cs="Calibri"/>
                <w:kern w:val="0"/>
                <w:szCs w:val="21"/>
              </w:rPr>
            </w:pPr>
            <w:r>
              <w:rPr>
                <w:rFonts w:hint="eastAsia" w:ascii="宋体" w:hAnsi="宋体" w:eastAsia="宋体" w:cs="Calibri"/>
                <w:kern w:val="0"/>
                <w:sz w:val="20"/>
                <w:szCs w:val="20"/>
              </w:rPr>
              <w:t>（三）不予公开</w:t>
            </w:r>
          </w:p>
        </w:tc>
        <w:tc>
          <w:tcPr>
            <w:tcW w:w="3199"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left"/>
              <w:rPr>
                <w:rFonts w:ascii="Calibri" w:hAnsi="Calibri" w:eastAsia="宋体" w:cs="Calibri"/>
                <w:kern w:val="0"/>
                <w:szCs w:val="21"/>
              </w:rPr>
            </w:pPr>
            <w:r>
              <w:rPr>
                <w:rFonts w:hint="eastAsia" w:ascii="宋体" w:hAnsi="宋体" w:eastAsia="宋体" w:cs="Calibri"/>
                <w:kern w:val="0"/>
                <w:sz w:val="20"/>
                <w:szCs w:val="20"/>
              </w:rPr>
              <w:t>1.属于国家秘密</w:t>
            </w:r>
          </w:p>
        </w:tc>
        <w:tc>
          <w:tcPr>
            <w:tcW w:w="685"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0" w:type="auto"/>
            <w:vMerge w:val="continue"/>
            <w:tcBorders>
              <w:top w:val="nil"/>
              <w:left w:val="nil"/>
              <w:bottom w:val="inset"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3199"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left"/>
              <w:rPr>
                <w:rFonts w:ascii="Calibri" w:hAnsi="Calibri" w:eastAsia="宋体" w:cs="Calibri"/>
                <w:kern w:val="0"/>
                <w:szCs w:val="21"/>
              </w:rPr>
            </w:pPr>
            <w:r>
              <w:rPr>
                <w:rFonts w:hint="eastAsia" w:ascii="宋体" w:hAnsi="宋体" w:eastAsia="宋体" w:cs="Calibri"/>
                <w:kern w:val="0"/>
                <w:sz w:val="20"/>
                <w:szCs w:val="20"/>
              </w:rPr>
              <w:t>2.其他法律行政法规禁止公开</w:t>
            </w:r>
          </w:p>
        </w:tc>
        <w:tc>
          <w:tcPr>
            <w:tcW w:w="6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r>
      <w:tr>
        <w:tblPrEx>
          <w:tblCellMar>
            <w:top w:w="15" w:type="dxa"/>
            <w:left w:w="15" w:type="dxa"/>
            <w:bottom w:w="15" w:type="dxa"/>
            <w:right w:w="15" w:type="dxa"/>
          </w:tblCellMar>
        </w:tblPrEx>
        <w:trPr>
          <w:trHeight w:val="383" w:hRule="atLeast"/>
          <w:jc w:val="center"/>
        </w:trPr>
        <w:tc>
          <w:tcPr>
            <w:tcW w:w="0" w:type="auto"/>
            <w:vMerge w:val="continue"/>
            <w:tcBorders>
              <w:top w:val="single" w:color="auto" w:sz="8" w:space="0"/>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0" w:type="auto"/>
            <w:vMerge w:val="continue"/>
            <w:tcBorders>
              <w:top w:val="nil"/>
              <w:left w:val="nil"/>
              <w:bottom w:val="inset"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3199"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left"/>
              <w:rPr>
                <w:rFonts w:ascii="Calibri" w:hAnsi="Calibri" w:eastAsia="宋体" w:cs="Calibri"/>
                <w:kern w:val="0"/>
                <w:szCs w:val="21"/>
              </w:rPr>
            </w:pPr>
            <w:r>
              <w:rPr>
                <w:rFonts w:hint="eastAsia" w:ascii="宋体" w:hAnsi="宋体" w:eastAsia="宋体" w:cs="Calibri"/>
                <w:kern w:val="0"/>
                <w:sz w:val="20"/>
                <w:szCs w:val="20"/>
              </w:rPr>
              <w:t>3.危及“三安全一稳定”</w:t>
            </w:r>
          </w:p>
        </w:tc>
        <w:tc>
          <w:tcPr>
            <w:tcW w:w="6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0" w:type="auto"/>
            <w:vMerge w:val="continue"/>
            <w:tcBorders>
              <w:top w:val="nil"/>
              <w:left w:val="nil"/>
              <w:bottom w:val="inset"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3199"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left"/>
              <w:rPr>
                <w:rFonts w:ascii="Calibri" w:hAnsi="Calibri" w:eastAsia="宋体" w:cs="Calibri"/>
                <w:kern w:val="0"/>
                <w:szCs w:val="21"/>
              </w:rPr>
            </w:pPr>
            <w:r>
              <w:rPr>
                <w:rFonts w:hint="eastAsia" w:ascii="宋体" w:hAnsi="宋体" w:eastAsia="宋体" w:cs="Calibri"/>
                <w:kern w:val="0"/>
                <w:sz w:val="20"/>
                <w:szCs w:val="20"/>
              </w:rPr>
              <w:t>4.保护第三方合法权益</w:t>
            </w:r>
          </w:p>
        </w:tc>
        <w:tc>
          <w:tcPr>
            <w:tcW w:w="6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0" w:type="auto"/>
            <w:vMerge w:val="continue"/>
            <w:tcBorders>
              <w:top w:val="nil"/>
              <w:left w:val="nil"/>
              <w:bottom w:val="inset"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3199"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left"/>
              <w:rPr>
                <w:rFonts w:ascii="Calibri" w:hAnsi="Calibri" w:eastAsia="宋体" w:cs="Calibri"/>
                <w:kern w:val="0"/>
                <w:szCs w:val="21"/>
              </w:rPr>
            </w:pPr>
            <w:r>
              <w:rPr>
                <w:rFonts w:hint="eastAsia" w:ascii="宋体" w:hAnsi="宋体" w:eastAsia="宋体" w:cs="Calibri"/>
                <w:kern w:val="0"/>
                <w:sz w:val="20"/>
                <w:szCs w:val="20"/>
              </w:rPr>
              <w:t>5.属于三类内部事务信息</w:t>
            </w:r>
          </w:p>
        </w:tc>
        <w:tc>
          <w:tcPr>
            <w:tcW w:w="6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0" w:type="auto"/>
            <w:vMerge w:val="continue"/>
            <w:tcBorders>
              <w:top w:val="nil"/>
              <w:left w:val="nil"/>
              <w:bottom w:val="inset"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3199"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left"/>
              <w:rPr>
                <w:rFonts w:ascii="Calibri" w:hAnsi="Calibri" w:eastAsia="宋体" w:cs="Calibri"/>
                <w:kern w:val="0"/>
                <w:szCs w:val="21"/>
              </w:rPr>
            </w:pPr>
            <w:r>
              <w:rPr>
                <w:rFonts w:hint="eastAsia" w:ascii="宋体" w:hAnsi="宋体" w:eastAsia="宋体" w:cs="Calibri"/>
                <w:kern w:val="0"/>
                <w:sz w:val="20"/>
                <w:szCs w:val="20"/>
              </w:rPr>
              <w:t>6.属于四类过程性信息</w:t>
            </w:r>
          </w:p>
        </w:tc>
        <w:tc>
          <w:tcPr>
            <w:tcW w:w="685"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0" w:type="auto"/>
            <w:vMerge w:val="continue"/>
            <w:tcBorders>
              <w:top w:val="nil"/>
              <w:left w:val="nil"/>
              <w:bottom w:val="inset"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3199"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left"/>
              <w:rPr>
                <w:rFonts w:ascii="Calibri" w:hAnsi="Calibri" w:eastAsia="宋体" w:cs="Calibri"/>
                <w:kern w:val="0"/>
                <w:szCs w:val="21"/>
              </w:rPr>
            </w:pPr>
            <w:r>
              <w:rPr>
                <w:rFonts w:hint="eastAsia" w:ascii="宋体" w:hAnsi="宋体" w:eastAsia="宋体" w:cs="Calibri"/>
                <w:kern w:val="0"/>
                <w:sz w:val="20"/>
                <w:szCs w:val="20"/>
              </w:rPr>
              <w:t>7.属于行政执法案卷</w:t>
            </w:r>
          </w:p>
        </w:tc>
        <w:tc>
          <w:tcPr>
            <w:tcW w:w="685"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0" w:type="auto"/>
            <w:vMerge w:val="continue"/>
            <w:tcBorders>
              <w:top w:val="nil"/>
              <w:left w:val="nil"/>
              <w:bottom w:val="inset"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3199"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left"/>
              <w:rPr>
                <w:rFonts w:ascii="Calibri" w:hAnsi="Calibri" w:eastAsia="宋体" w:cs="Calibri"/>
                <w:kern w:val="0"/>
                <w:szCs w:val="21"/>
              </w:rPr>
            </w:pPr>
            <w:r>
              <w:rPr>
                <w:rFonts w:hint="eastAsia" w:ascii="宋体" w:hAnsi="宋体" w:eastAsia="宋体" w:cs="Calibri"/>
                <w:kern w:val="0"/>
                <w:sz w:val="20"/>
                <w:szCs w:val="20"/>
              </w:rPr>
              <w:t>8.属于行政查询事项</w:t>
            </w:r>
          </w:p>
        </w:tc>
        <w:tc>
          <w:tcPr>
            <w:tcW w:w="685"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941"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wordWrap w:val="0"/>
              <w:jc w:val="left"/>
              <w:rPr>
                <w:rFonts w:ascii="Calibri" w:hAnsi="Calibri" w:eastAsia="宋体" w:cs="Calibri"/>
                <w:kern w:val="0"/>
                <w:szCs w:val="21"/>
              </w:rPr>
            </w:pPr>
            <w:r>
              <w:rPr>
                <w:rFonts w:hint="eastAsia" w:ascii="宋体" w:hAnsi="宋体" w:eastAsia="宋体" w:cs="Calibri"/>
                <w:kern w:val="0"/>
                <w:sz w:val="20"/>
                <w:szCs w:val="20"/>
              </w:rPr>
              <w:t>（四）无法提供</w:t>
            </w:r>
          </w:p>
        </w:tc>
        <w:tc>
          <w:tcPr>
            <w:tcW w:w="3199"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left"/>
              <w:rPr>
                <w:rFonts w:ascii="Calibri" w:hAnsi="Calibri" w:eastAsia="宋体" w:cs="Calibri"/>
                <w:kern w:val="0"/>
                <w:szCs w:val="21"/>
              </w:rPr>
            </w:pPr>
            <w:r>
              <w:rPr>
                <w:rFonts w:hint="eastAsia" w:ascii="宋体" w:hAnsi="宋体" w:eastAsia="宋体" w:cs="Calibri"/>
                <w:kern w:val="0"/>
                <w:sz w:val="20"/>
                <w:szCs w:val="20"/>
              </w:rPr>
              <w:t>1.本机关不掌握相关政府信息</w:t>
            </w:r>
          </w:p>
        </w:tc>
        <w:tc>
          <w:tcPr>
            <w:tcW w:w="685"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0" w:type="auto"/>
            <w:vMerge w:val="continue"/>
            <w:tcBorders>
              <w:top w:val="nil"/>
              <w:left w:val="nil"/>
              <w:bottom w:val="inset"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3199"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left"/>
              <w:rPr>
                <w:rFonts w:ascii="Calibri" w:hAnsi="Calibri" w:eastAsia="宋体" w:cs="Calibri"/>
                <w:kern w:val="0"/>
                <w:szCs w:val="21"/>
              </w:rPr>
            </w:pPr>
            <w:r>
              <w:rPr>
                <w:rFonts w:hint="eastAsia" w:ascii="宋体" w:hAnsi="宋体" w:eastAsia="宋体" w:cs="Calibri"/>
                <w:kern w:val="0"/>
                <w:sz w:val="20"/>
                <w:szCs w:val="20"/>
              </w:rPr>
              <w:t>2.没有现成信息需要另行制作</w:t>
            </w:r>
          </w:p>
        </w:tc>
        <w:tc>
          <w:tcPr>
            <w:tcW w:w="685"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0" w:type="auto"/>
            <w:vMerge w:val="continue"/>
            <w:tcBorders>
              <w:top w:val="nil"/>
              <w:left w:val="nil"/>
              <w:bottom w:val="inset"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3199"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left"/>
              <w:rPr>
                <w:rFonts w:ascii="Calibri" w:hAnsi="Calibri" w:eastAsia="宋体" w:cs="Calibri"/>
                <w:kern w:val="0"/>
                <w:szCs w:val="21"/>
              </w:rPr>
            </w:pPr>
            <w:r>
              <w:rPr>
                <w:rFonts w:hint="eastAsia" w:ascii="宋体" w:hAnsi="宋体" w:eastAsia="宋体" w:cs="Calibri"/>
                <w:kern w:val="0"/>
                <w:sz w:val="20"/>
                <w:szCs w:val="20"/>
              </w:rPr>
              <w:t>3.补正后申请内容仍不明确</w:t>
            </w:r>
          </w:p>
        </w:tc>
        <w:tc>
          <w:tcPr>
            <w:tcW w:w="685"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941"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wordWrap w:val="0"/>
              <w:jc w:val="left"/>
              <w:rPr>
                <w:rFonts w:ascii="Calibri" w:hAnsi="Calibri" w:eastAsia="宋体" w:cs="Calibri"/>
                <w:kern w:val="0"/>
                <w:szCs w:val="21"/>
              </w:rPr>
            </w:pPr>
            <w:r>
              <w:rPr>
                <w:rFonts w:hint="eastAsia" w:ascii="宋体" w:hAnsi="宋体" w:eastAsia="宋体" w:cs="Calibri"/>
                <w:kern w:val="0"/>
                <w:sz w:val="20"/>
                <w:szCs w:val="20"/>
              </w:rPr>
              <w:t>（五）不予处理</w:t>
            </w:r>
          </w:p>
        </w:tc>
        <w:tc>
          <w:tcPr>
            <w:tcW w:w="3199"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left"/>
              <w:rPr>
                <w:rFonts w:ascii="Calibri" w:hAnsi="Calibri" w:eastAsia="宋体" w:cs="Calibri"/>
                <w:kern w:val="0"/>
                <w:szCs w:val="21"/>
              </w:rPr>
            </w:pPr>
            <w:r>
              <w:rPr>
                <w:rFonts w:hint="eastAsia" w:ascii="宋体" w:hAnsi="宋体" w:eastAsia="宋体" w:cs="Calibri"/>
                <w:kern w:val="0"/>
                <w:sz w:val="20"/>
                <w:szCs w:val="20"/>
              </w:rPr>
              <w:t>1.信访举报投诉类申请</w:t>
            </w:r>
          </w:p>
        </w:tc>
        <w:tc>
          <w:tcPr>
            <w:tcW w:w="685"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0" w:type="auto"/>
            <w:vMerge w:val="continue"/>
            <w:tcBorders>
              <w:top w:val="nil"/>
              <w:left w:val="nil"/>
              <w:bottom w:val="inset"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3199"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left"/>
              <w:rPr>
                <w:rFonts w:ascii="Calibri" w:hAnsi="Calibri" w:eastAsia="宋体" w:cs="Calibri"/>
                <w:kern w:val="0"/>
                <w:szCs w:val="21"/>
              </w:rPr>
            </w:pPr>
            <w:r>
              <w:rPr>
                <w:rFonts w:hint="eastAsia" w:ascii="宋体" w:hAnsi="宋体" w:eastAsia="宋体" w:cs="Calibri"/>
                <w:kern w:val="0"/>
                <w:sz w:val="20"/>
                <w:szCs w:val="20"/>
              </w:rPr>
              <w:t>2.重复申请</w:t>
            </w:r>
          </w:p>
        </w:tc>
        <w:tc>
          <w:tcPr>
            <w:tcW w:w="685"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0" w:type="auto"/>
            <w:vMerge w:val="continue"/>
            <w:tcBorders>
              <w:top w:val="nil"/>
              <w:left w:val="nil"/>
              <w:bottom w:val="inset"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3199"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left"/>
              <w:rPr>
                <w:rFonts w:ascii="Calibri" w:hAnsi="Calibri" w:eastAsia="宋体" w:cs="Calibri"/>
                <w:kern w:val="0"/>
                <w:szCs w:val="21"/>
              </w:rPr>
            </w:pPr>
            <w:r>
              <w:rPr>
                <w:rFonts w:hint="eastAsia" w:ascii="宋体" w:hAnsi="宋体" w:eastAsia="宋体" w:cs="Calibri"/>
                <w:kern w:val="0"/>
                <w:sz w:val="20"/>
                <w:szCs w:val="20"/>
              </w:rPr>
              <w:t>3.要求提供公开出版物</w:t>
            </w:r>
          </w:p>
        </w:tc>
        <w:tc>
          <w:tcPr>
            <w:tcW w:w="685"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0" w:type="auto"/>
            <w:vMerge w:val="continue"/>
            <w:tcBorders>
              <w:top w:val="nil"/>
              <w:left w:val="nil"/>
              <w:bottom w:val="inset"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3199"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left"/>
              <w:rPr>
                <w:rFonts w:ascii="Calibri" w:hAnsi="Calibri" w:eastAsia="宋体" w:cs="Calibri"/>
                <w:kern w:val="0"/>
                <w:szCs w:val="21"/>
              </w:rPr>
            </w:pPr>
            <w:r>
              <w:rPr>
                <w:rFonts w:hint="eastAsia" w:ascii="宋体" w:hAnsi="宋体" w:eastAsia="宋体" w:cs="Calibri"/>
                <w:kern w:val="0"/>
                <w:sz w:val="20"/>
                <w:szCs w:val="20"/>
              </w:rPr>
              <w:t>4.无正当理由大量反复申请</w:t>
            </w:r>
          </w:p>
        </w:tc>
        <w:tc>
          <w:tcPr>
            <w:tcW w:w="685"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r>
      <w:tr>
        <w:tblPrEx>
          <w:tblCellMar>
            <w:top w:w="15" w:type="dxa"/>
            <w:left w:w="15" w:type="dxa"/>
            <w:bottom w:w="15" w:type="dxa"/>
            <w:right w:w="15" w:type="dxa"/>
          </w:tblCellMar>
        </w:tblPrEx>
        <w:trPr>
          <w:trHeight w:val="779" w:hRule="atLeast"/>
          <w:jc w:val="center"/>
        </w:trPr>
        <w:tc>
          <w:tcPr>
            <w:tcW w:w="0" w:type="auto"/>
            <w:vMerge w:val="continue"/>
            <w:tcBorders>
              <w:top w:val="single" w:color="auto" w:sz="8" w:space="0"/>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0" w:type="auto"/>
            <w:vMerge w:val="continue"/>
            <w:tcBorders>
              <w:top w:val="nil"/>
              <w:left w:val="nil"/>
              <w:bottom w:val="inset"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319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wordWrap w:val="0"/>
              <w:rPr>
                <w:rFonts w:ascii="Calibri" w:hAnsi="Calibri" w:eastAsia="宋体" w:cs="Calibri"/>
                <w:kern w:val="0"/>
                <w:szCs w:val="21"/>
              </w:rPr>
            </w:pPr>
            <w:r>
              <w:rPr>
                <w:rFonts w:hint="eastAsia" w:ascii="宋体" w:hAnsi="宋体" w:eastAsia="宋体" w:cs="Calibri"/>
                <w:kern w:val="0"/>
                <w:sz w:val="20"/>
                <w:szCs w:val="20"/>
              </w:rPr>
              <w:t>5.要求行政机关确认或重新出具已获取信息</w:t>
            </w:r>
          </w:p>
        </w:tc>
        <w:tc>
          <w:tcPr>
            <w:tcW w:w="685"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inset"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ascii="Calibri" w:hAnsi="Calibri" w:eastAsia="宋体" w:cs="Calibri"/>
                <w:kern w:val="0"/>
                <w:szCs w:val="21"/>
              </w:rPr>
              <w:t> </w:t>
            </w:r>
          </w:p>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941"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wordWrap w:val="0"/>
              <w:jc w:val="left"/>
              <w:rPr>
                <w:rFonts w:ascii="Calibri" w:hAnsi="Calibri" w:eastAsia="宋体" w:cs="Calibri"/>
                <w:kern w:val="0"/>
                <w:szCs w:val="21"/>
              </w:rPr>
            </w:pPr>
            <w:r>
              <w:rPr>
                <w:rFonts w:hint="eastAsia" w:ascii="宋体" w:hAnsi="宋体" w:eastAsia="宋体" w:cs="Calibri"/>
                <w:kern w:val="0"/>
                <w:sz w:val="20"/>
                <w:szCs w:val="20"/>
              </w:rPr>
              <w:t>（六）其他处理</w:t>
            </w:r>
          </w:p>
        </w:tc>
        <w:tc>
          <w:tcPr>
            <w:tcW w:w="319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rPr>
                <w:rFonts w:ascii="Calibri" w:hAnsi="Calibri" w:eastAsia="宋体" w:cs="Calibri"/>
                <w:kern w:val="0"/>
                <w:szCs w:val="21"/>
              </w:rPr>
            </w:pPr>
            <w:r>
              <w:rPr>
                <w:rFonts w:hint="eastAsia" w:ascii="宋体" w:hAnsi="宋体" w:eastAsia="宋体" w:cs="Calibri"/>
                <w:kern w:val="0"/>
                <w:sz w:val="20"/>
                <w:szCs w:val="20"/>
              </w:rPr>
              <w:t>1.申请人无正当理由逾期不补正、行政机关不再处理其政府信息公开申请</w:t>
            </w:r>
          </w:p>
        </w:tc>
        <w:tc>
          <w:tcPr>
            <w:tcW w:w="6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ascii="Calibri" w:hAnsi="Calibri" w:eastAsia="宋体" w:cs="Calibri"/>
                <w:kern w:val="0"/>
                <w:szCs w:val="21"/>
              </w:rPr>
              <w:t> </w:t>
            </w:r>
          </w:p>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0" w:type="auto"/>
            <w:vMerge w:val="continue"/>
            <w:tcBorders>
              <w:top w:val="nil"/>
              <w:left w:val="nil"/>
              <w:bottom w:val="inset"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319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rPr>
                <w:rFonts w:ascii="Calibri" w:hAnsi="Calibri" w:eastAsia="宋体" w:cs="Calibri"/>
                <w:kern w:val="0"/>
                <w:szCs w:val="21"/>
              </w:rPr>
            </w:pPr>
            <w:r>
              <w:rPr>
                <w:rFonts w:hint="eastAsia" w:ascii="宋体" w:hAnsi="宋体" w:eastAsia="宋体" w:cs="Calibri"/>
                <w:kern w:val="0"/>
                <w:sz w:val="20"/>
                <w:szCs w:val="20"/>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ascii="Calibri" w:hAnsi="Calibri" w:eastAsia="宋体" w:cs="Calibri"/>
                <w:kern w:val="0"/>
                <w:szCs w:val="21"/>
              </w:rPr>
              <w:t> </w:t>
            </w:r>
          </w:p>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0" w:type="auto"/>
            <w:vMerge w:val="continue"/>
            <w:tcBorders>
              <w:top w:val="nil"/>
              <w:left w:val="nil"/>
              <w:bottom w:val="inset"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319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left"/>
              <w:rPr>
                <w:rFonts w:ascii="Calibri" w:hAnsi="Calibri" w:eastAsia="宋体" w:cs="Calibri"/>
                <w:kern w:val="0"/>
                <w:szCs w:val="21"/>
              </w:rPr>
            </w:pPr>
            <w:r>
              <w:rPr>
                <w:rFonts w:hint="eastAsia" w:ascii="宋体" w:hAnsi="宋体" w:eastAsia="宋体" w:cs="Calibri"/>
                <w:kern w:val="0"/>
                <w:sz w:val="20"/>
                <w:szCs w:val="20"/>
              </w:rPr>
              <w:t>3.其他</w:t>
            </w:r>
          </w:p>
        </w:tc>
        <w:tc>
          <w:tcPr>
            <w:tcW w:w="6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4140"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left"/>
              <w:rPr>
                <w:rFonts w:ascii="Calibri" w:hAnsi="Calibri" w:eastAsia="宋体" w:cs="Calibri"/>
                <w:kern w:val="0"/>
                <w:szCs w:val="21"/>
              </w:rPr>
            </w:pPr>
            <w:r>
              <w:rPr>
                <w:rFonts w:hint="eastAsia" w:ascii="宋体" w:hAnsi="宋体" w:eastAsia="宋体" w:cs="Calibri"/>
                <w:kern w:val="0"/>
                <w:sz w:val="20"/>
                <w:szCs w:val="20"/>
              </w:rPr>
              <w:t>（七）总计</w:t>
            </w:r>
          </w:p>
        </w:tc>
        <w:tc>
          <w:tcPr>
            <w:tcW w:w="6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r>
      <w:tr>
        <w:tblPrEx>
          <w:tblCellMar>
            <w:top w:w="15" w:type="dxa"/>
            <w:left w:w="15" w:type="dxa"/>
            <w:bottom w:w="15" w:type="dxa"/>
            <w:right w:w="15" w:type="dxa"/>
          </w:tblCellMar>
        </w:tblPrEx>
        <w:trPr>
          <w:jc w:val="center"/>
        </w:trPr>
        <w:tc>
          <w:tcPr>
            <w:tcW w:w="4905"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wordWrap w:val="0"/>
              <w:jc w:val="left"/>
              <w:rPr>
                <w:rFonts w:ascii="Calibri" w:hAnsi="Calibri" w:eastAsia="宋体" w:cs="Calibri"/>
                <w:kern w:val="0"/>
                <w:szCs w:val="21"/>
              </w:rPr>
            </w:pPr>
            <w:r>
              <w:rPr>
                <w:rFonts w:hint="eastAsia" w:ascii="宋体" w:hAnsi="宋体" w:eastAsia="宋体" w:cs="Calibri"/>
                <w:kern w:val="0"/>
                <w:sz w:val="20"/>
                <w:szCs w:val="20"/>
              </w:rPr>
              <w:t>四、结转下年度继续办理</w:t>
            </w:r>
          </w:p>
        </w:tc>
        <w:tc>
          <w:tcPr>
            <w:tcW w:w="68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r>
    </w:tbl>
    <w:p>
      <w:pPr>
        <w:widowControl/>
        <w:shd w:val="clear" w:color="auto" w:fill="FFFFFF"/>
        <w:ind w:firstLine="640" w:firstLineChars="200"/>
        <w:rPr>
          <w:rFonts w:ascii="Calibri" w:hAnsi="Calibri" w:eastAsia="宋体" w:cs="Calibri"/>
          <w:color w:val="333333"/>
          <w:kern w:val="0"/>
          <w:sz w:val="24"/>
          <w:szCs w:val="24"/>
        </w:rPr>
      </w:pPr>
      <w:r>
        <w:rPr>
          <w:rFonts w:hint="eastAsia" w:ascii="黑体" w:hAnsi="黑体" w:eastAsia="黑体" w:cs="Calibri"/>
          <w:color w:val="333333"/>
          <w:kern w:val="0"/>
          <w:sz w:val="32"/>
          <w:szCs w:val="32"/>
          <w:shd w:val="clear" w:color="auto" w:fill="FFFFFF"/>
        </w:rPr>
        <w:t>四、政府信息公开行政复议、行政诉讼情况</w:t>
      </w:r>
    </w:p>
    <w:tbl>
      <w:tblPr>
        <w:tblStyle w:val="3"/>
        <w:tblW w:w="9748" w:type="dxa"/>
        <w:jc w:val="center"/>
        <w:tblLayout w:type="autofit"/>
        <w:tblCellMar>
          <w:top w:w="15" w:type="dxa"/>
          <w:left w:w="15" w:type="dxa"/>
          <w:bottom w:w="15" w:type="dxa"/>
          <w:right w:w="15" w:type="dxa"/>
        </w:tblCellMar>
      </w:tblPr>
      <w:tblGrid>
        <w:gridCol w:w="649"/>
        <w:gridCol w:w="649"/>
        <w:gridCol w:w="649"/>
        <w:gridCol w:w="649"/>
        <w:gridCol w:w="649"/>
        <w:gridCol w:w="649"/>
        <w:gridCol w:w="649"/>
        <w:gridCol w:w="650"/>
        <w:gridCol w:w="650"/>
        <w:gridCol w:w="650"/>
        <w:gridCol w:w="651"/>
        <w:gridCol w:w="651"/>
        <w:gridCol w:w="651"/>
        <w:gridCol w:w="651"/>
        <w:gridCol w:w="651"/>
      </w:tblGrid>
      <w:tr>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Calibri" w:hAnsi="Calibri" w:eastAsia="宋体" w:cs="Calibri"/>
                <w:kern w:val="0"/>
                <w:szCs w:val="21"/>
              </w:rPr>
            </w:pPr>
            <w:r>
              <w:rPr>
                <w:rFonts w:hint="eastAsia" w:ascii="宋体" w:hAnsi="宋体" w:eastAsia="宋体" w:cs="Calibri"/>
                <w:kern w:val="0"/>
                <w:sz w:val="20"/>
                <w:szCs w:val="20"/>
              </w:rPr>
              <w:t>行政复议</w:t>
            </w:r>
          </w:p>
        </w:tc>
        <w:tc>
          <w:tcPr>
            <w:tcW w:w="6428"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Calibri" w:hAnsi="Calibri" w:eastAsia="宋体" w:cs="Calibri"/>
                <w:kern w:val="0"/>
                <w:szCs w:val="21"/>
              </w:rPr>
            </w:pPr>
            <w:r>
              <w:rPr>
                <w:rFonts w:hint="eastAsia" w:ascii="宋体" w:hAnsi="宋体" w:eastAsia="宋体" w:cs="Calibri"/>
                <w:kern w:val="0"/>
                <w:sz w:val="20"/>
                <w:szCs w:val="20"/>
              </w:rPr>
              <w:t>行政诉讼</w:t>
            </w:r>
          </w:p>
        </w:tc>
      </w:tr>
      <w:tr>
        <w:tblPrEx>
          <w:tblCellMar>
            <w:top w:w="15" w:type="dxa"/>
            <w:left w:w="15" w:type="dxa"/>
            <w:bottom w:w="15" w:type="dxa"/>
            <w:right w:w="15"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Calibri" w:hAnsi="Calibri" w:eastAsia="宋体" w:cs="Calibri"/>
                <w:kern w:val="0"/>
                <w:szCs w:val="21"/>
              </w:rPr>
            </w:pPr>
            <w:r>
              <w:rPr>
                <w:rFonts w:hint="eastAsia" w:ascii="宋体" w:hAnsi="宋体" w:eastAsia="宋体" w:cs="Calibri"/>
                <w:kern w:val="0"/>
                <w:sz w:val="20"/>
                <w:szCs w:val="20"/>
              </w:rPr>
              <w:t>结果维持</w:t>
            </w:r>
          </w:p>
        </w:tc>
        <w:tc>
          <w:tcPr>
            <w:tcW w:w="64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Calibri" w:hAnsi="Calibri" w:eastAsia="宋体" w:cs="Calibri"/>
                <w:kern w:val="0"/>
                <w:szCs w:val="21"/>
              </w:rPr>
            </w:pPr>
            <w:r>
              <w:rPr>
                <w:rFonts w:hint="eastAsia" w:ascii="宋体" w:hAnsi="宋体" w:eastAsia="宋体" w:cs="Calibri"/>
                <w:kern w:val="0"/>
                <w:sz w:val="20"/>
                <w:szCs w:val="20"/>
              </w:rPr>
              <w:t>结果纠正</w:t>
            </w:r>
          </w:p>
        </w:tc>
        <w:tc>
          <w:tcPr>
            <w:tcW w:w="64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Calibri" w:hAnsi="Calibri" w:eastAsia="宋体" w:cs="Calibri"/>
                <w:kern w:val="0"/>
                <w:szCs w:val="21"/>
              </w:rPr>
            </w:pPr>
            <w:r>
              <w:rPr>
                <w:rFonts w:hint="eastAsia" w:ascii="宋体" w:hAnsi="宋体" w:eastAsia="宋体" w:cs="Calibri"/>
                <w:kern w:val="0"/>
                <w:sz w:val="20"/>
                <w:szCs w:val="20"/>
              </w:rPr>
              <w:t>其他结果</w:t>
            </w:r>
          </w:p>
        </w:tc>
        <w:tc>
          <w:tcPr>
            <w:tcW w:w="64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Calibri" w:hAnsi="Calibri" w:eastAsia="宋体" w:cs="Calibri"/>
                <w:kern w:val="0"/>
                <w:szCs w:val="21"/>
              </w:rPr>
            </w:pPr>
            <w:r>
              <w:rPr>
                <w:rFonts w:hint="eastAsia" w:ascii="宋体" w:hAnsi="宋体" w:eastAsia="宋体" w:cs="Calibri"/>
                <w:kern w:val="0"/>
                <w:sz w:val="20"/>
                <w:szCs w:val="20"/>
              </w:rPr>
              <w:t>尚未审结</w:t>
            </w:r>
          </w:p>
        </w:tc>
        <w:tc>
          <w:tcPr>
            <w:tcW w:w="64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Calibri" w:hAnsi="Calibri" w:eastAsia="宋体" w:cs="Calibri"/>
                <w:kern w:val="0"/>
                <w:szCs w:val="21"/>
              </w:rPr>
            </w:pPr>
            <w:r>
              <w:rPr>
                <w:rFonts w:hint="eastAsia" w:ascii="宋体" w:hAnsi="宋体" w:eastAsia="宋体" w:cs="Calibri"/>
                <w:kern w:val="0"/>
                <w:sz w:val="20"/>
                <w:szCs w:val="20"/>
              </w:rPr>
              <w:t>总计</w:t>
            </w:r>
          </w:p>
        </w:tc>
        <w:tc>
          <w:tcPr>
            <w:tcW w:w="3213"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Calibri" w:hAnsi="Calibri" w:eastAsia="宋体" w:cs="Calibri"/>
                <w:kern w:val="0"/>
                <w:szCs w:val="21"/>
              </w:rPr>
            </w:pPr>
            <w:r>
              <w:rPr>
                <w:rFonts w:hint="eastAsia" w:ascii="宋体" w:hAnsi="宋体" w:eastAsia="宋体" w:cs="Calibri"/>
                <w:kern w:val="0"/>
                <w:sz w:val="20"/>
                <w:szCs w:val="20"/>
              </w:rPr>
              <w:t>未经复议直接起诉</w:t>
            </w:r>
          </w:p>
        </w:tc>
        <w:tc>
          <w:tcPr>
            <w:tcW w:w="321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Calibri" w:hAnsi="Calibri" w:eastAsia="宋体" w:cs="Calibri"/>
                <w:kern w:val="0"/>
                <w:szCs w:val="21"/>
              </w:rPr>
            </w:pPr>
            <w:r>
              <w:rPr>
                <w:rFonts w:hint="eastAsia" w:ascii="宋体" w:hAnsi="宋体" w:eastAsia="宋体" w:cs="Calibri"/>
                <w:kern w:val="0"/>
                <w:sz w:val="20"/>
                <w:szCs w:val="20"/>
              </w:rPr>
              <w:t>复议后起诉</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0" w:type="auto"/>
            <w:vMerge w:val="continue"/>
            <w:tcBorders>
              <w:top w:val="nil"/>
              <w:left w:val="nil"/>
              <w:bottom w:val="single"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0" w:type="auto"/>
            <w:vMerge w:val="continue"/>
            <w:tcBorders>
              <w:top w:val="single" w:color="auto" w:sz="8" w:space="0"/>
              <w:left w:val="nil"/>
              <w:bottom w:val="single"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0" w:type="auto"/>
            <w:vMerge w:val="continue"/>
            <w:tcBorders>
              <w:top w:val="single" w:color="auto" w:sz="8" w:space="0"/>
              <w:left w:val="nil"/>
              <w:bottom w:val="single"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0" w:type="auto"/>
            <w:vMerge w:val="continue"/>
            <w:tcBorders>
              <w:top w:val="single" w:color="auto" w:sz="8" w:space="0"/>
              <w:left w:val="nil"/>
              <w:bottom w:val="single" w:color="auto" w:sz="8" w:space="0"/>
              <w:right w:val="single" w:color="auto" w:sz="8" w:space="0"/>
            </w:tcBorders>
            <w:tcMar>
              <w:top w:w="0" w:type="dxa"/>
              <w:left w:w="0" w:type="dxa"/>
              <w:bottom w:w="0" w:type="dxa"/>
              <w:right w:w="0" w:type="dxa"/>
            </w:tcMar>
            <w:vAlign w:val="center"/>
          </w:tcPr>
          <w:p>
            <w:pPr>
              <w:widowControl/>
              <w:jc w:val="left"/>
              <w:rPr>
                <w:rFonts w:ascii="Calibri" w:hAnsi="Calibri" w:eastAsia="宋体" w:cs="Calibri"/>
                <w:kern w:val="0"/>
                <w:szCs w:val="21"/>
              </w:rPr>
            </w:pPr>
          </w:p>
        </w:tc>
        <w:tc>
          <w:tcPr>
            <w:tcW w:w="6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Calibri" w:hAnsi="Calibri" w:eastAsia="宋体" w:cs="Calibri"/>
                <w:kern w:val="0"/>
                <w:szCs w:val="21"/>
              </w:rPr>
            </w:pPr>
            <w:r>
              <w:rPr>
                <w:rFonts w:hint="eastAsia" w:ascii="宋体" w:hAnsi="宋体" w:eastAsia="宋体" w:cs="Calibri"/>
                <w:kern w:val="0"/>
                <w:sz w:val="20"/>
                <w:szCs w:val="20"/>
              </w:rPr>
              <w:t>结果维持</w:t>
            </w:r>
          </w:p>
        </w:tc>
        <w:tc>
          <w:tcPr>
            <w:tcW w:w="6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Calibri" w:hAnsi="Calibri" w:eastAsia="宋体" w:cs="Calibri"/>
                <w:kern w:val="0"/>
                <w:szCs w:val="21"/>
              </w:rPr>
            </w:pPr>
            <w:r>
              <w:rPr>
                <w:rFonts w:hint="eastAsia" w:ascii="宋体" w:hAnsi="宋体" w:eastAsia="宋体" w:cs="Calibri"/>
                <w:kern w:val="0"/>
                <w:sz w:val="20"/>
                <w:szCs w:val="20"/>
              </w:rPr>
              <w:t>结果纠正</w:t>
            </w:r>
          </w:p>
        </w:tc>
        <w:tc>
          <w:tcPr>
            <w:tcW w:w="64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Calibri" w:hAnsi="Calibri" w:eastAsia="宋体" w:cs="Calibri"/>
                <w:kern w:val="0"/>
                <w:szCs w:val="21"/>
              </w:rPr>
            </w:pPr>
            <w:r>
              <w:rPr>
                <w:rFonts w:hint="eastAsia" w:ascii="宋体" w:hAnsi="宋体" w:eastAsia="宋体" w:cs="Calibri"/>
                <w:kern w:val="0"/>
                <w:sz w:val="20"/>
                <w:szCs w:val="20"/>
              </w:rPr>
              <w:t>其他结果</w:t>
            </w:r>
          </w:p>
        </w:tc>
        <w:tc>
          <w:tcPr>
            <w:tcW w:w="64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Calibri" w:hAnsi="Calibri" w:eastAsia="宋体" w:cs="Calibri"/>
                <w:kern w:val="0"/>
                <w:szCs w:val="21"/>
              </w:rPr>
            </w:pPr>
            <w:r>
              <w:rPr>
                <w:rFonts w:hint="eastAsia" w:ascii="宋体" w:hAnsi="宋体" w:eastAsia="宋体" w:cs="Calibri"/>
                <w:kern w:val="0"/>
                <w:sz w:val="20"/>
                <w:szCs w:val="20"/>
              </w:rPr>
              <w:t>尚未审结</w:t>
            </w:r>
          </w:p>
        </w:tc>
        <w:tc>
          <w:tcPr>
            <w:tcW w:w="64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Calibri" w:hAnsi="Calibri" w:eastAsia="宋体" w:cs="Calibri"/>
                <w:kern w:val="0"/>
                <w:szCs w:val="21"/>
              </w:rPr>
            </w:pPr>
            <w:r>
              <w:rPr>
                <w:rFonts w:hint="eastAsia" w:ascii="宋体" w:hAnsi="宋体" w:eastAsia="宋体" w:cs="Calibri"/>
                <w:color w:val="000000"/>
                <w:kern w:val="0"/>
                <w:sz w:val="20"/>
                <w:szCs w:val="20"/>
              </w:rPr>
              <w:t>总计</w:t>
            </w:r>
          </w:p>
        </w:tc>
        <w:tc>
          <w:tcPr>
            <w:tcW w:w="64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Calibri" w:hAnsi="Calibri" w:eastAsia="宋体" w:cs="Calibri"/>
                <w:kern w:val="0"/>
                <w:szCs w:val="21"/>
              </w:rPr>
            </w:pPr>
            <w:r>
              <w:rPr>
                <w:rFonts w:hint="eastAsia" w:ascii="宋体" w:hAnsi="宋体" w:eastAsia="宋体" w:cs="Calibri"/>
                <w:kern w:val="0"/>
                <w:sz w:val="20"/>
                <w:szCs w:val="20"/>
              </w:rPr>
              <w:t>结果维持</w:t>
            </w:r>
          </w:p>
        </w:tc>
        <w:tc>
          <w:tcPr>
            <w:tcW w:w="64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Calibri" w:hAnsi="Calibri" w:eastAsia="宋体" w:cs="Calibri"/>
                <w:kern w:val="0"/>
                <w:szCs w:val="21"/>
              </w:rPr>
            </w:pPr>
            <w:r>
              <w:rPr>
                <w:rFonts w:hint="eastAsia" w:ascii="宋体" w:hAnsi="宋体" w:eastAsia="宋体" w:cs="Calibri"/>
                <w:kern w:val="0"/>
                <w:sz w:val="20"/>
                <w:szCs w:val="20"/>
              </w:rPr>
              <w:t>结果纠正</w:t>
            </w:r>
          </w:p>
        </w:tc>
        <w:tc>
          <w:tcPr>
            <w:tcW w:w="64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Calibri" w:hAnsi="Calibri" w:eastAsia="宋体" w:cs="Calibri"/>
                <w:kern w:val="0"/>
                <w:szCs w:val="21"/>
              </w:rPr>
            </w:pPr>
            <w:r>
              <w:rPr>
                <w:rFonts w:hint="eastAsia" w:ascii="宋体" w:hAnsi="宋体" w:eastAsia="宋体" w:cs="Calibri"/>
                <w:color w:val="000000"/>
                <w:kern w:val="0"/>
                <w:sz w:val="20"/>
                <w:szCs w:val="20"/>
              </w:rPr>
              <w:t>其他结果</w:t>
            </w:r>
          </w:p>
        </w:tc>
        <w:tc>
          <w:tcPr>
            <w:tcW w:w="64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Calibri" w:hAnsi="Calibri" w:eastAsia="宋体" w:cs="Calibri"/>
                <w:kern w:val="0"/>
                <w:szCs w:val="21"/>
              </w:rPr>
            </w:pPr>
            <w:r>
              <w:rPr>
                <w:rFonts w:hint="eastAsia" w:ascii="宋体" w:hAnsi="宋体" w:eastAsia="宋体" w:cs="Calibri"/>
                <w:kern w:val="0"/>
                <w:sz w:val="20"/>
                <w:szCs w:val="20"/>
              </w:rPr>
              <w:t>尚未审结</w:t>
            </w:r>
          </w:p>
        </w:tc>
        <w:tc>
          <w:tcPr>
            <w:tcW w:w="64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Calibri" w:hAnsi="Calibri" w:eastAsia="宋体" w:cs="Calibri"/>
                <w:kern w:val="0"/>
                <w:szCs w:val="21"/>
              </w:rPr>
            </w:pPr>
            <w:r>
              <w:rPr>
                <w:rFonts w:hint="eastAsia" w:ascii="宋体" w:hAnsi="宋体" w:eastAsia="宋体" w:cs="Calibri"/>
                <w:color w:val="000000"/>
                <w:kern w:val="0"/>
                <w:sz w:val="20"/>
                <w:szCs w:val="20"/>
              </w:rPr>
              <w:t>总计</w:t>
            </w:r>
          </w:p>
        </w:tc>
      </w:tr>
      <w:tr>
        <w:tblPrEx>
          <w:tblCellMar>
            <w:top w:w="15" w:type="dxa"/>
            <w:left w:w="15" w:type="dxa"/>
            <w:bottom w:w="15" w:type="dxa"/>
            <w:right w:w="15"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c>
          <w:tcPr>
            <w:tcW w:w="6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Calibri" w:hAnsi="Calibri" w:eastAsia="宋体" w:cs="Calibri"/>
                <w:kern w:val="0"/>
                <w:szCs w:val="21"/>
              </w:rPr>
            </w:pPr>
            <w:r>
              <w:rPr>
                <w:rFonts w:hint="eastAsia" w:ascii="Calibri" w:hAnsi="Calibri" w:eastAsia="宋体" w:cs="Calibri"/>
                <w:kern w:val="0"/>
                <w:szCs w:val="21"/>
              </w:rPr>
              <w:t>0</w:t>
            </w:r>
          </w:p>
        </w:tc>
      </w:tr>
    </w:tbl>
    <w:p>
      <w:pPr>
        <w:widowControl/>
        <w:shd w:val="clear" w:color="auto" w:fill="F8F8F8"/>
        <w:jc w:val="left"/>
        <w:rPr>
          <w:rFonts w:ascii="Calibri" w:hAnsi="Calibri" w:eastAsia="宋体" w:cs="Calibri"/>
          <w:color w:val="333333"/>
          <w:kern w:val="0"/>
          <w:sz w:val="24"/>
          <w:szCs w:val="24"/>
        </w:rPr>
      </w:pPr>
      <w:r>
        <w:rPr>
          <w:rFonts w:ascii="Calibri" w:hAnsi="Calibri" w:eastAsia="宋体" w:cs="Calibri"/>
          <w:color w:val="333333"/>
          <w:kern w:val="0"/>
          <w:szCs w:val="21"/>
        </w:rPr>
        <w:t> </w:t>
      </w:r>
      <w:r>
        <w:rPr>
          <w:rFonts w:ascii="Calibri" w:hAnsi="Calibri" w:eastAsia="宋体" w:cs="Calibri"/>
          <w:color w:val="333333"/>
          <w:kern w:val="0"/>
          <w:sz w:val="24"/>
          <w:szCs w:val="24"/>
        </w:rPr>
        <w:t> </w:t>
      </w:r>
    </w:p>
    <w:p>
      <w:pPr>
        <w:widowControl/>
        <w:shd w:val="clear" w:color="auto" w:fill="FFFFFF"/>
        <w:ind w:firstLine="640" w:firstLineChars="200"/>
        <w:rPr>
          <w:rFonts w:ascii="Calibri" w:hAnsi="Calibri" w:eastAsia="宋体" w:cs="Calibri"/>
          <w:color w:val="333333"/>
          <w:kern w:val="0"/>
          <w:sz w:val="24"/>
          <w:szCs w:val="24"/>
        </w:rPr>
      </w:pPr>
      <w:r>
        <w:rPr>
          <w:rFonts w:hint="eastAsia" w:ascii="黑体" w:hAnsi="黑体" w:eastAsia="黑体" w:cs="Calibri"/>
          <w:color w:val="333333"/>
          <w:kern w:val="0"/>
          <w:sz w:val="32"/>
          <w:szCs w:val="32"/>
          <w:shd w:val="clear" w:color="auto" w:fill="FFFFFF"/>
        </w:rPr>
        <w:t>五、存在的主要问题及改进情况</w:t>
      </w:r>
    </w:p>
    <w:p>
      <w:pPr>
        <w:widowControl/>
        <w:numPr>
          <w:ilvl w:val="0"/>
          <w:numId w:val="0"/>
        </w:numPr>
        <w:shd w:val="clear" w:color="auto" w:fill="FFFFFF"/>
        <w:ind w:firstLine="640"/>
        <w:rPr>
          <w:rFonts w:hint="default" w:ascii="仿宋" w:hAnsi="仿宋" w:eastAsia="仿宋" w:cs="仿宋"/>
          <w:b/>
          <w:bCs/>
          <w:i w:val="0"/>
          <w:iCs w:val="0"/>
          <w:caps w:val="0"/>
          <w:color w:val="000000"/>
          <w:spacing w:val="0"/>
          <w:sz w:val="32"/>
          <w:szCs w:val="32"/>
          <w:shd w:val="clear" w:fill="FFFFFF"/>
          <w:lang w:eastAsia="zh-CN"/>
        </w:rPr>
      </w:pPr>
      <w:r>
        <w:rPr>
          <w:rFonts w:hint="eastAsia" w:ascii="仿宋" w:hAnsi="仿宋" w:eastAsia="仿宋" w:cs="仿宋"/>
          <w:b/>
          <w:bCs/>
          <w:i w:val="0"/>
          <w:iCs w:val="0"/>
          <w:caps w:val="0"/>
          <w:color w:val="000000"/>
          <w:spacing w:val="0"/>
          <w:sz w:val="32"/>
          <w:szCs w:val="32"/>
          <w:shd w:val="clear" w:fill="FFFFFF"/>
          <w:lang w:eastAsia="zh-CN"/>
        </w:rPr>
        <w:t>（一）上年度存在问题及本年度改进情况</w:t>
      </w:r>
    </w:p>
    <w:p>
      <w:pPr>
        <w:widowControl/>
        <w:numPr>
          <w:ilvl w:val="0"/>
          <w:numId w:val="0"/>
        </w:numPr>
        <w:shd w:val="clear" w:color="auto" w:fill="FFFFFF"/>
        <w:ind w:firstLine="640"/>
        <w:rPr>
          <w:rFonts w:hint="default"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i w:val="0"/>
          <w:iCs w:val="0"/>
          <w:caps w:val="0"/>
          <w:color w:val="000000"/>
          <w:spacing w:val="0"/>
          <w:sz w:val="32"/>
          <w:szCs w:val="32"/>
          <w:shd w:val="clear" w:fill="FFFFFF"/>
          <w:lang w:val="en-US" w:eastAsia="zh-CN"/>
        </w:rPr>
        <w:t>2022年我镇</w:t>
      </w:r>
      <w:r>
        <w:rPr>
          <w:rFonts w:hint="default" w:ascii="仿宋" w:hAnsi="仿宋" w:eastAsia="仿宋" w:cs="仿宋"/>
          <w:i w:val="0"/>
          <w:iCs w:val="0"/>
          <w:caps w:val="0"/>
          <w:color w:val="000000"/>
          <w:spacing w:val="0"/>
          <w:sz w:val="32"/>
          <w:szCs w:val="32"/>
          <w:shd w:val="clear" w:fill="FFFFFF"/>
          <w:lang w:eastAsia="zh-CN"/>
        </w:rPr>
        <w:t>政务公开</w:t>
      </w:r>
      <w:r>
        <w:rPr>
          <w:rFonts w:hint="eastAsia" w:ascii="仿宋" w:hAnsi="仿宋" w:eastAsia="仿宋" w:cs="仿宋"/>
          <w:i w:val="0"/>
          <w:iCs w:val="0"/>
          <w:caps w:val="0"/>
          <w:color w:val="000000"/>
          <w:spacing w:val="0"/>
          <w:sz w:val="32"/>
          <w:szCs w:val="32"/>
          <w:shd w:val="clear" w:fill="FFFFFF"/>
          <w:lang w:eastAsia="zh-CN"/>
        </w:rPr>
        <w:t>信息存在更新不及时、公开内容不规范、各部门配合程度低等问题。针对信息更新不及时问题，</w:t>
      </w:r>
      <w:r>
        <w:rPr>
          <w:rFonts w:hint="eastAsia" w:ascii="仿宋" w:hAnsi="仿宋" w:eastAsia="仿宋" w:cs="仿宋"/>
          <w:i w:val="0"/>
          <w:iCs w:val="0"/>
          <w:caps w:val="0"/>
          <w:color w:val="000000"/>
          <w:spacing w:val="0"/>
          <w:sz w:val="32"/>
          <w:szCs w:val="32"/>
          <w:shd w:val="clear" w:fill="FFFFFF"/>
          <w:lang w:val="en-US" w:eastAsia="zh-CN"/>
        </w:rPr>
        <w:t>2023年度</w:t>
      </w:r>
      <w:r>
        <w:rPr>
          <w:rFonts w:hint="default" w:ascii="仿宋" w:hAnsi="仿宋" w:eastAsia="仿宋" w:cs="仿宋"/>
          <w:i w:val="0"/>
          <w:iCs w:val="0"/>
          <w:caps w:val="0"/>
          <w:color w:val="000000"/>
          <w:spacing w:val="0"/>
          <w:sz w:val="32"/>
          <w:szCs w:val="32"/>
          <w:shd w:val="clear" w:fill="FFFFFF"/>
          <w:lang w:eastAsia="zh-CN"/>
        </w:rPr>
        <w:t>通过加强政务公开考核</w:t>
      </w:r>
      <w:r>
        <w:rPr>
          <w:rFonts w:hint="eastAsia" w:ascii="仿宋" w:hAnsi="仿宋" w:eastAsia="仿宋" w:cs="仿宋"/>
          <w:i w:val="0"/>
          <w:iCs w:val="0"/>
          <w:caps w:val="0"/>
          <w:color w:val="000000"/>
          <w:spacing w:val="0"/>
          <w:sz w:val="32"/>
          <w:szCs w:val="32"/>
          <w:shd w:val="clear" w:fill="FFFFFF"/>
          <w:lang w:eastAsia="zh-CN"/>
        </w:rPr>
        <w:t>，督促相关工作人员每月及时更新政务公开信息，效果显著；针对部分公开内容不规范问题，我镇积极学习信息公开先进乡镇工作经验，及时咨询县政务公开办公室工作人员，完善相关制度建设，规范了各栏目公开内容；针对各部门配合程度低问题，我镇召开了政务公开专题工作会议，畅通各部门协调合作，相关政务公开信息及时报送，取得了不错的效果。</w:t>
      </w:r>
    </w:p>
    <w:p>
      <w:pPr>
        <w:widowControl/>
        <w:numPr>
          <w:ilvl w:val="0"/>
          <w:numId w:val="3"/>
        </w:numPr>
        <w:shd w:val="clear" w:color="auto" w:fill="FFFFFF"/>
        <w:ind w:firstLine="640"/>
        <w:rPr>
          <w:rFonts w:hint="eastAsia" w:ascii="仿宋" w:hAnsi="仿宋" w:eastAsia="仿宋" w:cs="仿宋"/>
          <w:b/>
          <w:bCs/>
          <w:i w:val="0"/>
          <w:iCs w:val="0"/>
          <w:caps w:val="0"/>
          <w:color w:val="000000"/>
          <w:spacing w:val="0"/>
          <w:sz w:val="32"/>
          <w:szCs w:val="32"/>
          <w:shd w:val="clear" w:fill="FFFFFF"/>
          <w:lang w:eastAsia="zh-CN"/>
        </w:rPr>
      </w:pPr>
      <w:r>
        <w:rPr>
          <w:rFonts w:hint="eastAsia" w:ascii="仿宋" w:hAnsi="仿宋" w:eastAsia="仿宋" w:cs="仿宋"/>
          <w:b/>
          <w:bCs/>
          <w:i w:val="0"/>
          <w:iCs w:val="0"/>
          <w:caps w:val="0"/>
          <w:color w:val="000000"/>
          <w:spacing w:val="0"/>
          <w:sz w:val="32"/>
          <w:szCs w:val="32"/>
          <w:shd w:val="clear" w:fill="FFFFFF"/>
          <w:lang w:eastAsia="zh-CN"/>
        </w:rPr>
        <w:t>本</w:t>
      </w:r>
      <w:r>
        <w:rPr>
          <w:rFonts w:hint="default" w:ascii="仿宋" w:hAnsi="仿宋" w:eastAsia="仿宋" w:cs="仿宋"/>
          <w:b/>
          <w:bCs/>
          <w:i w:val="0"/>
          <w:iCs w:val="0"/>
          <w:caps w:val="0"/>
          <w:color w:val="000000"/>
          <w:spacing w:val="0"/>
          <w:sz w:val="32"/>
          <w:szCs w:val="32"/>
          <w:shd w:val="clear" w:fill="FFFFFF"/>
          <w:lang w:eastAsia="zh-CN"/>
        </w:rPr>
        <w:t>年</w:t>
      </w:r>
      <w:r>
        <w:rPr>
          <w:rFonts w:hint="eastAsia" w:ascii="仿宋" w:hAnsi="仿宋" w:eastAsia="仿宋" w:cs="仿宋"/>
          <w:b/>
          <w:bCs/>
          <w:i w:val="0"/>
          <w:iCs w:val="0"/>
          <w:caps w:val="0"/>
          <w:color w:val="000000"/>
          <w:spacing w:val="0"/>
          <w:sz w:val="32"/>
          <w:szCs w:val="32"/>
          <w:shd w:val="clear" w:fill="FFFFFF"/>
          <w:lang w:eastAsia="zh-CN"/>
        </w:rPr>
        <w:t>度</w:t>
      </w:r>
      <w:r>
        <w:rPr>
          <w:rFonts w:hint="default" w:ascii="仿宋" w:hAnsi="仿宋" w:eastAsia="仿宋" w:cs="仿宋"/>
          <w:b/>
          <w:bCs/>
          <w:i w:val="0"/>
          <w:iCs w:val="0"/>
          <w:caps w:val="0"/>
          <w:color w:val="000000"/>
          <w:spacing w:val="0"/>
          <w:sz w:val="32"/>
          <w:szCs w:val="32"/>
          <w:shd w:val="clear" w:fill="FFFFFF"/>
          <w:lang w:eastAsia="zh-CN"/>
        </w:rPr>
        <w:t>存在问题</w:t>
      </w:r>
      <w:r>
        <w:rPr>
          <w:rFonts w:hint="eastAsia" w:ascii="仿宋" w:hAnsi="仿宋" w:eastAsia="仿宋" w:cs="仿宋"/>
          <w:b/>
          <w:bCs/>
          <w:i w:val="0"/>
          <w:iCs w:val="0"/>
          <w:caps w:val="0"/>
          <w:color w:val="000000"/>
          <w:spacing w:val="0"/>
          <w:sz w:val="32"/>
          <w:szCs w:val="32"/>
          <w:shd w:val="clear" w:fill="FFFFFF"/>
          <w:lang w:eastAsia="zh-CN"/>
        </w:rPr>
        <w:t>及下年度改进计划</w:t>
      </w:r>
    </w:p>
    <w:p>
      <w:pPr>
        <w:widowControl/>
        <w:numPr>
          <w:ilvl w:val="0"/>
          <w:numId w:val="0"/>
        </w:numPr>
        <w:shd w:val="clear" w:color="auto" w:fill="FFFFFF"/>
        <w:ind w:firstLine="640"/>
        <w:rPr>
          <w:rFonts w:hint="default" w:ascii="仿宋" w:hAnsi="仿宋" w:eastAsia="仿宋" w:cs="仿宋"/>
          <w:i w:val="0"/>
          <w:iCs w:val="0"/>
          <w:caps w:val="0"/>
          <w:color w:val="000000"/>
          <w:spacing w:val="0"/>
          <w:sz w:val="32"/>
          <w:szCs w:val="32"/>
          <w:highlight w:val="yellow"/>
          <w:shd w:val="clear" w:fill="FFFFFF"/>
          <w:lang w:eastAsia="zh-CN"/>
        </w:rPr>
      </w:pPr>
      <w:r>
        <w:rPr>
          <w:rFonts w:hint="default" w:ascii="仿宋" w:hAnsi="仿宋" w:eastAsia="仿宋" w:cs="仿宋"/>
          <w:i w:val="0"/>
          <w:iCs w:val="0"/>
          <w:caps w:val="0"/>
          <w:color w:val="000000"/>
          <w:spacing w:val="0"/>
          <w:sz w:val="32"/>
          <w:szCs w:val="32"/>
          <w:shd w:val="clear" w:fill="FFFFFF"/>
          <w:lang w:eastAsia="zh-CN"/>
        </w:rPr>
        <w:t>2023</w:t>
      </w:r>
      <w:r>
        <w:rPr>
          <w:rFonts w:hint="eastAsia" w:ascii="仿宋" w:hAnsi="仿宋" w:eastAsia="仿宋" w:cs="仿宋"/>
          <w:i w:val="0"/>
          <w:iCs w:val="0"/>
          <w:caps w:val="0"/>
          <w:color w:val="000000"/>
          <w:spacing w:val="0"/>
          <w:sz w:val="32"/>
          <w:szCs w:val="32"/>
          <w:shd w:val="clear" w:fill="FFFFFF"/>
          <w:lang w:eastAsia="zh-CN"/>
        </w:rPr>
        <w:t>年我镇政务公开工作有了长足进步，但仍存在不足之处：</w:t>
      </w:r>
      <w:r>
        <w:rPr>
          <w:rFonts w:hint="default" w:ascii="仿宋" w:hAnsi="仿宋" w:eastAsia="仿宋" w:cs="仿宋"/>
          <w:i w:val="0"/>
          <w:iCs w:val="0"/>
          <w:caps w:val="0"/>
          <w:color w:val="000000"/>
          <w:spacing w:val="0"/>
          <w:sz w:val="32"/>
          <w:szCs w:val="32"/>
          <w:shd w:val="clear" w:fill="FFFFFF"/>
          <w:lang w:eastAsia="zh-CN"/>
        </w:rPr>
        <w:t>一是</w:t>
      </w:r>
      <w:r>
        <w:rPr>
          <w:rFonts w:hint="eastAsia" w:ascii="仿宋" w:hAnsi="仿宋" w:eastAsia="仿宋" w:cs="仿宋"/>
          <w:i w:val="0"/>
          <w:iCs w:val="0"/>
          <w:caps w:val="0"/>
          <w:color w:val="000000"/>
          <w:spacing w:val="0"/>
          <w:sz w:val="32"/>
          <w:szCs w:val="32"/>
          <w:shd w:val="clear" w:fill="FFFFFF"/>
          <w:lang w:eastAsia="zh-CN"/>
        </w:rPr>
        <w:t>由于工作调整，政务公开负责人员多次更换，导致相关工作人员工作培训不足，熟练度不高</w:t>
      </w:r>
      <w:r>
        <w:rPr>
          <w:rFonts w:hint="default"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lang w:eastAsia="zh-CN"/>
        </w:rPr>
        <w:t>二是镇政务公开专区后续维护不充分，现场咨询服务人员职责不清晰，专区设备管理制度不明确。</w:t>
      </w:r>
    </w:p>
    <w:p>
      <w:pPr>
        <w:widowControl/>
        <w:shd w:val="clear" w:color="auto" w:fill="FFFFFF"/>
        <w:ind w:firstLine="640" w:firstLineChars="200"/>
        <w:rPr>
          <w:rFonts w:hint="eastAsia" w:ascii="黑体" w:hAnsi="黑体" w:eastAsia="黑体" w:cs="Calibri"/>
          <w:color w:val="333333"/>
          <w:kern w:val="0"/>
          <w:sz w:val="32"/>
          <w:szCs w:val="32"/>
          <w:shd w:val="clear" w:color="auto" w:fill="FFFFFF"/>
        </w:rPr>
      </w:pPr>
      <w:r>
        <w:rPr>
          <w:rFonts w:hint="eastAsia" w:ascii="仿宋" w:hAnsi="仿宋" w:eastAsia="仿宋" w:cs="仿宋"/>
          <w:i w:val="0"/>
          <w:iCs w:val="0"/>
          <w:caps w:val="0"/>
          <w:color w:val="000000"/>
          <w:spacing w:val="0"/>
          <w:sz w:val="32"/>
          <w:szCs w:val="32"/>
          <w:shd w:val="clear" w:fill="FFFFFF"/>
          <w:lang w:val="en-US" w:eastAsia="zh-CN"/>
        </w:rPr>
        <w:t>2024年度，我镇信息公开工作将围绕以上两个主要问题做出改进措施。首先，要稳定政务公开负责人员，做到少更换、少调整，针对目前的负责人工作经验不足，熟练度不高的问题，要加强政务公开工作培训，多形式、多层次地学习先进经验做法，提高业务水平。其次，继续完善镇政务公开专区建设，定期对政务公开专区现场咨询服务人员开展政务公开业务培训，明确专区设备管理制度，确保信息公开工作持续深入推进。</w:t>
      </w:r>
    </w:p>
    <w:p>
      <w:pPr>
        <w:widowControl/>
        <w:shd w:val="clear" w:color="auto" w:fill="FFFFFF"/>
        <w:ind w:firstLine="640" w:firstLineChars="200"/>
        <w:rPr>
          <w:rFonts w:ascii="Calibri" w:hAnsi="Calibri" w:eastAsia="宋体" w:cs="Calibri"/>
          <w:color w:val="333333"/>
          <w:kern w:val="0"/>
          <w:sz w:val="24"/>
          <w:szCs w:val="24"/>
        </w:rPr>
      </w:pPr>
      <w:r>
        <w:rPr>
          <w:rFonts w:hint="eastAsia" w:ascii="黑体" w:hAnsi="黑体" w:eastAsia="黑体" w:cs="Calibri"/>
          <w:color w:val="333333"/>
          <w:kern w:val="0"/>
          <w:sz w:val="32"/>
          <w:szCs w:val="32"/>
          <w:shd w:val="clear" w:color="auto" w:fill="FFFFFF"/>
        </w:rPr>
        <w:t>六、其他需要报告的事项</w:t>
      </w:r>
    </w:p>
    <w:p>
      <w:pPr>
        <w:widowControl/>
        <w:shd w:val="clear" w:color="auto" w:fill="FFFFFF"/>
        <w:ind w:firstLine="640" w:firstLineChars="200"/>
        <w:rPr>
          <w:rFonts w:hint="eastAsia"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i w:val="0"/>
          <w:iCs w:val="0"/>
          <w:caps w:val="0"/>
          <w:color w:val="000000"/>
          <w:spacing w:val="0"/>
          <w:sz w:val="32"/>
          <w:szCs w:val="32"/>
          <w:shd w:val="clear" w:fill="FFFFFF"/>
          <w:lang w:val="en-US" w:eastAsia="zh-CN"/>
        </w:rPr>
        <w:t>《关于印发〈政府信息公开信息处理费管理办法〉</w:t>
      </w:r>
      <w:bookmarkStart w:id="0" w:name="_GoBack"/>
      <w:bookmarkEnd w:id="0"/>
      <w:r>
        <w:rPr>
          <w:rFonts w:hint="eastAsia" w:ascii="仿宋" w:hAnsi="仿宋" w:eastAsia="仿宋" w:cs="仿宋"/>
          <w:i w:val="0"/>
          <w:iCs w:val="0"/>
          <w:caps w:val="0"/>
          <w:color w:val="000000"/>
          <w:spacing w:val="0"/>
          <w:sz w:val="32"/>
          <w:szCs w:val="32"/>
          <w:shd w:val="clear" w:fill="FFFFFF"/>
          <w:lang w:val="en-US" w:eastAsia="zh-CN"/>
        </w:rPr>
        <w:t>的通知》（国办函〔2020〕109 号）规定的按件、按量收费标准，本年度没有产生信息公开处理费。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AE4C00"/>
    <w:multiLevelType w:val="singleLevel"/>
    <w:tmpl w:val="F1AE4C00"/>
    <w:lvl w:ilvl="0" w:tentative="0">
      <w:start w:val="3"/>
      <w:numFmt w:val="chineseCounting"/>
      <w:suff w:val="nothing"/>
      <w:lvlText w:val="（%1）"/>
      <w:lvlJc w:val="left"/>
      <w:rPr>
        <w:rFonts w:hint="eastAsia"/>
      </w:rPr>
    </w:lvl>
  </w:abstractNum>
  <w:abstractNum w:abstractNumId="1">
    <w:nsid w:val="1790E1EA"/>
    <w:multiLevelType w:val="singleLevel"/>
    <w:tmpl w:val="1790E1EA"/>
    <w:lvl w:ilvl="0" w:tentative="0">
      <w:start w:val="1"/>
      <w:numFmt w:val="chineseCounting"/>
      <w:suff w:val="nothing"/>
      <w:lvlText w:val="%1、"/>
      <w:lvlJc w:val="left"/>
      <w:pPr>
        <w:ind w:left="630"/>
      </w:pPr>
      <w:rPr>
        <w:rFonts w:hint="eastAsia"/>
      </w:rPr>
    </w:lvl>
  </w:abstractNum>
  <w:abstractNum w:abstractNumId="2">
    <w:nsid w:val="7E74E907"/>
    <w:multiLevelType w:val="singleLevel"/>
    <w:tmpl w:val="7E74E907"/>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I5OWE1YTE0ZjBjNDU0ODliM2UwZmE3ZjVkYThmNzIifQ=="/>
  </w:docVars>
  <w:rsids>
    <w:rsidRoot w:val="00881E0F"/>
    <w:rsid w:val="003A1CFE"/>
    <w:rsid w:val="006F0ABB"/>
    <w:rsid w:val="00881E0F"/>
    <w:rsid w:val="00BC1EF7"/>
    <w:rsid w:val="00C94209"/>
    <w:rsid w:val="0BA40F4E"/>
    <w:rsid w:val="12F67A75"/>
    <w:rsid w:val="50323101"/>
    <w:rsid w:val="544B5B68"/>
    <w:rsid w:val="5FF24CA3"/>
    <w:rsid w:val="76126E45"/>
    <w:rsid w:val="77F05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DoubleOX</Company>
  <Pages>5</Pages>
  <Words>412</Words>
  <Characters>2350</Characters>
  <Lines>19</Lines>
  <Paragraphs>5</Paragraphs>
  <TotalTime>11</TotalTime>
  <ScaleCrop>false</ScaleCrop>
  <LinksUpToDate>false</LinksUpToDate>
  <CharactersWithSpaces>2757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2024-01-17T03:46:00Z</dcterms:created>
  <dc:creator>Administrator</dc:creator>
  <cp:lastModifiedBy>Administrator</cp:lastModifiedBy>
  <dcterms:modified xsi:type="dcterms:W3CDTF">2024-01-24T05:15:53Z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750B340ECAEB42AF86A6655C2D6C3240_12</vt:lpwstr>
  </property>
</Properties>
</file>