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Autospacing="0" w:afterAutospacing="0" w:line="600" w:lineRule="exact"/>
        <w:jc w:val="center"/>
        <w:rPr>
          <w:rFonts w:ascii="方正小标宋简体" w:hAnsi="Calibri" w:eastAsia="方正小标宋简体" w:cs="Times New Roman"/>
          <w:spacing w:val="-8"/>
          <w:kern w:val="0"/>
          <w:sz w:val="44"/>
          <w:szCs w:val="44"/>
          <w:lang w:val="en-US" w:eastAsia="zh-CN" w:bidi="ar-SA"/>
        </w:rPr>
      </w:pPr>
      <w:r>
        <w:rPr>
          <w:rFonts w:hint="eastAsia" w:ascii="方正小标宋简体" w:hAnsi="Calibri" w:eastAsia="方正小标宋简体" w:cs="Times New Roman"/>
          <w:spacing w:val="-8"/>
          <w:kern w:val="0"/>
          <w:sz w:val="44"/>
          <w:szCs w:val="44"/>
          <w:lang w:val="en-US" w:eastAsia="zh-CN" w:bidi="ar-SA"/>
        </w:rPr>
        <w:t>舒城县自然资源和规划局2023年政府</w:t>
      </w:r>
    </w:p>
    <w:p>
      <w:pPr>
        <w:widowControl/>
        <w:shd w:val="clear" w:color="auto" w:fill="FFFFFF"/>
        <w:spacing w:beforeAutospacing="0" w:afterAutospacing="0" w:line="600" w:lineRule="exact"/>
        <w:jc w:val="center"/>
        <w:rPr>
          <w:rFonts w:hint="eastAsia" w:ascii="方正小标宋简体" w:hAnsi="Calibri" w:eastAsia="方正小标宋简体" w:cs="Times New Roman"/>
          <w:spacing w:val="-8"/>
          <w:kern w:val="0"/>
          <w:sz w:val="44"/>
          <w:szCs w:val="44"/>
          <w:lang w:val="en-US" w:eastAsia="zh-CN" w:bidi="ar-SA"/>
        </w:rPr>
      </w:pPr>
      <w:r>
        <w:rPr>
          <w:rFonts w:hint="eastAsia" w:ascii="方正小标宋简体" w:hAnsi="Calibri" w:eastAsia="方正小标宋简体" w:cs="Times New Roman"/>
          <w:spacing w:val="-8"/>
          <w:kern w:val="0"/>
          <w:sz w:val="44"/>
          <w:szCs w:val="44"/>
          <w:lang w:val="en-US" w:eastAsia="zh-CN" w:bidi="ar-SA"/>
        </w:rPr>
        <w:t>信息公开工作年度报告</w:t>
      </w:r>
    </w:p>
    <w:p>
      <w:pPr>
        <w:widowControl/>
        <w:shd w:val="clear" w:color="auto" w:fill="FFFFFF"/>
        <w:spacing w:beforeAutospacing="0" w:afterAutospacing="0" w:line="600" w:lineRule="exact"/>
        <w:jc w:val="center"/>
        <w:rPr>
          <w:rFonts w:ascii="方正小标宋简体" w:hAnsi="Calibri" w:eastAsia="方正小标宋简体" w:cs="Times New Roman"/>
          <w:spacing w:val="-8"/>
          <w:kern w:val="0"/>
          <w:sz w:val="44"/>
          <w:szCs w:val="44"/>
          <w:lang w:val="en-US" w:eastAsia="zh-CN" w:bidi="ar-SA"/>
        </w:rPr>
      </w:pPr>
    </w:p>
    <w:p>
      <w:pPr>
        <w:widowControl/>
        <w:shd w:val="clear" w:color="auto" w:fill="FFFFFF"/>
        <w:spacing w:beforeAutospacing="0" w:afterAutospacing="0" w:line="600" w:lineRule="exact"/>
        <w:ind w:firstLine="608" w:firstLineChars="200"/>
        <w:jc w:val="both"/>
        <w:rPr>
          <w:rFonts w:ascii="仿宋_GB2312" w:hAnsi="宋体" w:eastAsia="仿宋_GB2312" w:cs="宋体"/>
          <w:color w:val="333333"/>
          <w:spacing w:val="-8"/>
          <w:kern w:val="0"/>
          <w:sz w:val="32"/>
          <w:szCs w:val="32"/>
          <w:shd w:val="clear" w:color="auto" w:fill="FFFFFF"/>
          <w:lang w:val="en-US" w:eastAsia="zh-CN" w:bidi="ar-SA"/>
        </w:rPr>
      </w:pPr>
      <w:r>
        <w:rPr>
          <w:rFonts w:hint="eastAsia" w:ascii="仿宋_GB2312" w:hAnsi="宋体" w:eastAsia="仿宋_GB2312" w:cs="宋体"/>
          <w:color w:val="333333"/>
          <w:spacing w:val="-8"/>
          <w:kern w:val="0"/>
          <w:sz w:val="32"/>
          <w:szCs w:val="32"/>
          <w:shd w:val="clear" w:color="auto" w:fill="FFFFFF"/>
          <w:lang w:val="en-US" w:eastAsia="zh-CN" w:bidi="ar-SA"/>
        </w:rPr>
        <w:t>本报告根据</w:t>
      </w:r>
      <w:r>
        <w:rPr>
          <w:rFonts w:ascii="仿宋_GB2312" w:hAnsi="宋体" w:eastAsia="仿宋_GB2312" w:cs="仿宋_GB2312"/>
          <w:i w:val="0"/>
          <w:iCs w:val="0"/>
          <w:caps w:val="0"/>
          <w:color w:val="444444"/>
          <w:spacing w:val="0"/>
          <w:sz w:val="31"/>
          <w:szCs w:val="31"/>
          <w:shd w:val="clear" w:fill="FFFFFF"/>
        </w:rPr>
        <w:t>《中华人民共和国政府信息公开条例》</w:t>
      </w:r>
      <w:r>
        <w:rPr>
          <w:rFonts w:hint="eastAsia" w:ascii="仿宋_GB2312" w:hAnsi="宋体" w:eastAsia="仿宋_GB2312" w:cs="宋体"/>
          <w:color w:val="333333"/>
          <w:spacing w:val="-8"/>
          <w:kern w:val="0"/>
          <w:sz w:val="32"/>
          <w:szCs w:val="32"/>
          <w:shd w:val="clear" w:color="auto" w:fill="FFFFFF"/>
          <w:lang w:val="en-US" w:eastAsia="zh-CN" w:bidi="ar-SA"/>
        </w:rPr>
        <w:t>（国务院令第711号）</w:t>
      </w:r>
      <w:r>
        <w:rPr>
          <w:rFonts w:ascii="仿宋_GB2312" w:hAnsi="宋体" w:eastAsia="仿宋_GB2312" w:cs="仿宋_GB2312"/>
          <w:i w:val="0"/>
          <w:iCs w:val="0"/>
          <w:caps w:val="0"/>
          <w:color w:val="444444"/>
          <w:spacing w:val="0"/>
          <w:sz w:val="31"/>
          <w:szCs w:val="31"/>
          <w:shd w:val="clear" w:fill="FFFFFF"/>
        </w:rPr>
        <w:t>要求编制</w:t>
      </w:r>
      <w:r>
        <w:rPr>
          <w:rFonts w:hint="eastAsia" w:ascii="仿宋_GB2312" w:hAnsi="宋体" w:eastAsia="仿宋_GB2312" w:cs="宋体"/>
          <w:color w:val="333333"/>
          <w:spacing w:val="-8"/>
          <w:kern w:val="0"/>
          <w:sz w:val="32"/>
          <w:szCs w:val="32"/>
          <w:shd w:val="clear" w:color="auto" w:fill="FFFFFF"/>
          <w:lang w:val="en-US" w:eastAsia="zh-CN" w:bidi="ar-SA"/>
        </w:rPr>
        <w:t>，结合我局政府信息公开工作有关统计数据撰写。报告全文主要包括：总体情况、主动公开政府信息情况、收到和处理政府信息公开申请情况、政府信息公开行政复议和行政诉讼情况、政府信息公开工作存在主要问题及改进情况和其他需要报告事项。本报告中使用数据统计期限为2023年1月1日至12月31日。本年度报告电子版年度报告可在舒城县人民政府官方网站及县自然资源局信息公开模块下载查阅。如有疑问，请与舒城县自然资源和规划局联系，联系方式：0564-8620867。现将2023年县自然资源局政府信息公开工作报告如下：</w:t>
      </w:r>
    </w:p>
    <w:p>
      <w:pPr>
        <w:widowControl/>
        <w:shd w:val="clear" w:color="auto" w:fill="FFFFFF"/>
        <w:spacing w:beforeAutospacing="0" w:afterAutospacing="0" w:line="600" w:lineRule="exact"/>
        <w:ind w:firstLine="608" w:firstLineChars="200"/>
        <w:jc w:val="both"/>
        <w:rPr>
          <w:rFonts w:ascii="黑体" w:hAnsi="黑体" w:eastAsia="黑体" w:cs="宋体"/>
          <w:bCs/>
          <w:color w:val="333333"/>
          <w:spacing w:val="-8"/>
          <w:kern w:val="0"/>
          <w:sz w:val="32"/>
          <w:szCs w:val="32"/>
          <w:shd w:val="clear" w:color="auto" w:fill="FFFFFF"/>
          <w:lang w:val="en-US" w:eastAsia="zh-CN" w:bidi="ar-SA"/>
        </w:rPr>
      </w:pPr>
      <w:r>
        <w:rPr>
          <w:rFonts w:hint="eastAsia" w:ascii="黑体" w:hAnsi="黑体" w:eastAsia="黑体" w:cs="宋体"/>
          <w:bCs/>
          <w:color w:val="333333"/>
          <w:spacing w:val="-8"/>
          <w:kern w:val="0"/>
          <w:sz w:val="32"/>
          <w:szCs w:val="32"/>
          <w:shd w:val="clear" w:color="auto" w:fill="FFFFFF"/>
          <w:lang w:val="en-US" w:eastAsia="zh-CN" w:bidi="ar-SA"/>
        </w:rPr>
        <w:t>一、总体情况</w:t>
      </w:r>
    </w:p>
    <w:p>
      <w:pPr>
        <w:widowControl/>
        <w:numPr>
          <w:ilvl w:val="0"/>
          <w:numId w:val="1"/>
        </w:numPr>
        <w:shd w:val="clear" w:color="auto" w:fill="FFFFFF"/>
        <w:spacing w:beforeAutospacing="0" w:afterAutospacing="0" w:line="600" w:lineRule="exact"/>
        <w:ind w:firstLine="608" w:firstLineChars="200"/>
        <w:jc w:val="both"/>
        <w:rPr>
          <w:rFonts w:ascii="仿宋_GB2312" w:hAnsi="宋体" w:eastAsia="仿宋_GB2312" w:cs="宋体"/>
          <w:color w:val="333333"/>
          <w:spacing w:val="-8"/>
          <w:kern w:val="0"/>
          <w:sz w:val="32"/>
          <w:szCs w:val="32"/>
          <w:shd w:val="clear" w:color="auto" w:fill="FFFFFF"/>
          <w:lang w:val="en-US" w:eastAsia="zh-CN" w:bidi="ar-SA"/>
        </w:rPr>
      </w:pPr>
      <w:bookmarkStart w:id="0" w:name="_GoBack"/>
      <w:r>
        <w:rPr>
          <w:rFonts w:hint="eastAsia" w:ascii="仿宋_GB2312" w:hAnsi="宋体" w:eastAsia="仿宋_GB2312" w:cs="宋体"/>
          <w:color w:val="333333"/>
          <w:spacing w:val="-8"/>
          <w:kern w:val="0"/>
          <w:sz w:val="32"/>
          <w:szCs w:val="32"/>
          <w:shd w:val="clear" w:color="auto" w:fill="FFFFFF"/>
          <w:lang w:val="en-US" w:eastAsia="zh-CN" w:bidi="ar-SA"/>
        </w:rPr>
        <w:t>主动公开。2023年舒城县自然资源和规划局坚持“以公开为常态，不公开为例外”原则积极在政府网站公开各类政府信息。其中重大建设项目批准和实施、公共资源配置、社会公益事业及重点民政领域等重点领域共237条；基础栏目信息230条；其他各类信息共计676条。并按要求按时按量完成本单位行政规范性文件格式调整工作。</w:t>
      </w:r>
    </w:p>
    <w:p>
      <w:pPr>
        <w:widowControl/>
        <w:numPr>
          <w:ilvl w:val="0"/>
          <w:numId w:val="1"/>
        </w:numPr>
        <w:shd w:val="clear" w:color="auto" w:fill="FFFFFF"/>
        <w:spacing w:beforeAutospacing="0" w:afterAutospacing="0" w:line="600" w:lineRule="exact"/>
        <w:ind w:firstLine="608" w:firstLineChars="200"/>
        <w:jc w:val="both"/>
        <w:rPr>
          <w:rFonts w:hint="eastAsia" w:ascii="仿宋_GB2312" w:hAnsi="宋体" w:eastAsia="仿宋_GB2312" w:cs="宋体"/>
          <w:color w:val="333333"/>
          <w:spacing w:val="-8"/>
          <w:kern w:val="0"/>
          <w:sz w:val="32"/>
          <w:szCs w:val="32"/>
          <w:shd w:val="clear" w:color="auto" w:fill="FFFFFF"/>
          <w:lang w:val="en-US" w:eastAsia="zh-CN" w:bidi="ar-SA"/>
        </w:rPr>
      </w:pPr>
      <w:r>
        <w:rPr>
          <w:rFonts w:hint="eastAsia" w:ascii="仿宋_GB2312" w:hAnsi="宋体" w:eastAsia="仿宋_GB2312" w:cs="宋体"/>
          <w:color w:val="333333"/>
          <w:spacing w:val="-8"/>
          <w:kern w:val="0"/>
          <w:sz w:val="32"/>
          <w:szCs w:val="32"/>
          <w:shd w:val="clear" w:color="auto" w:fill="FFFFFF"/>
          <w:lang w:val="en-US" w:eastAsia="zh-CN" w:bidi="ar-SA"/>
        </w:rPr>
        <w:t>依申请公开。全年共收到10份依申请公开需求，均按时答复，有效满足申请人对政府信息的个性化合理需求。本机关全年没有收到针对政府信息公开工作的行政复议和行政诉讼，未收取任何费用。</w:t>
      </w:r>
    </w:p>
    <w:p>
      <w:pPr>
        <w:widowControl/>
        <w:numPr>
          <w:ilvl w:val="0"/>
          <w:numId w:val="1"/>
        </w:numPr>
        <w:shd w:val="clear" w:color="auto" w:fill="FFFFFF"/>
        <w:spacing w:beforeAutospacing="0" w:afterAutospacing="0" w:line="600" w:lineRule="exact"/>
        <w:ind w:firstLine="608" w:firstLineChars="200"/>
        <w:jc w:val="both"/>
        <w:rPr>
          <w:rFonts w:ascii="仿宋_GB2312" w:hAnsi="宋体" w:eastAsia="仿宋_GB2312" w:cs="宋体"/>
          <w:color w:val="333333"/>
          <w:spacing w:val="-8"/>
          <w:kern w:val="0"/>
          <w:sz w:val="32"/>
          <w:szCs w:val="32"/>
          <w:shd w:val="clear" w:color="auto" w:fill="FFFFFF"/>
          <w:lang w:val="en-US" w:eastAsia="zh-CN" w:bidi="ar-SA"/>
        </w:rPr>
      </w:pPr>
      <w:r>
        <w:rPr>
          <w:rFonts w:hint="eastAsia" w:ascii="仿宋_GB2312" w:hAnsi="宋体" w:eastAsia="仿宋_GB2312" w:cs="宋体"/>
          <w:color w:val="333333"/>
          <w:spacing w:val="-8"/>
          <w:kern w:val="0"/>
          <w:sz w:val="32"/>
          <w:szCs w:val="32"/>
          <w:shd w:val="clear" w:color="auto" w:fill="FFFFFF"/>
          <w:lang w:val="en-US" w:eastAsia="zh-CN" w:bidi="ar-SA"/>
        </w:rPr>
        <w:t>政府信息管理。</w:t>
      </w:r>
    </w:p>
    <w:p>
      <w:pPr>
        <w:widowControl/>
        <w:numPr>
          <w:numId w:val="0"/>
        </w:numPr>
        <w:shd w:val="clear" w:color="auto" w:fill="FFFFFF"/>
        <w:spacing w:beforeAutospacing="0" w:afterAutospacing="0" w:line="600" w:lineRule="exact"/>
        <w:ind w:firstLine="608" w:firstLineChars="200"/>
        <w:jc w:val="both"/>
        <w:rPr>
          <w:rFonts w:ascii="仿宋_GB2312" w:hAnsi="宋体" w:eastAsia="仿宋_GB2312" w:cs="宋体"/>
          <w:color w:val="333333"/>
          <w:spacing w:val="-8"/>
          <w:kern w:val="0"/>
          <w:sz w:val="32"/>
          <w:szCs w:val="32"/>
          <w:shd w:val="clear" w:color="auto" w:fill="FFFFFF"/>
          <w:lang w:val="en-US" w:eastAsia="zh-CN" w:bidi="ar-SA"/>
        </w:rPr>
      </w:pPr>
      <w:r>
        <w:rPr>
          <w:rFonts w:hint="eastAsia" w:ascii="仿宋_GB2312" w:hAnsi="宋体" w:eastAsia="仿宋_GB2312" w:cs="宋体"/>
          <w:color w:val="333333"/>
          <w:spacing w:val="-8"/>
          <w:kern w:val="0"/>
          <w:sz w:val="32"/>
          <w:szCs w:val="32"/>
          <w:shd w:val="clear" w:color="auto" w:fill="FFFFFF"/>
          <w:lang w:val="en-US" w:eastAsia="zh-CN" w:bidi="ar-SA"/>
        </w:rPr>
        <w:t>积极配合推进基层政务公开标准化规范化建设，有效保障自然资源政策文件、国有土地使用权出让和划拨、矿业权出让转让等栏目公开，明确公开的主体、内容、时限、方式等，提升主动公开的规范化水平；在信息发布过程中，严格“三审”制度，对文字内容进行把关，切实做到目标明确、责任到位。</w:t>
      </w:r>
    </w:p>
    <w:p>
      <w:pPr>
        <w:widowControl/>
        <w:shd w:val="clear" w:color="auto" w:fill="FFFFFF"/>
        <w:spacing w:beforeAutospacing="0" w:afterAutospacing="0" w:line="600" w:lineRule="exact"/>
        <w:ind w:firstLine="608" w:firstLineChars="200"/>
        <w:jc w:val="both"/>
        <w:rPr>
          <w:rFonts w:hint="eastAsia" w:ascii="仿宋_GB2312" w:hAnsi="宋体" w:eastAsia="仿宋_GB2312" w:cs="宋体"/>
          <w:color w:val="333333"/>
          <w:spacing w:val="-8"/>
          <w:kern w:val="0"/>
          <w:sz w:val="32"/>
          <w:szCs w:val="32"/>
          <w:shd w:val="clear" w:color="auto" w:fill="FFFFFF"/>
          <w:lang w:val="en-US" w:eastAsia="zh-CN" w:bidi="ar-SA"/>
        </w:rPr>
      </w:pPr>
      <w:r>
        <w:rPr>
          <w:rFonts w:hint="eastAsia" w:ascii="仿宋_GB2312" w:hAnsi="宋体" w:eastAsia="仿宋_GB2312" w:cs="宋体"/>
          <w:color w:val="333333"/>
          <w:spacing w:val="-8"/>
          <w:kern w:val="0"/>
          <w:sz w:val="32"/>
          <w:szCs w:val="32"/>
          <w:shd w:val="clear" w:color="auto" w:fill="FFFFFF"/>
          <w:lang w:val="en-US" w:eastAsia="zh-CN" w:bidi="ar-SA"/>
        </w:rPr>
        <w:t>（四）政府信息公开平台建设。根据群众对政府信息需求，2023年我局主要通过长舒城县人民政府网站公布相关政务信息，及时、准确地做好相应栏目保障工作，为公众提供优质服务。</w:t>
      </w:r>
    </w:p>
    <w:p>
      <w:pPr>
        <w:widowControl/>
        <w:shd w:val="clear" w:color="auto" w:fill="FFFFFF"/>
        <w:spacing w:beforeAutospacing="0" w:afterAutospacing="0" w:line="560" w:lineRule="exact"/>
        <w:ind w:firstLine="608" w:firstLineChars="200"/>
        <w:jc w:val="both"/>
        <w:rPr>
          <w:rFonts w:hint="eastAsia" w:ascii="仿宋_GB2312" w:hAnsi="宋体" w:eastAsia="仿宋_GB2312" w:cs="宋体"/>
          <w:color w:val="333333"/>
          <w:spacing w:val="-8"/>
          <w:kern w:val="0"/>
          <w:sz w:val="32"/>
          <w:szCs w:val="32"/>
          <w:shd w:val="clear" w:color="auto" w:fill="FFFFFF"/>
          <w:lang w:val="en-US" w:eastAsia="zh-CN" w:bidi="ar-SA"/>
        </w:rPr>
      </w:pPr>
      <w:r>
        <w:rPr>
          <w:rFonts w:hint="eastAsia" w:ascii="仿宋_GB2312" w:hAnsi="宋体" w:eastAsia="仿宋_GB2312" w:cs="宋体"/>
          <w:color w:val="333333"/>
          <w:spacing w:val="-8"/>
          <w:kern w:val="0"/>
          <w:sz w:val="32"/>
          <w:szCs w:val="32"/>
          <w:shd w:val="clear" w:color="auto" w:fill="FFFFFF"/>
          <w:lang w:val="en-US" w:eastAsia="zh-CN" w:bidi="ar-SA"/>
        </w:rPr>
        <w:t>（五）监督保障。2023年，我局定期对网站信息公开情况进行归纳梳理和分类检查，对标对表县政务公开办反馈问题和部署要求，精准有力整改完善，推动政府信息公开平台建设质效双提升。积极参加市县组织的相关专题培训，不断提升政府信息工作能力水平。</w:t>
      </w:r>
    </w:p>
    <w:bookmarkEnd w:id="0"/>
    <w:p>
      <w:pPr>
        <w:widowControl/>
        <w:shd w:val="clear" w:color="auto" w:fill="FFFFFF"/>
        <w:spacing w:beforeAutospacing="0" w:afterAutospacing="0" w:line="560" w:lineRule="exact"/>
        <w:ind w:firstLine="608" w:firstLineChars="200"/>
        <w:jc w:val="both"/>
        <w:rPr>
          <w:rFonts w:ascii="黑体" w:hAnsi="黑体" w:eastAsia="黑体" w:cs="宋体"/>
          <w:bCs/>
          <w:color w:val="333333"/>
          <w:spacing w:val="-8"/>
          <w:kern w:val="0"/>
          <w:sz w:val="32"/>
          <w:szCs w:val="32"/>
          <w:shd w:val="clear" w:color="auto" w:fill="FFFFFF"/>
          <w:lang w:val="en-US" w:eastAsia="zh-CN" w:bidi="ar-SA"/>
        </w:rPr>
      </w:pPr>
      <w:r>
        <w:rPr>
          <w:rFonts w:hint="eastAsia" w:ascii="黑体" w:hAnsi="黑体" w:eastAsia="黑体" w:cs="宋体"/>
          <w:bCs/>
          <w:color w:val="333333"/>
          <w:spacing w:val="-8"/>
          <w:kern w:val="0"/>
          <w:sz w:val="32"/>
          <w:szCs w:val="32"/>
          <w:shd w:val="clear" w:color="auto" w:fill="FFFFFF"/>
          <w:lang w:val="en-US" w:eastAsia="zh-CN" w:bidi="ar-SA"/>
        </w:rPr>
        <w:t>二、主动公开政府信息情况</w:t>
      </w:r>
    </w:p>
    <w:tbl>
      <w:tblPr>
        <w:tblStyle w:val="2"/>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color w:val="000000"/>
                <w:spacing w:val="-8"/>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color w:val="000000"/>
                <w:spacing w:val="-8"/>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color w:val="000000"/>
                <w:spacing w:val="-8"/>
                <w:kern w:val="0"/>
                <w:sz w:val="20"/>
                <w:szCs w:val="20"/>
              </w:rPr>
              <w:t>本年</w:t>
            </w:r>
            <w:r>
              <w:rPr>
                <w:rFonts w:hint="eastAsia" w:ascii="宋体" w:hAnsi="宋体" w:eastAsia="宋体" w:cs="宋体"/>
                <w:spacing w:val="-8"/>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color w:val="000000"/>
                <w:spacing w:val="-8"/>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color w:val="000000"/>
                <w:spacing w:val="-8"/>
                <w:kern w:val="0"/>
                <w:sz w:val="20"/>
                <w:szCs w:val="20"/>
              </w:rPr>
              <w:t>现行有效件</w:t>
            </w:r>
            <w:r>
              <w:rPr>
                <w:rFonts w:hint="eastAsia" w:ascii="宋体" w:hAnsi="宋体" w:eastAsia="宋体" w:cs="宋体"/>
                <w:spacing w:val="-8"/>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left"/>
              <w:rPr>
                <w:rFonts w:ascii="Calibri" w:hAnsi="Calibri" w:eastAsia="宋体" w:cs="Times New Roman"/>
                <w:spacing w:val="-8"/>
              </w:rPr>
            </w:pPr>
            <w:r>
              <w:rPr>
                <w:rFonts w:hint="eastAsia" w:ascii="宋体" w:hAnsi="宋体" w:eastAsia="宋体" w:cs="宋体"/>
                <w:color w:val="000000"/>
                <w:spacing w:val="-8"/>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left"/>
              <w:rPr>
                <w:rFonts w:ascii="Calibri" w:hAnsi="Calibri" w:eastAsia="宋体" w:cs="Times New Roman"/>
                <w:spacing w:val="-8"/>
              </w:rPr>
            </w:pPr>
            <w:r>
              <w:rPr>
                <w:rFonts w:hint="eastAsia" w:ascii="宋体" w:hAnsi="宋体" w:eastAsia="宋体" w:cs="宋体"/>
                <w:color w:val="000000"/>
                <w:spacing w:val="-8"/>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color w:val="000000"/>
                <w:spacing w:val="-8"/>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color w:val="000000"/>
                <w:spacing w:val="-8"/>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color w:val="000000"/>
                <w:spacing w:val="-8"/>
                <w:kern w:val="0"/>
                <w:sz w:val="20"/>
                <w:szCs w:val="20"/>
              </w:rPr>
              <w:t>本年处理决定数量</w:t>
            </w:r>
          </w:p>
        </w:tc>
      </w:tr>
      <w:tr>
        <w:tblPrEx>
          <w:tblCellMar>
            <w:top w:w="0" w:type="dxa"/>
            <w:left w:w="0" w:type="dxa"/>
            <w:bottom w:w="0" w:type="dxa"/>
            <w:right w:w="0" w:type="dxa"/>
          </w:tblCellMar>
        </w:tblPrEx>
        <w:trPr>
          <w:trHeight w:val="31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color w:val="000000"/>
                <w:spacing w:val="-8"/>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hint="default" w:ascii="Calibri" w:hAnsi="Calibri" w:eastAsia="宋体" w:cs="Times New Roman"/>
                <w:spacing w:val="-8"/>
                <w:lang w:val="en-US" w:eastAsia="zh-CN"/>
              </w:rPr>
            </w:pPr>
            <w:r>
              <w:rPr>
                <w:rFonts w:hint="eastAsia" w:ascii="Calibri" w:hAnsi="Calibri" w:eastAsia="宋体" w:cs="Times New Roman"/>
                <w:spacing w:val="-8"/>
                <w:lang w:val="en-US" w:eastAsia="zh-CN"/>
              </w:rPr>
              <w:t>141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color w:val="000000"/>
                <w:spacing w:val="-8"/>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color w:val="000000"/>
                <w:spacing w:val="-8"/>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color w:val="000000"/>
                <w:spacing w:val="-8"/>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left"/>
              <w:rPr>
                <w:rFonts w:ascii="Calibri" w:hAnsi="Calibri" w:eastAsia="宋体" w:cs="Times New Roman"/>
                <w:spacing w:val="-8"/>
              </w:rPr>
            </w:pPr>
            <w:r>
              <w:rPr>
                <w:rFonts w:hint="eastAsia" w:ascii="宋体" w:hAnsi="宋体" w:eastAsia="宋体" w:cs="宋体"/>
                <w:color w:val="000000"/>
                <w:spacing w:val="-8"/>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hint="default" w:ascii="Calibri" w:hAnsi="Calibri" w:eastAsia="宋体" w:cs="Times New Roman"/>
                <w:spacing w:val="-8"/>
                <w:lang w:val="en-US" w:eastAsia="zh-CN"/>
              </w:rPr>
            </w:pPr>
            <w:r>
              <w:rPr>
                <w:rFonts w:hint="eastAsia" w:ascii="Calibri" w:hAnsi="Calibri" w:eastAsia="宋体" w:cs="Times New Roman"/>
                <w:spacing w:val="-8"/>
                <w:lang w:val="en-US" w:eastAsia="zh-CN"/>
              </w:rPr>
              <w:t>20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left"/>
              <w:rPr>
                <w:rFonts w:ascii="Calibri" w:hAnsi="Calibri" w:eastAsia="宋体" w:cs="Times New Roman"/>
                <w:spacing w:val="-8"/>
              </w:rPr>
            </w:pPr>
            <w:r>
              <w:rPr>
                <w:rFonts w:hint="eastAsia" w:ascii="宋体" w:hAnsi="宋体" w:eastAsia="宋体" w:cs="宋体"/>
                <w:color w:val="000000"/>
                <w:spacing w:val="-8"/>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color w:val="000000"/>
                <w:spacing w:val="-8"/>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color w:val="000000"/>
                <w:spacing w:val="-8"/>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color w:val="000000"/>
                <w:spacing w:val="-8"/>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left"/>
              <w:rPr>
                <w:rFonts w:ascii="Calibri" w:hAnsi="Calibri" w:eastAsia="宋体" w:cs="Times New Roman"/>
                <w:spacing w:val="-8"/>
              </w:rPr>
            </w:pPr>
            <w:r>
              <w:rPr>
                <w:rFonts w:hint="eastAsia" w:ascii="宋体" w:hAnsi="宋体" w:eastAsia="宋体" w:cs="宋体"/>
                <w:color w:val="000000"/>
                <w:spacing w:val="-8"/>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spacing w:line="600" w:lineRule="exact"/>
              <w:jc w:val="center"/>
              <w:rPr>
                <w:rFonts w:hint="default" w:ascii="宋体" w:hAnsi="Calibri" w:eastAsia="宋体" w:cs="Times New Roman"/>
                <w:spacing w:val="-8"/>
                <w:sz w:val="24"/>
                <w:lang w:val="en-US" w:eastAsia="zh-CN"/>
              </w:rPr>
            </w:pPr>
            <w:r>
              <w:rPr>
                <w:rFonts w:hint="eastAsia" w:ascii="Calibri" w:hAnsi="Calibri" w:eastAsia="宋体" w:cs="Times New Roman"/>
                <w:spacing w:val="-8"/>
                <w:lang w:val="en-US" w:eastAsia="zh-CN"/>
              </w:rPr>
              <w:t>5353130.1</w:t>
            </w:r>
          </w:p>
        </w:tc>
      </w:tr>
    </w:tbl>
    <w:p>
      <w:pPr>
        <w:widowControl/>
        <w:spacing w:line="600" w:lineRule="exact"/>
        <w:jc w:val="left"/>
        <w:rPr>
          <w:rFonts w:ascii="Calibri" w:hAnsi="Calibri" w:eastAsia="宋体" w:cs="Times New Roman"/>
          <w:spacing w:val="-8"/>
        </w:rPr>
      </w:pPr>
    </w:p>
    <w:p>
      <w:pPr>
        <w:widowControl/>
        <w:shd w:val="clear" w:color="auto" w:fill="FFFFFF"/>
        <w:spacing w:beforeAutospacing="0" w:afterAutospacing="0" w:line="600" w:lineRule="exact"/>
        <w:ind w:firstLine="420"/>
        <w:jc w:val="both"/>
        <w:rPr>
          <w:rFonts w:ascii="黑体" w:hAnsi="黑体" w:eastAsia="黑体" w:cs="宋体"/>
          <w:bCs/>
          <w:color w:val="333333"/>
          <w:spacing w:val="-8"/>
          <w:kern w:val="0"/>
          <w:sz w:val="32"/>
          <w:szCs w:val="32"/>
          <w:shd w:val="clear" w:color="auto" w:fill="FFFFFF"/>
          <w:lang w:val="en-US" w:eastAsia="zh-CN" w:bidi="ar-SA"/>
        </w:rPr>
      </w:pPr>
      <w:r>
        <w:rPr>
          <w:rFonts w:hint="eastAsia" w:ascii="黑体" w:hAnsi="黑体" w:eastAsia="黑体" w:cs="宋体"/>
          <w:bCs/>
          <w:color w:val="333333"/>
          <w:spacing w:val="-8"/>
          <w:kern w:val="0"/>
          <w:sz w:val="32"/>
          <w:szCs w:val="32"/>
          <w:shd w:val="clear" w:color="auto" w:fill="FFFFFF"/>
          <w:lang w:val="en-US" w:eastAsia="zh-CN" w:bidi="ar-SA"/>
        </w:rPr>
        <w:t>三、收到和处理政府信息公开申请情况</w:t>
      </w:r>
    </w:p>
    <w:tbl>
      <w:tblPr>
        <w:tblStyle w:val="2"/>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4"/>
        <w:gridCol w:w="939"/>
        <w:gridCol w:w="3205"/>
        <w:gridCol w:w="685"/>
        <w:gridCol w:w="692"/>
        <w:gridCol w:w="692"/>
        <w:gridCol w:w="692"/>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spacing w:line="600" w:lineRule="exact"/>
              <w:jc w:val="left"/>
              <w:rPr>
                <w:rFonts w:ascii="Calibri" w:hAnsi="Calibri" w:eastAsia="宋体" w:cs="Times New Roman"/>
                <w:spacing w:val="-8"/>
              </w:rPr>
            </w:pPr>
            <w:r>
              <w:rPr>
                <w:rFonts w:ascii="宋体" w:hAnsi="宋体" w:eastAsia="宋体" w:cs="宋体"/>
                <w:spacing w:val="-8"/>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spacing w:line="600" w:lineRule="exact"/>
              <w:rPr>
                <w:rFonts w:ascii="宋体" w:hAnsi="Calibri" w:eastAsia="宋体" w:cs="Times New Roman"/>
                <w:spacing w:val="-8"/>
                <w:sz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spacing w:line="600" w:lineRule="exact"/>
              <w:rPr>
                <w:rFonts w:ascii="宋体" w:hAnsi="Calibri" w:eastAsia="宋体" w:cs="Times New Roman"/>
                <w:spacing w:val="-8"/>
                <w:sz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商业</w:t>
            </w:r>
          </w:p>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企业</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科研</w:t>
            </w:r>
          </w:p>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机构</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spacing w:line="600" w:lineRule="exact"/>
              <w:rPr>
                <w:rFonts w:ascii="宋体" w:hAnsi="Calibri" w:eastAsia="宋体" w:cs="Times New Roman"/>
                <w:spacing w:val="-8"/>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hint="default" w:ascii="Calibri" w:hAnsi="Calibri" w:eastAsia="宋体" w:cs="Times New Roman"/>
                <w:spacing w:val="-8"/>
                <w:lang w:val="en-US" w:eastAsia="zh-CN"/>
              </w:rPr>
            </w:pPr>
            <w:r>
              <w:rPr>
                <w:rFonts w:hint="eastAsia" w:ascii="Calibri" w:hAnsi="Calibri" w:eastAsia="宋体" w:cs="Times New Roman"/>
                <w:spacing w:val="-8"/>
                <w:lang w:val="en-US" w:eastAsia="zh-CN"/>
              </w:rPr>
              <w:t>8</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hint="eastAsia" w:ascii="Calibri" w:hAnsi="Calibri" w:eastAsia="宋体" w:cs="Times New Roman"/>
                <w:spacing w:val="-8"/>
                <w:lang w:eastAsia="zh-CN"/>
              </w:rPr>
            </w:pPr>
            <w:r>
              <w:rPr>
                <w:rFonts w:hint="eastAsia" w:ascii="Calibri" w:hAnsi="Calibri" w:eastAsia="宋体" w:cs="Times New Roman"/>
                <w:spacing w:val="-8"/>
                <w:lang w:val="en-US" w:eastAsia="zh-CN"/>
              </w:rPr>
              <w:t>2</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hint="default" w:ascii="Calibri" w:hAnsi="Calibri" w:eastAsia="宋体" w:cs="Times New Roman"/>
                <w:spacing w:val="-8"/>
                <w:lang w:val="en-US" w:eastAsia="zh-CN"/>
              </w:rPr>
            </w:pPr>
            <w:r>
              <w:rPr>
                <w:rFonts w:hint="eastAsia" w:ascii="Calibri" w:hAnsi="Calibri" w:eastAsia="宋体" w:cs="Times New Roman"/>
                <w:spacing w:val="-8"/>
                <w:lang w:val="en-US" w:eastAsia="zh-CN"/>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hint="default" w:ascii="Calibri" w:hAnsi="Calibri" w:eastAsia="宋体" w:cs="Times New Roman"/>
                <w:spacing w:val="-8"/>
                <w:lang w:val="en-US" w:eastAsia="zh-CN"/>
              </w:rPr>
            </w:pPr>
            <w:r>
              <w:rPr>
                <w:rFonts w:hint="eastAsia" w:ascii="Calibri" w:hAnsi="Calibri" w:eastAsia="宋体" w:cs="Times New Roman"/>
                <w:spacing w:val="-8"/>
                <w:lang w:val="en-US" w:eastAsia="zh-CN"/>
              </w:rPr>
              <w:t>3</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hint="eastAsia" w:ascii="Calibri" w:hAnsi="Calibri" w:eastAsia="宋体" w:cs="Times New Roman"/>
                <w:spacing w:val="-8"/>
                <w:lang w:eastAsia="zh-CN"/>
              </w:rPr>
            </w:pPr>
            <w:r>
              <w:rPr>
                <w:rFonts w:hint="eastAsia" w:ascii="Calibri" w:hAnsi="Calibri" w:eastAsia="宋体" w:cs="Times New Roman"/>
                <w:spacing w:val="-8"/>
                <w:lang w:val="en-US" w:eastAsia="zh-CN"/>
              </w:rPr>
              <w:t>1</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hint="default" w:ascii="Calibri" w:hAnsi="Calibri" w:eastAsia="宋体" w:cs="Times New Roman"/>
                <w:spacing w:val="-8"/>
                <w:lang w:val="en-US" w:eastAsia="zh-CN"/>
              </w:rPr>
            </w:pPr>
            <w:r>
              <w:rPr>
                <w:rFonts w:hint="eastAsia" w:ascii="Calibri" w:hAnsi="Calibri" w:eastAsia="宋体" w:cs="Times New Roman"/>
                <w:spacing w:val="-8"/>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（二）部分公开</w:t>
            </w:r>
            <w:r>
              <w:rPr>
                <w:rFonts w:hint="eastAsia" w:ascii="楷体" w:hAnsi="楷体" w:eastAsia="楷体" w:cs="楷体"/>
                <w:spacing w:val="-8"/>
                <w:kern w:val="0"/>
                <w:sz w:val="20"/>
                <w:szCs w:val="20"/>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hint="default" w:ascii="Calibri" w:hAnsi="Calibri" w:eastAsia="宋体" w:cs="Times New Roman"/>
                <w:spacing w:val="-8"/>
                <w:lang w:val="en-US" w:eastAsia="zh-CN"/>
              </w:rPr>
            </w:pPr>
            <w:r>
              <w:rPr>
                <w:rFonts w:hint="eastAsia" w:ascii="Calibri" w:hAnsi="Calibri" w:eastAsia="宋体" w:cs="Times New Roman"/>
                <w:spacing w:val="-8"/>
                <w:lang w:val="en-US" w:eastAsia="zh-CN"/>
              </w:rPr>
              <w:t>3</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hint="eastAsia" w:ascii="Calibri" w:hAnsi="Calibri" w:eastAsia="宋体" w:cs="Times New Roman"/>
                <w:spacing w:val="-8"/>
                <w:lang w:eastAsia="zh-CN"/>
              </w:rPr>
            </w:pPr>
            <w:r>
              <w:rPr>
                <w:rFonts w:hint="eastAsia" w:ascii="Calibri" w:hAnsi="Calibri" w:eastAsia="宋体" w:cs="Times New Roman"/>
                <w:spacing w:val="-8"/>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hint="eastAsia" w:ascii="Calibri" w:hAnsi="Calibri" w:eastAsia="宋体" w:cs="Times New Roman"/>
                <w:spacing w:val="-8"/>
                <w:lang w:val="en-US" w:eastAsia="zh-CN"/>
              </w:rPr>
            </w:pPr>
            <w:r>
              <w:rPr>
                <w:rFonts w:hint="eastAsia" w:ascii="Calibri" w:hAnsi="Calibri" w:eastAsia="宋体" w:cs="Times New Roman"/>
                <w:spacing w:val="-8"/>
                <w:lang w:val="en-US" w:eastAsia="zh-CN"/>
              </w:rPr>
              <w:t>2</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hint="eastAsia" w:ascii="Calibri" w:hAnsi="Calibri" w:eastAsia="宋体" w:cs="Times New Roman"/>
                <w:spacing w:val="-8"/>
                <w:lang w:val="en-US" w:eastAsia="zh-CN"/>
              </w:rPr>
            </w:pPr>
            <w:r>
              <w:rPr>
                <w:rFonts w:hint="eastAsia" w:ascii="Calibri" w:hAnsi="Calibri" w:eastAsia="宋体" w:cs="Times New Roman"/>
                <w:spacing w:val="-8"/>
                <w:lang w:val="en-US" w:eastAsia="zh-CN"/>
              </w:rPr>
              <w:t>1</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hint="default" w:ascii="Calibri" w:hAnsi="Calibri" w:eastAsia="宋体" w:cs="Times New Roman"/>
                <w:spacing w:val="-8"/>
                <w:lang w:val="en-US" w:eastAsia="zh-CN"/>
              </w:rPr>
            </w:pPr>
            <w:r>
              <w:rPr>
                <w:rFonts w:hint="eastAsia" w:ascii="Calibri" w:hAnsi="Calibri" w:eastAsia="宋体" w:cs="Times New Roman"/>
                <w:spacing w:val="-8"/>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hint="default" w:ascii="Calibri" w:hAnsi="Calibri" w:eastAsia="宋体" w:cs="Times New Roman"/>
                <w:spacing w:val="-8"/>
                <w:lang w:val="en-US" w:eastAsia="zh-CN"/>
              </w:rPr>
            </w:pPr>
            <w:r>
              <w:rPr>
                <w:rFonts w:hint="eastAsia" w:ascii="Calibri" w:hAnsi="Calibri" w:eastAsia="宋体" w:cs="Times New Roman"/>
                <w:spacing w:val="-8"/>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hint="default" w:ascii="Calibri" w:hAnsi="Calibri" w:eastAsia="宋体" w:cs="Times New Roman"/>
                <w:spacing w:val="-8"/>
                <w:lang w:val="en-US" w:eastAsia="zh-CN"/>
              </w:rPr>
            </w:pPr>
            <w:r>
              <w:rPr>
                <w:rFonts w:hint="eastAsia" w:ascii="Calibri" w:hAnsi="Calibri" w:eastAsia="宋体" w:cs="Times New Roman"/>
                <w:spacing w:val="-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600" w:lineRule="exact"/>
              <w:rPr>
                <w:rFonts w:ascii="Calibri" w:hAnsi="Calibri" w:eastAsia="宋体" w:cs="Times New Roman"/>
                <w:spacing w:val="-8"/>
              </w:rPr>
            </w:pPr>
            <w:r>
              <w:rPr>
                <w:rFonts w:hint="eastAsia" w:ascii="宋体" w:hAnsi="宋体" w:eastAsia="宋体" w:cs="宋体"/>
                <w:spacing w:val="-8"/>
                <w:kern w:val="0"/>
                <w:sz w:val="20"/>
                <w:szCs w:val="20"/>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p>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p>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p>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p>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p>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p>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p>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rPr>
                <w:rFonts w:ascii="Calibri" w:hAnsi="Calibri" w:eastAsia="宋体" w:cs="Times New Roman"/>
                <w:spacing w:val="-8"/>
              </w:rPr>
            </w:pPr>
            <w:r>
              <w:rPr>
                <w:rFonts w:hint="eastAsia" w:ascii="宋体" w:hAnsi="宋体" w:eastAsia="宋体" w:cs="宋体"/>
                <w:spacing w:val="-8"/>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hint="eastAsia" w:ascii="Calibri" w:hAnsi="Calibri" w:eastAsia="宋体" w:cs="Times New Roman"/>
                <w:spacing w:val="-8"/>
              </w:rPr>
            </w:pPr>
          </w:p>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rPr>
                <w:rFonts w:ascii="Calibri" w:hAnsi="Calibri" w:eastAsia="宋体" w:cs="Times New Roman"/>
                <w:spacing w:val="-8"/>
              </w:rPr>
            </w:pPr>
            <w:r>
              <w:rPr>
                <w:rFonts w:hint="eastAsia" w:ascii="宋体" w:hAnsi="宋体" w:eastAsia="宋体" w:cs="宋体"/>
                <w:spacing w:val="-8"/>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p>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hAnsi="Calibri" w:eastAsia="宋体" w:cs="Times New Roman"/>
                <w:spacing w:val="-8"/>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hint="default" w:ascii="Calibri" w:hAnsi="Calibri" w:eastAsia="宋体" w:cs="Times New Roman"/>
                <w:spacing w:val="-8"/>
                <w:lang w:val="en-US" w:eastAsia="zh-CN"/>
              </w:rPr>
            </w:pPr>
            <w:r>
              <w:rPr>
                <w:rFonts w:hint="eastAsia" w:ascii="Calibri" w:hAnsi="Calibri" w:eastAsia="宋体" w:cs="Times New Roman"/>
                <w:spacing w:val="-8"/>
                <w:lang w:val="en-US" w:eastAsia="zh-CN"/>
              </w:rPr>
              <w:t>8</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hint="eastAsia" w:ascii="Calibri" w:hAnsi="Calibri" w:eastAsia="宋体" w:cs="Times New Roman"/>
                <w:spacing w:val="-8"/>
                <w:lang w:val="en-US" w:eastAsia="zh-CN"/>
              </w:rPr>
            </w:pPr>
            <w:r>
              <w:rPr>
                <w:rFonts w:hint="eastAsia" w:ascii="Calibri" w:hAnsi="Calibri" w:eastAsia="宋体" w:cs="Times New Roman"/>
                <w:spacing w:val="-8"/>
                <w:lang w:val="en-US" w:eastAsia="zh-CN"/>
              </w:rPr>
              <w:t>2</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hint="default" w:ascii="Calibri" w:hAnsi="Calibri" w:eastAsia="宋体" w:cs="Times New Roman"/>
                <w:spacing w:val="-8"/>
                <w:lang w:val="en-US" w:eastAsia="zh-CN"/>
              </w:rPr>
            </w:pPr>
            <w:r>
              <w:rPr>
                <w:rFonts w:hint="eastAsia" w:ascii="Calibri" w:hAnsi="Calibri" w:eastAsia="宋体" w:cs="Times New Roman"/>
                <w:spacing w:val="-8"/>
                <w:lang w:val="en-US" w:eastAsia="zh-CN"/>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left"/>
              <w:rPr>
                <w:rFonts w:ascii="Calibri" w:hAnsi="Calibri" w:eastAsia="宋体" w:cs="Times New Roman"/>
                <w:spacing w:val="-8"/>
              </w:rPr>
            </w:pPr>
            <w:r>
              <w:rPr>
                <w:rFonts w:hint="eastAsia" w:ascii="宋体" w:hAnsi="宋体" w:eastAsia="宋体" w:cs="宋体"/>
                <w:spacing w:val="-8"/>
                <w:kern w:val="0"/>
                <w:sz w:val="20"/>
                <w:szCs w:val="20"/>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spacing w:line="600" w:lineRule="exact"/>
              <w:jc w:val="center"/>
              <w:rPr>
                <w:rFonts w:ascii="宋体" w:hAnsi="Calibri" w:eastAsia="宋体" w:cs="Times New Roman"/>
                <w:spacing w:val="-8"/>
                <w:sz w:val="24"/>
              </w:rPr>
            </w:pPr>
            <w:r>
              <w:rPr>
                <w:rFonts w:hint="eastAsia" w:ascii="Calibri" w:hAnsi="Calibri" w:eastAsia="宋体" w:cs="Times New Roman"/>
                <w:spacing w:val="-8"/>
                <w:lang w:val="en-US" w:eastAsia="zh-CN"/>
              </w:rPr>
              <w:t>0</w:t>
            </w:r>
          </w:p>
        </w:tc>
      </w:tr>
    </w:tbl>
    <w:p>
      <w:pPr>
        <w:widowControl/>
        <w:shd w:val="clear" w:color="auto" w:fill="FFFFFF"/>
        <w:spacing w:line="600" w:lineRule="exact"/>
        <w:rPr>
          <w:rFonts w:hint="eastAsia" w:ascii="宋体" w:hAnsi="宋体" w:eastAsia="宋体" w:cs="宋体"/>
          <w:color w:val="333333"/>
          <w:spacing w:val="-8"/>
          <w:sz w:val="16"/>
          <w:szCs w:val="16"/>
        </w:rPr>
      </w:pPr>
    </w:p>
    <w:p>
      <w:pPr>
        <w:widowControl/>
        <w:shd w:val="clear" w:color="auto" w:fill="FFFFFF"/>
        <w:spacing w:line="600" w:lineRule="exact"/>
        <w:rPr>
          <w:rFonts w:hint="eastAsia" w:ascii="宋体" w:hAnsi="宋体" w:eastAsia="宋体" w:cs="宋体"/>
          <w:color w:val="333333"/>
          <w:spacing w:val="-8"/>
          <w:sz w:val="16"/>
          <w:szCs w:val="16"/>
        </w:rPr>
      </w:pPr>
    </w:p>
    <w:p>
      <w:pPr>
        <w:widowControl/>
        <w:shd w:val="clear" w:color="auto" w:fill="FFFFFF"/>
        <w:spacing w:line="600" w:lineRule="exact"/>
        <w:rPr>
          <w:rFonts w:ascii="宋体" w:hAnsi="宋体" w:eastAsia="宋体" w:cs="宋体"/>
          <w:color w:val="333333"/>
          <w:spacing w:val="-8"/>
          <w:sz w:val="16"/>
          <w:szCs w:val="16"/>
        </w:rPr>
      </w:pPr>
    </w:p>
    <w:p>
      <w:pPr>
        <w:widowControl/>
        <w:shd w:val="clear" w:color="auto" w:fill="FFFFFF"/>
        <w:spacing w:beforeAutospacing="0" w:afterAutospacing="0" w:line="600" w:lineRule="exact"/>
        <w:ind w:firstLine="420"/>
        <w:jc w:val="both"/>
        <w:rPr>
          <w:rFonts w:ascii="黑体" w:hAnsi="黑体" w:eastAsia="黑体" w:cs="宋体"/>
          <w:bCs/>
          <w:color w:val="333333"/>
          <w:spacing w:val="-8"/>
          <w:kern w:val="0"/>
          <w:sz w:val="32"/>
          <w:szCs w:val="32"/>
          <w:shd w:val="clear" w:color="auto" w:fill="FFFFFF"/>
          <w:lang w:val="en-US" w:eastAsia="zh-CN" w:bidi="ar-SA"/>
        </w:rPr>
      </w:pPr>
      <w:r>
        <w:rPr>
          <w:rFonts w:hint="eastAsia" w:ascii="黑体" w:hAnsi="黑体" w:eastAsia="黑体" w:cs="宋体"/>
          <w:bCs/>
          <w:color w:val="333333"/>
          <w:spacing w:val="-8"/>
          <w:kern w:val="0"/>
          <w:sz w:val="32"/>
          <w:szCs w:val="32"/>
          <w:shd w:val="clear" w:color="auto" w:fill="FFFFFF"/>
          <w:lang w:val="en-US" w:eastAsia="zh-CN" w:bidi="ar-SA"/>
        </w:rPr>
        <w:t>四、政府信息公开行政复议、行政诉讼情况</w:t>
      </w:r>
    </w:p>
    <w:tbl>
      <w:tblPr>
        <w:tblStyle w:val="2"/>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hAnsi="Calibri" w:eastAsia="宋体" w:cs="Times New Roman"/>
                <w:spacing w:val="-8"/>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hAnsi="Calibri" w:eastAsia="宋体" w:cs="Times New Roman"/>
                <w:spacing w:val="-8"/>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hAnsi="Calibri" w:eastAsia="宋体" w:cs="Times New Roman"/>
                <w:spacing w:val="-8"/>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hAnsi="Calibri" w:eastAsia="宋体" w:cs="Times New Roman"/>
                <w:spacing w:val="-8"/>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hAnsi="Calibri" w:eastAsia="宋体" w:cs="Times New Roman"/>
                <w:spacing w:val="-8"/>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color w:val="000000"/>
                <w:spacing w:val="-8"/>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color w:val="000000"/>
                <w:spacing w:val="-8"/>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spacing w:val="-8"/>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宋体" w:hAnsi="宋体" w:eastAsia="宋体" w:cs="宋体"/>
                <w:color w:val="000000"/>
                <w:spacing w:val="-8"/>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Calibri" w:hAnsi="Calibri" w:eastAsia="宋体" w:cs="Times New Roman"/>
                <w:spacing w:val="-8"/>
              </w:rPr>
            </w:pPr>
            <w:r>
              <w:rPr>
                <w:rFonts w:hint="eastAsia" w:ascii="Calibri" w:hAnsi="Calibri" w:eastAsia="宋体" w:cs="Times New Roman"/>
                <w:spacing w:val="-8"/>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jc w:val="center"/>
              <w:rPr>
                <w:rFonts w:hint="eastAsia" w:ascii="宋体" w:hAnsi="Calibri" w:eastAsia="宋体" w:cs="Times New Roman"/>
                <w:spacing w:val="-8"/>
                <w:sz w:val="24"/>
                <w:lang w:val="en-US" w:eastAsia="zh-CN"/>
              </w:rPr>
            </w:pPr>
            <w:r>
              <w:rPr>
                <w:rFonts w:hint="eastAsia" w:ascii="Calibri" w:hAnsi="Calibri" w:eastAsia="宋体" w:cs="Times New Roman"/>
                <w:spacing w:val="-8"/>
                <w:lang w:val="en-US" w:eastAsia="zh-CN"/>
              </w:rPr>
              <w:t>0</w:t>
            </w:r>
          </w:p>
        </w:tc>
      </w:tr>
    </w:tbl>
    <w:p>
      <w:pPr>
        <w:widowControl/>
        <w:shd w:val="clear" w:color="auto" w:fill="FFFFFF"/>
        <w:spacing w:beforeAutospacing="0" w:afterAutospacing="0" w:line="600" w:lineRule="exact"/>
        <w:jc w:val="both"/>
        <w:rPr>
          <w:rFonts w:hint="eastAsia" w:ascii="黑体" w:hAnsi="黑体" w:eastAsia="黑体" w:cs="宋体"/>
          <w:bCs/>
          <w:color w:val="333333"/>
          <w:spacing w:val="-8"/>
          <w:kern w:val="0"/>
          <w:sz w:val="32"/>
          <w:szCs w:val="32"/>
          <w:shd w:val="clear" w:color="auto" w:fill="FFFFFF"/>
          <w:lang w:val="en-US" w:eastAsia="zh-CN" w:bidi="ar-SA"/>
        </w:rPr>
      </w:pPr>
    </w:p>
    <w:p>
      <w:pPr>
        <w:widowControl/>
        <w:shd w:val="clear" w:color="auto" w:fill="FFFFFF"/>
        <w:spacing w:beforeAutospacing="0" w:afterAutospacing="0" w:line="600" w:lineRule="exact"/>
        <w:ind w:firstLine="608" w:firstLineChars="200"/>
        <w:jc w:val="both"/>
        <w:rPr>
          <w:rFonts w:ascii="黑体" w:hAnsi="黑体" w:eastAsia="黑体" w:cs="宋体"/>
          <w:bCs/>
          <w:color w:val="333333"/>
          <w:spacing w:val="-8"/>
          <w:kern w:val="0"/>
          <w:sz w:val="32"/>
          <w:szCs w:val="32"/>
          <w:shd w:val="clear" w:color="auto" w:fill="FFFFFF"/>
          <w:lang w:val="en-US" w:eastAsia="zh-CN" w:bidi="ar-SA"/>
        </w:rPr>
      </w:pPr>
      <w:r>
        <w:rPr>
          <w:rFonts w:hint="eastAsia" w:ascii="黑体" w:hAnsi="黑体" w:eastAsia="黑体" w:cs="宋体"/>
          <w:bCs/>
          <w:color w:val="333333"/>
          <w:spacing w:val="-8"/>
          <w:kern w:val="0"/>
          <w:sz w:val="32"/>
          <w:szCs w:val="32"/>
          <w:shd w:val="clear" w:color="auto" w:fill="FFFFFF"/>
          <w:lang w:val="en-US" w:eastAsia="zh-CN" w:bidi="ar-SA"/>
        </w:rPr>
        <w:t>五、存在的主要问题及改进情况</w:t>
      </w:r>
    </w:p>
    <w:p>
      <w:pPr>
        <w:widowControl/>
        <w:shd w:val="clear" w:color="auto" w:fill="FFFFFF"/>
        <w:spacing w:beforeAutospacing="0" w:afterAutospacing="0" w:line="600" w:lineRule="exact"/>
        <w:ind w:firstLine="608" w:firstLineChars="200"/>
        <w:jc w:val="both"/>
        <w:rPr>
          <w:rFonts w:hint="eastAsia" w:ascii="仿宋_GB2312" w:hAnsi="宋体" w:eastAsia="仿宋_GB2312" w:cs="宋体"/>
          <w:bCs/>
          <w:color w:val="333333"/>
          <w:spacing w:val="-8"/>
          <w:kern w:val="0"/>
          <w:sz w:val="32"/>
          <w:szCs w:val="32"/>
          <w:shd w:val="clear" w:color="auto" w:fill="FFFFFF"/>
          <w:lang w:val="en-US" w:eastAsia="zh-CN" w:bidi="ar-SA"/>
        </w:rPr>
      </w:pPr>
      <w:r>
        <w:rPr>
          <w:rFonts w:hint="eastAsia" w:ascii="仿宋_GB2312" w:hAnsi="宋体" w:eastAsia="仿宋_GB2312" w:cs="宋体"/>
          <w:bCs/>
          <w:color w:val="333333"/>
          <w:spacing w:val="-8"/>
          <w:kern w:val="0"/>
          <w:sz w:val="32"/>
          <w:szCs w:val="32"/>
          <w:shd w:val="clear" w:color="auto" w:fill="FFFFFF"/>
          <w:lang w:val="en-US" w:eastAsia="zh-CN" w:bidi="ar-SA"/>
        </w:rPr>
        <w:t>2023年，我局认真推进政务公开各项工作，严格做到应公开尽公开，但依然还有需改进提高的地方。一是统筹全局开展政务公开工作的强度还不够；二是政策解读的方式和解读效果还需改进和提升；三是政务公开工作人员能力水平还需持续提升，人员队伍还需加强。</w:t>
      </w:r>
    </w:p>
    <w:p>
      <w:pPr>
        <w:widowControl/>
        <w:shd w:val="clear" w:color="auto" w:fill="FFFFFF"/>
        <w:spacing w:beforeAutospacing="0" w:afterAutospacing="0" w:line="600" w:lineRule="exact"/>
        <w:ind w:firstLine="608" w:firstLineChars="200"/>
        <w:jc w:val="both"/>
        <w:rPr>
          <w:rFonts w:hint="eastAsia" w:ascii="仿宋_GB2312" w:hAnsi="宋体" w:eastAsia="仿宋_GB2312" w:cs="宋体"/>
          <w:bCs/>
          <w:color w:val="333333"/>
          <w:spacing w:val="-8"/>
          <w:kern w:val="0"/>
          <w:sz w:val="32"/>
          <w:szCs w:val="32"/>
          <w:shd w:val="clear" w:color="auto" w:fill="FFFFFF"/>
          <w:lang w:val="en-US" w:eastAsia="zh-CN" w:bidi="ar-SA"/>
        </w:rPr>
      </w:pPr>
      <w:r>
        <w:rPr>
          <w:rFonts w:hint="eastAsia" w:ascii="仿宋_GB2312" w:hAnsi="宋体" w:eastAsia="仿宋_GB2312" w:cs="宋体"/>
          <w:bCs/>
          <w:color w:val="333333"/>
          <w:spacing w:val="-8"/>
          <w:kern w:val="0"/>
          <w:sz w:val="32"/>
          <w:szCs w:val="32"/>
          <w:shd w:val="clear" w:color="auto" w:fill="FFFFFF"/>
          <w:lang w:val="en-US" w:eastAsia="zh-CN" w:bidi="ar-SA"/>
        </w:rPr>
        <w:t>2024年，我局将坚持以习近平新时代中国特色社会主义思想为指导，结合部门工作实际，持续提升信息公开水平。一是优化政务公开平台建设。进一步完善公开渠道、优化栏目设置，围绕公共资源交易、重大项目建设等重点领域，进一步加大政府信息公开力度，深化公开内容，提升公开效果。二是丰富政策解读形式。根据“谁起草、谁解读”原则，通过图文图表、音视频、动漫等多种形式解读政策，扩大政策影响范围。三是加强业务能力培训。组织局机关各股室政务公开工作相关人员积极参加业务培训，切实提升信息公开工作的业务能力和水平。</w:t>
      </w:r>
    </w:p>
    <w:p>
      <w:pPr>
        <w:widowControl/>
        <w:shd w:val="clear" w:color="auto" w:fill="FFFFFF"/>
        <w:spacing w:beforeAutospacing="0" w:afterAutospacing="0" w:line="600" w:lineRule="exact"/>
        <w:ind w:firstLine="608" w:firstLineChars="200"/>
        <w:jc w:val="both"/>
        <w:rPr>
          <w:rFonts w:ascii="黑体" w:hAnsi="黑体" w:eastAsia="黑体" w:cs="宋体"/>
          <w:bCs/>
          <w:color w:val="333333"/>
          <w:spacing w:val="-8"/>
          <w:kern w:val="0"/>
          <w:sz w:val="32"/>
          <w:szCs w:val="32"/>
          <w:shd w:val="clear" w:color="auto" w:fill="FFFFFF"/>
          <w:lang w:val="en-US" w:eastAsia="zh-CN" w:bidi="ar-SA"/>
        </w:rPr>
      </w:pPr>
      <w:r>
        <w:rPr>
          <w:rFonts w:hint="eastAsia" w:ascii="黑体" w:hAnsi="黑体" w:eastAsia="黑体" w:cs="宋体"/>
          <w:bCs/>
          <w:color w:val="333333"/>
          <w:spacing w:val="-8"/>
          <w:kern w:val="0"/>
          <w:sz w:val="32"/>
          <w:szCs w:val="32"/>
          <w:shd w:val="clear" w:color="auto" w:fill="FFFFFF"/>
          <w:lang w:val="en-US" w:eastAsia="zh-CN" w:bidi="ar-SA"/>
        </w:rPr>
        <w:t>六、其他需要报告的事项</w:t>
      </w:r>
    </w:p>
    <w:p>
      <w:pPr>
        <w:widowControl/>
        <w:shd w:val="clear" w:color="auto" w:fill="FFFFFF"/>
        <w:spacing w:beforeAutospacing="0" w:afterAutospacing="0" w:line="600" w:lineRule="exact"/>
        <w:ind w:firstLine="608" w:firstLineChars="200"/>
        <w:jc w:val="both"/>
        <w:rPr>
          <w:rFonts w:hint="eastAsia" w:ascii="仿宋_GB2312" w:hAnsi="宋体" w:eastAsia="仿宋_GB2312" w:cs="宋体"/>
          <w:bCs/>
          <w:color w:val="333333"/>
          <w:spacing w:val="-8"/>
          <w:kern w:val="0"/>
          <w:sz w:val="32"/>
          <w:szCs w:val="32"/>
          <w:shd w:val="clear" w:color="auto" w:fill="FFFFFF"/>
          <w:lang w:val="en-US" w:eastAsia="zh-CN" w:bidi="ar-SA"/>
        </w:rPr>
      </w:pPr>
      <w:r>
        <w:rPr>
          <w:rFonts w:hint="eastAsia" w:ascii="仿宋_GB2312" w:hAnsi="宋体" w:eastAsia="仿宋_GB2312" w:cs="宋体"/>
          <w:bCs/>
          <w:color w:val="333333"/>
          <w:spacing w:val="-8"/>
          <w:kern w:val="0"/>
          <w:sz w:val="32"/>
          <w:szCs w:val="32"/>
          <w:shd w:val="clear" w:color="auto" w:fill="FFFFFF"/>
          <w:lang w:val="en-US" w:eastAsia="zh-CN" w:bidi="ar-SA"/>
        </w:rPr>
        <w:t>按照《国务院办公厅关于印发</w:t>
      </w:r>
      <w:r>
        <w:rPr>
          <w:rFonts w:hint="eastAsia" w:ascii="楷体_GB2312" w:hAnsi="楷体_GB2312" w:eastAsia="楷体_GB2312" w:cs="楷体_GB2312"/>
          <w:bCs/>
          <w:color w:val="333333"/>
          <w:spacing w:val="-8"/>
          <w:kern w:val="0"/>
          <w:sz w:val="32"/>
          <w:szCs w:val="32"/>
          <w:shd w:val="clear" w:color="auto" w:fill="FFFFFF"/>
          <w:lang w:val="en-US" w:eastAsia="zh-CN" w:bidi="ar-SA"/>
        </w:rPr>
        <w:t>&lt;</w:t>
      </w:r>
      <w:r>
        <w:rPr>
          <w:rFonts w:hint="eastAsia" w:ascii="仿宋_GB2312" w:hAnsi="仿宋_GB2312" w:eastAsia="仿宋_GB2312" w:cs="仿宋_GB2312"/>
          <w:bCs/>
          <w:color w:val="333333"/>
          <w:spacing w:val="-8"/>
          <w:kern w:val="0"/>
          <w:sz w:val="32"/>
          <w:szCs w:val="32"/>
          <w:shd w:val="clear" w:color="auto" w:fill="FFFFFF"/>
          <w:lang w:val="en-US" w:eastAsia="zh-CN" w:bidi="ar-SA"/>
        </w:rPr>
        <w:t>政府信息公开信息处理费管理办法</w:t>
      </w:r>
      <w:r>
        <w:rPr>
          <w:rFonts w:hint="eastAsia" w:ascii="楷体_GB2312" w:hAnsi="楷体_GB2312" w:eastAsia="楷体_GB2312" w:cs="楷体_GB2312"/>
          <w:bCs/>
          <w:color w:val="333333"/>
          <w:spacing w:val="-8"/>
          <w:kern w:val="0"/>
          <w:sz w:val="32"/>
          <w:szCs w:val="32"/>
          <w:shd w:val="clear" w:color="auto" w:fill="FFFFFF"/>
          <w:lang w:val="en-US" w:eastAsia="zh-CN" w:bidi="ar-SA"/>
        </w:rPr>
        <w:t>&gt;</w:t>
      </w:r>
      <w:r>
        <w:rPr>
          <w:rFonts w:hint="eastAsia" w:ascii="仿宋_GB2312" w:hAnsi="仿宋_GB2312" w:eastAsia="仿宋_GB2312" w:cs="仿宋_GB2312"/>
          <w:bCs/>
          <w:color w:val="333333"/>
          <w:spacing w:val="-8"/>
          <w:kern w:val="0"/>
          <w:sz w:val="32"/>
          <w:szCs w:val="32"/>
          <w:shd w:val="clear" w:color="auto" w:fill="FFFFFF"/>
          <w:lang w:val="en-US" w:eastAsia="zh-CN" w:bidi="ar-SA"/>
        </w:rPr>
        <w:t>的通知</w:t>
      </w:r>
      <w:r>
        <w:rPr>
          <w:rFonts w:hint="eastAsia" w:ascii="仿宋_GB2312" w:hAnsi="宋体" w:eastAsia="仿宋_GB2312" w:cs="宋体"/>
          <w:bCs/>
          <w:color w:val="333333"/>
          <w:spacing w:val="-8"/>
          <w:kern w:val="0"/>
          <w:sz w:val="32"/>
          <w:szCs w:val="32"/>
          <w:shd w:val="clear" w:color="auto" w:fill="FFFFFF"/>
          <w:lang w:val="en-US" w:eastAsia="zh-CN" w:bidi="ar-SA"/>
        </w:rPr>
        <w:t>》（国办函〔2020〕109号）规定的按件、按量收费标准，本年度没有产生信息公开处理费。</w:t>
      </w:r>
    </w:p>
    <w:p>
      <w:pPr>
        <w:widowControl/>
        <w:shd w:val="clear" w:color="auto" w:fill="FFFFFF"/>
        <w:spacing w:beforeAutospacing="0" w:afterAutospacing="0" w:line="600" w:lineRule="exact"/>
        <w:ind w:firstLine="608" w:firstLineChars="200"/>
        <w:jc w:val="both"/>
        <w:rPr>
          <w:rFonts w:hint="eastAsia" w:ascii="仿宋_GB2312" w:hAnsi="宋体" w:eastAsia="仿宋_GB2312" w:cs="宋体"/>
          <w:bCs/>
          <w:color w:val="333333"/>
          <w:spacing w:val="-8"/>
          <w:kern w:val="0"/>
          <w:sz w:val="32"/>
          <w:szCs w:val="32"/>
          <w:shd w:val="clear" w:color="auto" w:fill="FFFFFF"/>
          <w:lang w:val="en-US" w:eastAsia="zh-CN" w:bidi="ar-SA"/>
        </w:rPr>
      </w:pPr>
    </w:p>
    <w:p>
      <w:pPr>
        <w:widowControl/>
        <w:shd w:val="clear" w:color="auto" w:fill="FFFFFF"/>
        <w:wordWrap w:val="0"/>
        <w:spacing w:beforeAutospacing="0" w:afterAutospacing="0" w:line="600" w:lineRule="exact"/>
        <w:ind w:firstLine="608" w:firstLineChars="200"/>
        <w:jc w:val="right"/>
        <w:rPr>
          <w:rFonts w:hint="default" w:ascii="仿宋_GB2312" w:hAnsi="宋体" w:eastAsia="仿宋_GB2312" w:cs="宋体"/>
          <w:bCs/>
          <w:color w:val="333333"/>
          <w:spacing w:val="-8"/>
          <w:kern w:val="0"/>
          <w:sz w:val="32"/>
          <w:szCs w:val="32"/>
          <w:shd w:val="clear" w:color="auto" w:fill="FFFFFF"/>
          <w:lang w:val="en-US" w:eastAsia="zh-CN" w:bidi="ar-SA"/>
        </w:rPr>
      </w:pPr>
      <w:r>
        <w:rPr>
          <w:rFonts w:hint="eastAsia" w:ascii="仿宋_GB2312" w:hAnsi="宋体" w:eastAsia="仿宋_GB2312" w:cs="宋体"/>
          <w:bCs/>
          <w:color w:val="333333"/>
          <w:spacing w:val="-8"/>
          <w:kern w:val="0"/>
          <w:sz w:val="32"/>
          <w:szCs w:val="32"/>
          <w:shd w:val="clear" w:color="auto" w:fill="FFFFFF"/>
          <w:lang w:val="en-US" w:eastAsia="zh-CN" w:bidi="ar-SA"/>
        </w:rPr>
        <w:t xml:space="preserve">2024年1月19日        </w:t>
      </w:r>
    </w:p>
    <w:p/>
    <w:sectPr>
      <w:headerReference r:id="rId5" w:type="first"/>
      <w:footerReference r:id="rId8" w:type="first"/>
      <w:headerReference r:id="rId3" w:type="default"/>
      <w:footerReference r:id="rId6" w:type="default"/>
      <w:headerReference r:id="rId4" w:type="even"/>
      <w:footerReference r:id="rId7" w:type="even"/>
      <w:pgSz w:w="11906" w:h="16838"/>
      <w:pgMar w:top="2155"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Calibri" w:hAnsi="Calibri"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center" w:pos="4153"/>
        <w:tab w:val="right" w:pos="8306"/>
      </w:tabs>
      <w:snapToGrid w:val="0"/>
      <w:jc w:val="center"/>
      <w:rPr>
        <w:rFonts w:ascii="Calibri" w:hAnsi="Calibri" w:eastAsia="宋体"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center" w:pos="4153"/>
        <w:tab w:val="right" w:pos="8306"/>
      </w:tabs>
      <w:snapToGrid w:val="0"/>
      <w:jc w:val="center"/>
      <w:rPr>
        <w:rFonts w:ascii="Calibri" w:hAnsi="Calibri" w:eastAsia="宋体"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66CA6C"/>
    <w:multiLevelType w:val="singleLevel"/>
    <w:tmpl w:val="9466CA6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kN2UyMmEzZWJhYzc1ODNjM2M2ODgwN2E1MWM0MjMifQ=="/>
  </w:docVars>
  <w:rsids>
    <w:rsidRoot w:val="3C661500"/>
    <w:rsid w:val="0C9D4705"/>
    <w:rsid w:val="1AF220BF"/>
    <w:rsid w:val="3276317E"/>
    <w:rsid w:val="39F5707E"/>
    <w:rsid w:val="3C661500"/>
    <w:rsid w:val="56DE2F1C"/>
    <w:rsid w:val="6B655563"/>
    <w:rsid w:val="729A3244"/>
    <w:rsid w:val="74656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2024-01-18T00:21:00Z</dcterms:created>
  <dc:creator>古色古香的楼台</dc:creator>
  <cp:lastModifiedBy>古色古香的楼台</cp:lastModifiedBy>
  <dcterms:modified xsi:type="dcterms:W3CDTF">2024-01-22T09:05:21Z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F911F46415914A518C9CD3F35D9C3BC1_11</vt:lpwstr>
  </property>
</Properties>
</file>