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shd w:val="clear" w:color="auto" w:fill="auto"/>
          <w:lang w:val="en-US" w:eastAsia="zh-CN"/>
        </w:rPr>
        <w:t>舒城县阙店乡人民政府2022年政府信息公开工作年度报告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both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本报告根据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《国务院办公厅政府信息与政务公开办公室关于印发&lt; 中华人民共和国政府信息公开工作年度报告格</w:t>
      </w: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式&gt;的通知》（国办 公开办函〔2021〕30 号，以下简称《通知》）《安徽省政务公开办 公室关于做好 2022 年度政府信息公开工作年度报告编制和数据报送工作的通知》和《六安市政务公开办公室关于做好 2022年度政府信息公开年度报告编制和发布工作的通知》（六政务公开办〔2022〕53 号）要求编制而成。报告主要包括：总体情况、主动公开政府信息情况、收到和处理政府信息公开申请情况、政府信息公开行政复议和行政诉讼情况、政府信息公开工作存在主要问题及改进情况和其他需要报告事项。本年度报告中使用数据统计期限为2022年1月1日至2022年12月31日。如对本报告有任何疑问，请与六安市舒城县阙店乡政府联系（地址：阙店乡阙店街道；邮编：231363；联系电话：0564-8587966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6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both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2022年，阙店乡在县委、县政府的正确领导和精心指导下，坚持“以人为本、服务群众”的工作思路，紧紧围绕中心工作及群众关切，强化政策解读，积极、稳妥推进政府信息公开工作。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（一）主动公开。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both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《中华人民共和国政府信息公开条例》要求，阙店乡2022年全年通过政府信息公开网站公开公布了各类信息共计1685条，其中对财政资金、监督保障、政策解读、社会保障、社会救助、精准脱贫、教育信息等工作进行了重点信息公布；其中财政资金信息共公开257条；监督保障相关信息共27条；政策解读共解读25条；社会保障、社会救助共87条；精准脱贫、教育信息共12条。在保证不泄密的前提下做到及时、准确、公开、透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（二）依申请公开。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both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我乡按照要求继续完善依申请公开制度和申请表、流程图等内容。自2022年1月1日起至2022年12月31日止，我乡未收到依申请公开政府信息的申请。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（三）政府信息管理。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both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我乡为进一步提高政府信息公开质量，规范信息公开内容，及时进行规范性文件清理，确保公开信息、公开程序做到规范有效，严格按照县政务公开办的要求，组织学习了《中华人民共和国政府信息公开条例》，并要求各站所安排专人定期报送政务公开信息，确保信息公开的及时性和准确性。我乡严格按照《保密法》和《中华人民共和国政府信息公开条例》的要求对每条信息进行仔细审查把关。严格按照“谁职责、谁公开”，“谁公开、谁审查”，“谁审查、谁负责”的原则，压实责任。落实主体责任，加强信息内容发布审核，严格落实政务信息发布“三审”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我乡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按照市、县统一部署，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加快推进基层政务公开标准化规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范化工作的同时积极按照上级的要求调整我乡政府网站栏目，确保栏目设置符合要求、信息公开符合要素要求，做到公开为常态、不公开为例外。并在我乡为民服务中心大厅设置查阅专区，方便群众查阅信息，做到政务信息公开、透明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确保权力在阳光下运行。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（五）监督保障。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乡党委、政府一直把政务公开作为一项重要工作进行部署。成立乡政务公开领导小组，明确领导小组的责任，安排专人负责政府网站的日常工作，依照“谁经手，谁负责”原则，加强日常考核，将政务公开纳入部门年度工作考核。并安排乡政务公开领导小组不定期对政务公开情况进行督查，加强社会评议与内部监督相结合，为顺利推进政务公开工作提供了强有力的保障，确保政府信息发布的真实、准确、安全、及时。2022年度我乡社会评议良好，未产生生责任追究相关问题和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55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30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（一）存在问题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1.信息公开工作重视程度不平衡，我乡存在信息公开方面不全面、不及时，少数部门重视程度不够的情况。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2.信息公开质量有待提高，我乡部分信息公开成效不明显，政策解读质量不高大多采用简化文件内容的方式、面向公众征集意见少、公众参与度低。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提高相关工作人员的公开意识，广泛开展政府信息公开基本规范培训，组织学习信息公开相关方针政策，设立信息公开专员，加强部门间协调沟通，抓好重点部门、重点项目及关键部位的政务公开，全面提高信息公开工作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加强政府信息管理，加大解读形式，在媒体解读、图画解读的运用上，做到通俗易懂，贴近人民群众生活。关注社会热点，多渠道积极主动回应社会关切提升政民互动水平、优化公开渠道、深化重点领域信息公开，广泛听取群众的意见和建议，坚持把群众最关心、最需要了解的热点、焦点问题作为政务公开的重点，注重实效，切实发挥好信息公开平台的桥梁纽带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按照《国务院办公厅关于印发&lt;政府信息公开信息处理费管理办法&gt;的通知》(国办函〔2020〕109号)规定的按件、安量收费标准,本年度没有产生信息公开处理费。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OWFjNjJlMjhmZjk4YzQ5Y2E1ZDIyZmIzYzJiNDgifQ=="/>
  </w:docVars>
  <w:rsids>
    <w:rsidRoot w:val="315C6083"/>
    <w:rsid w:val="315C6083"/>
    <w:rsid w:val="38D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2024-02-21T01:00:00Z</dcterms:created>
  <dc:creator>晓晓</dc:creator>
  <cp:lastModifiedBy>晓晓</cp:lastModifiedBy>
  <dcterms:modified xsi:type="dcterms:W3CDTF">2024-02-21T01:05:53Z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ADD97609836C4DB49F7F8E2380C5FFE4_11</vt:lpwstr>
  </property>
</Properties>
</file>