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舒城县林业局2022</w:t>
      </w:r>
      <w:r>
        <w:rPr>
          <w:rFonts w:hint="eastAsia" w:ascii="方正小标宋简体" w:hAnsi="方正小标宋简体" w:eastAsia="方正小标宋简体" w:cs="方正小标宋简体"/>
          <w:sz w:val="44"/>
          <w:szCs w:val="44"/>
        </w:rPr>
        <w:t>年政府信息公开工作年度报告</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小标宋简体" w:hAnsi="方正小标宋简体" w:eastAsia="方正小标宋简体" w:cs="方正小标宋简体"/>
          <w:sz w:val="32"/>
          <w:szCs w:val="32"/>
        </w:rPr>
      </w:pPr>
      <w:r>
        <w:rPr>
          <w:rFonts w:hint="eastAsia" w:ascii="仿宋_GB2312" w:hAnsi="宋体" w:eastAsia="仿宋_GB2312" w:cs="宋体"/>
          <w:color w:val="333333"/>
          <w:sz w:val="32"/>
          <w:szCs w:val="32"/>
          <w:shd w:val="clear" w:color="auto" w:fill="FFFFFF"/>
        </w:rPr>
        <w:t>根据新修订的《中华人民共和国政府信息公开条例》（以下简称《条例》），结合上级有关文件精神的要求，编制舒城县林业局202</w:t>
      </w:r>
      <w:r>
        <w:rPr>
          <w:rFonts w:hint="eastAsia" w:ascii="仿宋_GB2312" w:hAnsi="宋体" w:eastAsia="仿宋_GB2312" w:cs="宋体"/>
          <w:color w:val="333333"/>
          <w:sz w:val="32"/>
          <w:szCs w:val="32"/>
          <w:shd w:val="clear" w:color="auto" w:fill="FFFFFF"/>
          <w:lang w:val="en-US" w:eastAsia="zh-CN"/>
        </w:rPr>
        <w:t>2</w:t>
      </w:r>
      <w:r>
        <w:rPr>
          <w:rFonts w:hint="eastAsia" w:ascii="仿宋_GB2312" w:hAnsi="宋体" w:eastAsia="仿宋_GB2312" w:cs="宋体"/>
          <w:color w:val="333333"/>
          <w:sz w:val="32"/>
          <w:szCs w:val="32"/>
          <w:shd w:val="clear" w:color="auto" w:fill="FFFFFF"/>
        </w:rPr>
        <w:t>年政府信息公开工作年度报告。全文包括总体情况、</w:t>
      </w:r>
      <w:r>
        <w:rPr>
          <w:rFonts w:hint="eastAsia" w:ascii="仿宋_GB2312" w:hAnsi="宋体" w:eastAsia="仿宋_GB2312" w:cs="宋体"/>
          <w:color w:val="333333"/>
          <w:sz w:val="32"/>
          <w:szCs w:val="32"/>
          <w:shd w:val="clear" w:color="auto" w:fill="FFFFFF"/>
          <w:lang w:val="en-US" w:eastAsia="zh-CN"/>
        </w:rPr>
        <w:t>行政机关</w:t>
      </w:r>
      <w:r>
        <w:rPr>
          <w:rFonts w:hint="eastAsia" w:ascii="仿宋_GB2312" w:hAnsi="宋体" w:eastAsia="仿宋_GB2312" w:cs="宋体"/>
          <w:color w:val="333333"/>
          <w:sz w:val="32"/>
          <w:szCs w:val="32"/>
          <w:shd w:val="clear" w:color="auto" w:fill="FFFFFF"/>
        </w:rPr>
        <w:t>主动公开政府信息情况、收到和处理政府信息公开申请情况、政府信息公开行政复议和行政诉讼、政府信息公开工作存在的主要问题及改进情况、其他需要报告的事项等六项内容。本年度报告中的数据统计期限为202</w:t>
      </w:r>
      <w:r>
        <w:rPr>
          <w:rFonts w:hint="eastAsia" w:ascii="仿宋_GB2312" w:hAnsi="宋体" w:eastAsia="仿宋_GB2312" w:cs="宋体"/>
          <w:color w:val="333333"/>
          <w:sz w:val="32"/>
          <w:szCs w:val="32"/>
          <w:shd w:val="clear" w:color="auto" w:fill="FFFFFF"/>
          <w:lang w:val="en-US" w:eastAsia="zh-CN"/>
        </w:rPr>
        <w:t>2</w:t>
      </w:r>
      <w:r>
        <w:rPr>
          <w:rFonts w:hint="eastAsia" w:ascii="仿宋_GB2312" w:hAnsi="宋体" w:eastAsia="仿宋_GB2312" w:cs="宋体"/>
          <w:color w:val="333333"/>
          <w:sz w:val="32"/>
          <w:szCs w:val="32"/>
          <w:shd w:val="clear" w:color="auto" w:fill="FFFFFF"/>
        </w:rPr>
        <w:t>年1月1日至202</w:t>
      </w:r>
      <w:r>
        <w:rPr>
          <w:rFonts w:hint="eastAsia" w:ascii="仿宋_GB2312" w:hAnsi="宋体" w:eastAsia="仿宋_GB2312" w:cs="宋体"/>
          <w:color w:val="333333"/>
          <w:sz w:val="32"/>
          <w:szCs w:val="32"/>
          <w:shd w:val="clear" w:color="auto" w:fill="FFFFFF"/>
          <w:lang w:val="en-US" w:eastAsia="zh-CN"/>
        </w:rPr>
        <w:t>2</w:t>
      </w:r>
      <w:r>
        <w:rPr>
          <w:rFonts w:hint="eastAsia" w:ascii="仿宋_GB2312" w:hAnsi="宋体" w:eastAsia="仿宋_GB2312" w:cs="宋体"/>
          <w:color w:val="333333"/>
          <w:sz w:val="32"/>
          <w:szCs w:val="32"/>
          <w:shd w:val="clear" w:color="auto" w:fill="FFFFFF"/>
        </w:rPr>
        <w:t>年12月31日，本年度政府信息公开工作报告电子版可以在舒城县林业局信息平台下载。如果对本报告有任何疑问，请于舒城县林业局联系（地址：舒城县城关镇桃溪路8号集中办公区2楼；邮编231300；联系电话：0564-8622924）。</w:t>
      </w:r>
    </w:p>
    <w:p>
      <w:pPr>
        <w:pStyle w:val="3"/>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总体情况</w:t>
      </w: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202</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年以来，舒城县</w:t>
      </w:r>
      <w:r>
        <w:rPr>
          <w:rFonts w:hint="eastAsia" w:ascii="仿宋_GB2312" w:hAnsi="仿宋_GB2312" w:eastAsia="仿宋_GB2312" w:cs="仿宋_GB2312"/>
          <w:color w:val="333333"/>
          <w:sz w:val="32"/>
          <w:szCs w:val="32"/>
          <w:shd w:val="clear" w:color="auto" w:fill="FFFFFF"/>
          <w:lang w:val="en-US" w:eastAsia="zh-CN"/>
        </w:rPr>
        <w:t>林业局认</w:t>
      </w:r>
      <w:r>
        <w:rPr>
          <w:rFonts w:hint="eastAsia" w:ascii="仿宋_GB2312" w:hAnsi="仿宋_GB2312" w:eastAsia="仿宋_GB2312" w:cs="仿宋_GB2312"/>
          <w:color w:val="333333"/>
          <w:sz w:val="32"/>
          <w:szCs w:val="32"/>
          <w:shd w:val="clear" w:color="auto" w:fill="FFFFFF"/>
        </w:rPr>
        <w:t>真学习贯彻《条例》</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在</w:t>
      </w:r>
      <w:r>
        <w:rPr>
          <w:rFonts w:hint="eastAsia" w:ascii="仿宋_GB2312" w:hAnsi="仿宋_GB2312" w:eastAsia="仿宋_GB2312" w:cs="仿宋_GB2312"/>
          <w:color w:val="333333"/>
          <w:sz w:val="32"/>
          <w:szCs w:val="32"/>
          <w:shd w:val="clear" w:color="auto" w:fill="FFFFFF"/>
          <w:lang w:val="en-US" w:eastAsia="zh-CN"/>
        </w:rPr>
        <w:t>县</w:t>
      </w:r>
      <w:r>
        <w:rPr>
          <w:rFonts w:hint="eastAsia" w:ascii="仿宋_GB2312" w:hAnsi="仿宋_GB2312" w:eastAsia="仿宋_GB2312" w:cs="仿宋_GB2312"/>
          <w:color w:val="333333"/>
          <w:sz w:val="32"/>
          <w:szCs w:val="32"/>
          <w:shd w:val="clear" w:color="auto" w:fill="FFFFFF"/>
        </w:rPr>
        <w:t>政务公开办的指导下，进一步强化政府信息公开工作领导，增强信息公开意识和责任意识，完善工作机制</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以群众需求为导向，紧密围绕</w:t>
      </w:r>
      <w:r>
        <w:rPr>
          <w:rFonts w:hint="eastAsia" w:ascii="仿宋_GB2312" w:hAnsi="仿宋_GB2312" w:eastAsia="仿宋_GB2312" w:cs="仿宋_GB2312"/>
          <w:color w:val="333333"/>
          <w:sz w:val="32"/>
          <w:szCs w:val="32"/>
          <w:shd w:val="clear" w:color="auto" w:fill="FFFFFF"/>
          <w:lang w:val="en-US" w:eastAsia="zh-CN"/>
        </w:rPr>
        <w:t>林业</w:t>
      </w:r>
      <w:r>
        <w:rPr>
          <w:rFonts w:hint="eastAsia" w:ascii="仿宋_GB2312" w:hAnsi="仿宋_GB2312" w:eastAsia="仿宋_GB2312" w:cs="仿宋_GB2312"/>
          <w:color w:val="333333"/>
          <w:sz w:val="32"/>
          <w:szCs w:val="32"/>
          <w:shd w:val="clear" w:color="auto" w:fill="FFFFFF"/>
        </w:rPr>
        <w:t>工作</w:t>
      </w:r>
      <w:r>
        <w:rPr>
          <w:rFonts w:hint="eastAsia" w:ascii="仿宋_GB2312" w:hAnsi="仿宋_GB2312" w:eastAsia="仿宋_GB2312" w:cs="仿宋_GB2312"/>
          <w:color w:val="333333"/>
          <w:sz w:val="32"/>
          <w:szCs w:val="32"/>
        </w:rPr>
        <w:t>，进一步做好政府信息公开工作，切实保障人民群众的知情权、参与权、表达权和监督权。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rPr>
        <w:t>（</w:t>
      </w:r>
      <w:r>
        <w:rPr>
          <w:rFonts w:hint="eastAsia" w:ascii="仿宋_GB2312" w:hAnsi="仿宋_GB2312" w:eastAsia="仿宋_GB2312" w:cs="仿宋_GB2312"/>
          <w:b/>
          <w:bCs/>
          <w:i w:val="0"/>
          <w:iCs w:val="0"/>
          <w:caps w:val="0"/>
          <w:color w:val="333333"/>
          <w:spacing w:val="0"/>
          <w:sz w:val="32"/>
          <w:szCs w:val="32"/>
          <w:shd w:val="clear" w:fill="FFFFFF"/>
          <w:lang w:val="en-US" w:eastAsia="zh-CN"/>
        </w:rPr>
        <w:t>一</w:t>
      </w:r>
      <w:r>
        <w:rPr>
          <w:rFonts w:hint="eastAsia" w:ascii="仿宋_GB2312" w:hAnsi="仿宋_GB2312" w:eastAsia="仿宋_GB2312" w:cs="仿宋_GB2312"/>
          <w:b/>
          <w:bCs/>
          <w:i w:val="0"/>
          <w:iCs w:val="0"/>
          <w:caps w:val="0"/>
          <w:color w:val="333333"/>
          <w:spacing w:val="0"/>
          <w:sz w:val="32"/>
          <w:szCs w:val="32"/>
          <w:shd w:val="clear" w:fill="FFFFFF"/>
        </w:rPr>
        <w:t>）</w:t>
      </w:r>
      <w:r>
        <w:rPr>
          <w:rFonts w:hint="eastAsia" w:ascii="仿宋_GB2312" w:hAnsi="仿宋_GB2312" w:eastAsia="仿宋_GB2312" w:cs="仿宋_GB2312"/>
          <w:b/>
          <w:bCs/>
          <w:i w:val="0"/>
          <w:iCs w:val="0"/>
          <w:caps w:val="0"/>
          <w:color w:val="333333"/>
          <w:spacing w:val="0"/>
          <w:sz w:val="32"/>
          <w:szCs w:val="32"/>
          <w:shd w:val="clear" w:fill="FFFFFF"/>
          <w:lang w:val="en-US" w:eastAsia="zh-CN"/>
        </w:rPr>
        <w:t>主动公开。</w:t>
      </w:r>
      <w:r>
        <w:rPr>
          <w:rFonts w:hint="eastAsia" w:ascii="仿宋_GB2312" w:hAnsi="仿宋_GB2312" w:eastAsia="仿宋_GB2312" w:cs="仿宋_GB2312"/>
          <w:color w:val="333333"/>
          <w:sz w:val="32"/>
          <w:szCs w:val="32"/>
          <w:shd w:val="clear" w:color="auto" w:fill="FFFFFF"/>
        </w:rPr>
        <w:t>本年度，我局结合</w:t>
      </w:r>
      <w:r>
        <w:rPr>
          <w:rFonts w:hint="eastAsia" w:ascii="仿宋_GB2312" w:hAnsi="仿宋_GB2312" w:eastAsia="仿宋_GB2312" w:cs="仿宋_GB2312"/>
          <w:color w:val="333333"/>
          <w:sz w:val="32"/>
          <w:szCs w:val="32"/>
          <w:shd w:val="clear" w:color="auto" w:fill="FFFFFF"/>
          <w:lang w:val="en-US" w:eastAsia="zh-CN"/>
        </w:rPr>
        <w:t>林业</w:t>
      </w:r>
      <w:r>
        <w:rPr>
          <w:rFonts w:hint="eastAsia" w:ascii="仿宋_GB2312" w:hAnsi="仿宋_GB2312" w:eastAsia="仿宋_GB2312" w:cs="仿宋_GB2312"/>
          <w:color w:val="333333"/>
          <w:sz w:val="32"/>
          <w:szCs w:val="32"/>
          <w:shd w:val="clear" w:color="auto" w:fill="FFFFFF"/>
        </w:rPr>
        <w:t>实际工作和国家、省、市、县年度政务公开重点工作任务分工，积极主动公开我局政府信息，共公开发布</w:t>
      </w:r>
      <w:r>
        <w:rPr>
          <w:rFonts w:hint="eastAsia" w:ascii="仿宋_GB2312" w:hAnsi="仿宋_GB2312" w:eastAsia="仿宋_GB2312" w:cs="仿宋_GB2312"/>
          <w:color w:val="333333"/>
          <w:sz w:val="32"/>
          <w:szCs w:val="32"/>
          <w:shd w:val="clear" w:color="auto" w:fill="FFFFFF"/>
          <w:lang w:val="en-US" w:eastAsia="zh-CN"/>
        </w:rPr>
        <w:t>662</w:t>
      </w:r>
      <w:r>
        <w:rPr>
          <w:rFonts w:hint="eastAsia" w:ascii="仿宋_GB2312" w:hAnsi="仿宋_GB2312" w:eastAsia="仿宋_GB2312" w:cs="仿宋_GB2312"/>
          <w:color w:val="333333"/>
          <w:sz w:val="32"/>
          <w:szCs w:val="32"/>
          <w:shd w:val="clear" w:color="auto" w:fill="FFFFFF"/>
        </w:rPr>
        <w:t>条信息。</w:t>
      </w:r>
      <w:r>
        <w:rPr>
          <w:rFonts w:hint="eastAsia" w:ascii="仿宋_GB2312" w:hAnsi="仿宋_GB2312" w:eastAsia="仿宋_GB2312" w:cs="仿宋_GB2312"/>
          <w:color w:val="333333"/>
          <w:kern w:val="36"/>
          <w:sz w:val="32"/>
          <w:szCs w:val="32"/>
        </w:rPr>
        <w:t>公开政策解读</w:t>
      </w:r>
      <w:r>
        <w:rPr>
          <w:rFonts w:hint="eastAsia" w:ascii="仿宋_GB2312" w:hAnsi="仿宋_GB2312" w:eastAsia="仿宋_GB2312" w:cs="仿宋_GB2312"/>
          <w:color w:val="333333"/>
          <w:kern w:val="36"/>
          <w:sz w:val="32"/>
          <w:szCs w:val="32"/>
          <w:lang w:val="en-US" w:eastAsia="zh-CN"/>
        </w:rPr>
        <w:t>8</w:t>
      </w:r>
      <w:r>
        <w:rPr>
          <w:rFonts w:hint="eastAsia" w:ascii="仿宋_GB2312" w:hAnsi="仿宋_GB2312" w:eastAsia="仿宋_GB2312" w:cs="仿宋_GB2312"/>
          <w:color w:val="333333"/>
          <w:kern w:val="36"/>
          <w:sz w:val="32"/>
          <w:szCs w:val="32"/>
        </w:rPr>
        <w:t>次，其中上级政策解读</w:t>
      </w:r>
      <w:r>
        <w:rPr>
          <w:rFonts w:hint="eastAsia" w:ascii="仿宋_GB2312" w:hAnsi="仿宋_GB2312" w:eastAsia="仿宋_GB2312" w:cs="仿宋_GB2312"/>
          <w:color w:val="333333"/>
          <w:kern w:val="36"/>
          <w:sz w:val="32"/>
          <w:szCs w:val="32"/>
          <w:lang w:val="en-US" w:eastAsia="zh-CN"/>
        </w:rPr>
        <w:t>2</w:t>
      </w:r>
      <w:r>
        <w:rPr>
          <w:rFonts w:hint="eastAsia" w:ascii="仿宋_GB2312" w:hAnsi="仿宋_GB2312" w:eastAsia="仿宋_GB2312" w:cs="仿宋_GB2312"/>
          <w:color w:val="333333"/>
          <w:kern w:val="36"/>
          <w:sz w:val="32"/>
          <w:szCs w:val="32"/>
        </w:rPr>
        <w:t>次，负责人解读</w:t>
      </w:r>
      <w:r>
        <w:rPr>
          <w:rFonts w:hint="eastAsia" w:ascii="仿宋_GB2312" w:hAnsi="仿宋_GB2312" w:eastAsia="仿宋_GB2312" w:cs="仿宋_GB2312"/>
          <w:color w:val="333333"/>
          <w:kern w:val="36"/>
          <w:sz w:val="32"/>
          <w:szCs w:val="32"/>
          <w:lang w:val="en-US" w:eastAsia="zh-CN"/>
        </w:rPr>
        <w:t>2</w:t>
      </w:r>
      <w:r>
        <w:rPr>
          <w:rFonts w:hint="eastAsia" w:ascii="仿宋_GB2312" w:hAnsi="仿宋_GB2312" w:eastAsia="仿宋_GB2312" w:cs="仿宋_GB2312"/>
          <w:color w:val="333333"/>
          <w:kern w:val="36"/>
          <w:sz w:val="32"/>
          <w:szCs w:val="32"/>
        </w:rPr>
        <w:t>次，其他解读</w:t>
      </w:r>
      <w:r>
        <w:rPr>
          <w:rFonts w:hint="eastAsia" w:ascii="仿宋_GB2312" w:hAnsi="仿宋_GB2312" w:eastAsia="仿宋_GB2312" w:cs="仿宋_GB2312"/>
          <w:color w:val="333333"/>
          <w:kern w:val="36"/>
          <w:sz w:val="32"/>
          <w:szCs w:val="32"/>
          <w:lang w:val="en-US" w:eastAsia="zh-CN"/>
        </w:rPr>
        <w:t>5</w:t>
      </w:r>
      <w:r>
        <w:rPr>
          <w:rFonts w:hint="eastAsia" w:ascii="仿宋_GB2312" w:hAnsi="仿宋_GB2312" w:eastAsia="仿宋_GB2312" w:cs="仿宋_GB2312"/>
          <w:color w:val="333333"/>
          <w:kern w:val="36"/>
          <w:sz w:val="32"/>
          <w:szCs w:val="32"/>
        </w:rPr>
        <w:t>次；</w:t>
      </w:r>
      <w:r>
        <w:rPr>
          <w:rFonts w:hint="eastAsia" w:ascii="仿宋_GB2312" w:hAnsi="仿宋_GB2312" w:eastAsia="仿宋_GB2312" w:cs="仿宋_GB2312"/>
          <w:color w:val="333333"/>
          <w:sz w:val="32"/>
          <w:szCs w:val="32"/>
          <w:shd w:val="clear" w:color="auto" w:fill="FFFFFF"/>
        </w:rPr>
        <w:t>主动回应2</w:t>
      </w:r>
      <w:r>
        <w:rPr>
          <w:rFonts w:hint="eastAsia" w:ascii="仿宋_GB2312" w:hAnsi="仿宋_GB2312" w:eastAsia="仿宋_GB2312" w:cs="仿宋_GB2312"/>
          <w:color w:val="333333"/>
          <w:sz w:val="32"/>
          <w:szCs w:val="32"/>
          <w:shd w:val="clear" w:color="auto" w:fill="FFFFFF"/>
          <w:lang w:val="en-US" w:eastAsia="zh-CN"/>
        </w:rPr>
        <w:t>4</w:t>
      </w:r>
      <w:r>
        <w:rPr>
          <w:rFonts w:hint="eastAsia" w:ascii="仿宋_GB2312" w:hAnsi="仿宋_GB2312" w:eastAsia="仿宋_GB2312" w:cs="仿宋_GB2312"/>
          <w:color w:val="333333"/>
          <w:sz w:val="32"/>
          <w:szCs w:val="32"/>
          <w:shd w:val="clear" w:color="auto" w:fill="FFFFFF"/>
        </w:rPr>
        <w:t>条、监督保障</w:t>
      </w:r>
      <w:r>
        <w:rPr>
          <w:rFonts w:hint="eastAsia" w:ascii="仿宋_GB2312" w:hAnsi="仿宋_GB2312" w:eastAsia="仿宋_GB2312" w:cs="仿宋_GB2312"/>
          <w:color w:val="333333"/>
          <w:sz w:val="32"/>
          <w:szCs w:val="32"/>
          <w:shd w:val="clear" w:color="auto" w:fill="FFFFFF"/>
          <w:lang w:val="en-US" w:eastAsia="zh-CN"/>
        </w:rPr>
        <w:t>48</w:t>
      </w:r>
      <w:r>
        <w:rPr>
          <w:rFonts w:hint="eastAsia" w:ascii="仿宋_GB2312" w:hAnsi="仿宋_GB2312" w:eastAsia="仿宋_GB2312" w:cs="仿宋_GB2312"/>
          <w:color w:val="333333"/>
          <w:sz w:val="32"/>
          <w:szCs w:val="32"/>
          <w:shd w:val="clear" w:color="auto" w:fill="FFFFFF"/>
        </w:rPr>
        <w:t>条、主动召开新闻发布会1次，上线舒城县政风行风热线1次。</w:t>
      </w:r>
      <w:r>
        <w:rPr>
          <w:rFonts w:hint="eastAsia" w:ascii="仿宋_GB2312" w:hAnsi="仿宋_GB2312" w:eastAsia="仿宋_GB2312" w:cs="仿宋_GB2312"/>
          <w:color w:val="333333"/>
          <w:sz w:val="32"/>
          <w:szCs w:val="32"/>
          <w:shd w:val="clear" w:color="auto" w:fill="FFFFFF"/>
          <w:lang w:val="en-US" w:eastAsia="zh-CN"/>
        </w:rPr>
        <w:t>并根据省、市政务公开办公室要求，及时开展行政规范性文件格式统一规范工作，并在规定时间内完成。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（二）依申请公开。</w:t>
      </w:r>
      <w:r>
        <w:rPr>
          <w:rFonts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rPr>
        <w:t>2年，</w:t>
      </w:r>
      <w:r>
        <w:rPr>
          <w:rFonts w:hint="eastAsia" w:ascii="仿宋" w:hAnsi="仿宋" w:eastAsia="仿宋" w:cs="仿宋"/>
          <w:i w:val="0"/>
          <w:iCs w:val="0"/>
          <w:caps w:val="0"/>
          <w:color w:val="000000"/>
          <w:spacing w:val="0"/>
          <w:sz w:val="32"/>
          <w:szCs w:val="32"/>
          <w:shd w:val="clear" w:fill="FFFFFF"/>
          <w:lang w:val="en-US" w:eastAsia="zh-CN"/>
        </w:rPr>
        <w:t>我局</w:t>
      </w:r>
      <w:r>
        <w:rPr>
          <w:rFonts w:hint="eastAsia" w:ascii="仿宋_GB2312" w:hAnsi="仿宋_GB2312" w:eastAsia="仿宋_GB2312" w:cs="仿宋_GB2312"/>
          <w:color w:val="333333"/>
          <w:sz w:val="32"/>
          <w:szCs w:val="32"/>
          <w:lang w:val="en-US" w:eastAsia="zh-CN"/>
        </w:rPr>
        <w:t>结合林业工作实际，</w:t>
      </w:r>
      <w:r>
        <w:rPr>
          <w:rFonts w:hint="eastAsia" w:ascii="仿宋" w:hAnsi="仿宋" w:eastAsia="仿宋" w:cs="仿宋"/>
          <w:i w:val="0"/>
          <w:iCs w:val="0"/>
          <w:caps w:val="0"/>
          <w:color w:val="000000"/>
          <w:spacing w:val="0"/>
          <w:sz w:val="32"/>
          <w:szCs w:val="32"/>
          <w:shd w:val="clear" w:fill="FFFFFF"/>
        </w:rPr>
        <w:t>完善依申请公开制度，规范依申请公开答复流程</w:t>
      </w:r>
      <w:r>
        <w:rPr>
          <w:rFonts w:hint="eastAsia" w:ascii="仿宋_GB2312" w:hAnsi="仿宋_GB2312" w:eastAsia="仿宋_GB2312" w:cs="仿宋_GB2312"/>
          <w:color w:val="333333"/>
          <w:sz w:val="32"/>
          <w:szCs w:val="32"/>
          <w:lang w:val="en-US" w:eastAsia="zh-CN"/>
        </w:rPr>
        <w:t>。本年度，我局收到依申请公开申请事项1件，在规定时限内给予当事人答复。无因政府信息公开引起的行政复议、行政诉讼案件。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（三）政府信息管理。</w:t>
      </w:r>
      <w:r>
        <w:rPr>
          <w:rFonts w:hint="eastAsia" w:ascii="仿宋_GB2312" w:hAnsi="仿宋_GB2312" w:eastAsia="仿宋_GB2312" w:cs="仿宋_GB2312"/>
          <w:b/>
          <w:bCs/>
          <w:i w:val="0"/>
          <w:iCs w:val="0"/>
          <w:caps w:val="0"/>
          <w:color w:val="000000"/>
          <w:spacing w:val="0"/>
          <w:sz w:val="32"/>
          <w:szCs w:val="32"/>
          <w:shd w:val="clear" w:fill="FFFFFF"/>
        </w:rPr>
        <w:t>一是</w:t>
      </w:r>
      <w:r>
        <w:rPr>
          <w:rFonts w:hint="eastAsia" w:ascii="仿宋_GB2312" w:hAnsi="仿宋_GB2312" w:eastAsia="仿宋_GB2312" w:cs="仿宋_GB2312"/>
          <w:i w:val="0"/>
          <w:iCs w:val="0"/>
          <w:caps w:val="0"/>
          <w:color w:val="000000"/>
          <w:spacing w:val="0"/>
          <w:sz w:val="32"/>
          <w:szCs w:val="32"/>
          <w:shd w:val="clear" w:fill="FFFFFF"/>
        </w:rPr>
        <w:t>做好政务信息日常工作，进一步完善政务信息制作、获取、保存、处理等方面的制度，对政务</w:t>
      </w:r>
      <w:r>
        <w:rPr>
          <w:rFonts w:hint="eastAsia" w:ascii="仿宋_GB2312" w:hAnsi="仿宋_GB2312" w:eastAsia="仿宋_GB2312" w:cs="仿宋_GB2312"/>
          <w:i w:val="0"/>
          <w:iCs w:val="0"/>
          <w:caps w:val="0"/>
          <w:color w:val="000000"/>
          <w:spacing w:val="0"/>
          <w:sz w:val="32"/>
          <w:szCs w:val="32"/>
          <w:shd w:val="clear" w:fill="FFFFFF"/>
          <w:lang w:val="en-US" w:eastAsia="zh-CN"/>
        </w:rPr>
        <w:t>公开工作</w:t>
      </w:r>
      <w:r>
        <w:rPr>
          <w:rFonts w:hint="eastAsia" w:ascii="仿宋_GB2312" w:hAnsi="仿宋_GB2312" w:eastAsia="仿宋_GB2312" w:cs="仿宋_GB2312"/>
          <w:i w:val="0"/>
          <w:iCs w:val="0"/>
          <w:caps w:val="0"/>
          <w:color w:val="000000"/>
          <w:spacing w:val="0"/>
          <w:sz w:val="32"/>
          <w:szCs w:val="32"/>
          <w:shd w:val="clear" w:fill="FFFFFF"/>
        </w:rPr>
        <w:t>进行规范管理</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b/>
          <w:bCs/>
          <w:i w:val="0"/>
          <w:iCs w:val="0"/>
          <w:caps w:val="0"/>
          <w:color w:val="000000"/>
          <w:spacing w:val="0"/>
          <w:sz w:val="32"/>
          <w:szCs w:val="32"/>
          <w:shd w:val="clear" w:fill="FFFFFF"/>
          <w:lang w:val="en-US" w:eastAsia="zh-CN"/>
        </w:rPr>
        <w:t>二是</w:t>
      </w:r>
      <w:r>
        <w:rPr>
          <w:rFonts w:hint="eastAsia" w:ascii="仿宋_GB2312" w:hAnsi="仿宋_GB2312" w:eastAsia="仿宋_GB2312" w:cs="仿宋_GB2312"/>
          <w:color w:val="333333"/>
          <w:sz w:val="32"/>
          <w:szCs w:val="32"/>
          <w:lang w:val="en-US" w:eastAsia="zh-CN"/>
        </w:rPr>
        <w:t>严格落实“三审”制度，</w:t>
      </w:r>
      <w:r>
        <w:rPr>
          <w:rFonts w:hint="eastAsia" w:ascii="仿宋_GB2312" w:hAnsi="仿宋_GB2312" w:eastAsia="仿宋_GB2312" w:cs="仿宋_GB2312"/>
          <w:color w:val="333333"/>
          <w:sz w:val="32"/>
          <w:szCs w:val="32"/>
        </w:rPr>
        <w:t>执行“分级审核，先审后发”程序</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并认真开展季度评测整改工作，反馈的问题件件有回应；</w:t>
      </w:r>
      <w:r>
        <w:rPr>
          <w:rFonts w:hint="eastAsia" w:ascii="仿宋_GB2312" w:hAnsi="仿宋_GB2312" w:eastAsia="仿宋_GB2312" w:cs="仿宋_GB2312"/>
          <w:b/>
          <w:bCs/>
          <w:i w:val="0"/>
          <w:iCs w:val="0"/>
          <w:caps w:val="0"/>
          <w:color w:val="000000"/>
          <w:spacing w:val="0"/>
          <w:sz w:val="32"/>
          <w:szCs w:val="32"/>
          <w:shd w:val="clear" w:fill="FFFFFF"/>
        </w:rPr>
        <w:t>三是</w:t>
      </w:r>
      <w:r>
        <w:rPr>
          <w:rFonts w:hint="eastAsia" w:ascii="仿宋_GB2312" w:hAnsi="仿宋_GB2312" w:eastAsia="仿宋_GB2312" w:cs="仿宋_GB2312"/>
          <w:b w:val="0"/>
          <w:bCs w:val="0"/>
          <w:i w:val="0"/>
          <w:iCs w:val="0"/>
          <w:caps w:val="0"/>
          <w:color w:val="000000"/>
          <w:spacing w:val="0"/>
          <w:sz w:val="32"/>
          <w:szCs w:val="32"/>
          <w:shd w:val="clear" w:fill="FFFFFF"/>
        </w:rPr>
        <w:t>持续开展敏</w:t>
      </w:r>
      <w:r>
        <w:rPr>
          <w:rFonts w:hint="eastAsia" w:ascii="仿宋_GB2312" w:hAnsi="仿宋_GB2312" w:eastAsia="仿宋_GB2312" w:cs="仿宋_GB2312"/>
          <w:i w:val="0"/>
          <w:iCs w:val="0"/>
          <w:caps w:val="0"/>
          <w:color w:val="000000"/>
          <w:spacing w:val="0"/>
          <w:sz w:val="32"/>
          <w:szCs w:val="32"/>
          <w:shd w:val="clear" w:fill="FFFFFF"/>
        </w:rPr>
        <w:t>感词汇、错别字、无效链接、涉及个人隐私等政府信息排查工作，对发现的错敏信息及时进行删改。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（四）</w:t>
      </w:r>
      <w:commentRangeStart w:id="0"/>
      <w:r>
        <w:rPr>
          <w:rFonts w:hint="eastAsia" w:ascii="仿宋_GB2312" w:hAnsi="仿宋_GB2312" w:eastAsia="仿宋_GB2312" w:cs="仿宋_GB2312"/>
          <w:b/>
          <w:bCs/>
          <w:i w:val="0"/>
          <w:iCs w:val="0"/>
          <w:caps w:val="0"/>
          <w:color w:val="333333"/>
          <w:spacing w:val="0"/>
          <w:sz w:val="32"/>
          <w:szCs w:val="32"/>
          <w:shd w:val="clear" w:fill="FFFFFF"/>
          <w:lang w:val="en-US" w:eastAsia="zh-CN"/>
        </w:rPr>
        <w:t>政府信息公开平台建设</w:t>
      </w:r>
      <w:commentRangeEnd w:id="0"/>
      <w:r>
        <w:rPr>
          <w:rFonts w:hint="eastAsia" w:ascii="仿宋_GB2312" w:hAnsi="仿宋_GB2312" w:eastAsia="仿宋_GB2312" w:cs="仿宋_GB2312"/>
          <w:b/>
          <w:bCs/>
          <w:i w:val="0"/>
          <w:iCs w:val="0"/>
          <w:caps w:val="0"/>
          <w:color w:val="333333"/>
          <w:spacing w:val="0"/>
          <w:sz w:val="32"/>
          <w:szCs w:val="32"/>
          <w:shd w:val="clear" w:fill="FFFFFF"/>
          <w:lang w:val="en-US" w:eastAsia="zh-CN"/>
        </w:rPr>
        <w:commentReference w:id="0"/>
      </w:r>
      <w:r>
        <w:rPr>
          <w:rFonts w:hint="eastAsia" w:ascii="仿宋_GB2312" w:hAnsi="仿宋_GB2312" w:eastAsia="仿宋_GB2312" w:cs="仿宋_GB2312"/>
          <w:b/>
          <w:bCs/>
          <w:i w:val="0"/>
          <w:iCs w:val="0"/>
          <w:caps w:val="0"/>
          <w:color w:val="333333"/>
          <w:spacing w:val="0"/>
          <w:sz w:val="32"/>
          <w:szCs w:val="32"/>
          <w:shd w:val="clear" w:fill="FFFFFF"/>
          <w:lang w:val="en-US" w:eastAsia="zh-CN"/>
        </w:rPr>
        <w:t>。</w:t>
      </w:r>
      <w:r>
        <w:rPr>
          <w:rFonts w:hint="eastAsia" w:ascii="仿宋_GB2312" w:hAnsi="仿宋_GB2312" w:eastAsia="仿宋_GB2312" w:cs="仿宋_GB2312"/>
          <w:b/>
          <w:bCs/>
          <w:color w:val="333333"/>
          <w:sz w:val="32"/>
          <w:szCs w:val="32"/>
          <w:lang w:val="en-US" w:eastAsia="zh-CN"/>
        </w:rPr>
        <w:t>一是</w:t>
      </w:r>
      <w:r>
        <w:rPr>
          <w:rFonts w:hint="eastAsia" w:ascii="仿宋_GB2312" w:hAnsi="仿宋_GB2312" w:eastAsia="仿宋_GB2312" w:cs="仿宋_GB2312"/>
          <w:i w:val="0"/>
          <w:iCs w:val="0"/>
          <w:caps w:val="0"/>
          <w:color w:val="000000"/>
          <w:spacing w:val="0"/>
          <w:sz w:val="32"/>
          <w:szCs w:val="32"/>
          <w:shd w:val="clear" w:fill="FFFFFF"/>
        </w:rPr>
        <w:t>按照网站集约化建设统一安排，</w:t>
      </w:r>
      <w:r>
        <w:rPr>
          <w:rFonts w:hint="eastAsia" w:ascii="仿宋_GB2312" w:hAnsi="仿宋_GB2312" w:eastAsia="仿宋_GB2312" w:cs="仿宋_GB2312"/>
          <w:i w:val="0"/>
          <w:iCs w:val="0"/>
          <w:caps w:val="0"/>
          <w:color w:val="333333"/>
          <w:spacing w:val="0"/>
          <w:sz w:val="32"/>
          <w:szCs w:val="32"/>
          <w:shd w:val="clear" w:fill="FFFFFF"/>
          <w:lang w:val="en-US" w:eastAsia="zh-CN"/>
        </w:rPr>
        <w:t>及时完善调整政务公开目录，</w:t>
      </w:r>
      <w:r>
        <w:rPr>
          <w:rFonts w:hint="eastAsia" w:ascii="仿宋_GB2312" w:hAnsi="仿宋_GB2312" w:eastAsia="仿宋_GB2312" w:cs="仿宋_GB2312"/>
          <w:i w:val="0"/>
          <w:iCs w:val="0"/>
          <w:caps w:val="0"/>
          <w:color w:val="000000"/>
          <w:spacing w:val="0"/>
          <w:sz w:val="32"/>
          <w:szCs w:val="32"/>
          <w:shd w:val="clear" w:fill="FFFFFF"/>
        </w:rPr>
        <w:t>准确发布我局政府信息，方便网络公开查询</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b/>
          <w:bCs/>
          <w:i w:val="0"/>
          <w:iCs w:val="0"/>
          <w:caps w:val="0"/>
          <w:color w:val="000000"/>
          <w:spacing w:val="0"/>
          <w:sz w:val="32"/>
          <w:szCs w:val="32"/>
          <w:shd w:val="clear" w:fill="FFFFFF"/>
          <w:lang w:val="en-US" w:eastAsia="zh-CN"/>
        </w:rPr>
        <w:t>二是</w:t>
      </w:r>
      <w:r>
        <w:rPr>
          <w:rFonts w:hint="eastAsia" w:ascii="仿宋_GB2312" w:hAnsi="仿宋_GB2312" w:eastAsia="仿宋_GB2312" w:cs="仿宋_GB2312"/>
          <w:i w:val="0"/>
          <w:iCs w:val="0"/>
          <w:caps w:val="0"/>
          <w:color w:val="000000"/>
          <w:spacing w:val="0"/>
          <w:sz w:val="32"/>
          <w:szCs w:val="32"/>
          <w:shd w:val="clear" w:fill="FFFFFF"/>
        </w:rPr>
        <w:t>按照国办要求，配合县政务公开办做好目录规范、优化升级和内容发布，严格落实信息发布三审终审制。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（五</w:t>
      </w:r>
      <w:commentRangeStart w:id="1"/>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）监督保障</w:t>
      </w:r>
      <w:commentRangeEnd w:id="1"/>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commentReference w:id="1"/>
      </w:r>
      <w:r>
        <w:rPr>
          <w:rFonts w:hint="eastAsia" w:ascii="仿宋_GB2312" w:hAnsi="仿宋_GB2312" w:eastAsia="仿宋_GB2312" w:cs="仿宋_GB2312"/>
          <w:b/>
          <w:bCs/>
          <w:i w:val="0"/>
          <w:iCs w:val="0"/>
          <w:caps w:val="0"/>
          <w:color w:val="333333"/>
          <w:spacing w:val="0"/>
          <w:sz w:val="32"/>
          <w:szCs w:val="32"/>
          <w:shd w:val="clear" w:fill="FFFFFF"/>
          <w:lang w:val="en-US" w:eastAsia="zh-CN"/>
        </w:rPr>
        <w:t>。</w:t>
      </w:r>
      <w:r>
        <w:rPr>
          <w:rFonts w:hint="eastAsia" w:ascii="仿宋_GB2312" w:hAnsi="仿宋_GB2312" w:eastAsia="仿宋_GB2312" w:cs="仿宋_GB2312"/>
          <w:b/>
          <w:bCs/>
          <w:color w:val="333333"/>
          <w:sz w:val="32"/>
          <w:szCs w:val="32"/>
        </w:rPr>
        <w:t>一是</w:t>
      </w:r>
      <w:r>
        <w:rPr>
          <w:rFonts w:hint="eastAsia" w:ascii="仿宋_GB2312" w:hAnsi="仿宋_GB2312" w:eastAsia="仿宋_GB2312" w:cs="仿宋_GB2312"/>
          <w:color w:val="333333"/>
          <w:sz w:val="32"/>
          <w:szCs w:val="32"/>
        </w:rPr>
        <w:t>明确考核机制，完善考核制度。将政务公开工作纳入对局机关各股室工作的年终考核</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指定专人负责政务公开工作，确保内容更新准确及时，运维管理安全有序。</w:t>
      </w: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二是</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开展自查自纠。</w:t>
      </w:r>
      <w:r>
        <w:rPr>
          <w:rFonts w:hint="eastAsia" w:ascii="仿宋_GB2312" w:hAnsi="仿宋_GB2312" w:eastAsia="仿宋_GB2312" w:cs="仿宋_GB2312"/>
          <w:color w:val="333333"/>
          <w:sz w:val="32"/>
          <w:szCs w:val="32"/>
        </w:rPr>
        <w:t>形成定期自查机制，做到没问题时定期查，有问题时立马查、及时整改</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加强网站读网频次，对网站普查评测报告和网站运维监测平台指出的表述不规范、错链等问题及时整改并反馈。</w:t>
      </w:r>
      <w:r>
        <w:rPr>
          <w:rFonts w:hint="eastAsia" w:ascii="仿宋_GB2312" w:hAnsi="仿宋_GB2312" w:eastAsia="仿宋_GB2312" w:cs="仿宋_GB2312"/>
          <w:b/>
          <w:bCs/>
          <w:color w:val="333333"/>
          <w:sz w:val="32"/>
          <w:szCs w:val="32"/>
          <w:lang w:val="en-US" w:eastAsia="zh-CN"/>
        </w:rPr>
        <w:t>三</w:t>
      </w:r>
      <w:r>
        <w:rPr>
          <w:rFonts w:hint="eastAsia" w:ascii="仿宋_GB2312" w:hAnsi="仿宋_GB2312" w:eastAsia="仿宋_GB2312" w:cs="仿宋_GB2312"/>
          <w:b/>
          <w:bCs/>
          <w:color w:val="333333"/>
          <w:sz w:val="32"/>
          <w:szCs w:val="32"/>
          <w:shd w:val="clear" w:color="auto" w:fill="FFFFFF"/>
        </w:rPr>
        <w:t>是</w:t>
      </w:r>
      <w:r>
        <w:rPr>
          <w:rFonts w:hint="eastAsia" w:ascii="仿宋_GB2312" w:hAnsi="仿宋_GB2312" w:eastAsia="仿宋_GB2312" w:cs="仿宋_GB2312"/>
          <w:bCs/>
          <w:color w:val="333333"/>
          <w:sz w:val="32"/>
          <w:szCs w:val="32"/>
          <w:shd w:val="clear" w:color="auto" w:fill="FFFFFF"/>
        </w:rPr>
        <w:t>要拓宽监督渠道，坚持内部监督和外部监督相结合，</w:t>
      </w:r>
      <w:r>
        <w:rPr>
          <w:rFonts w:hint="eastAsia" w:ascii="仿宋_GB2312" w:hAnsi="仿宋_GB2312" w:eastAsia="仿宋_GB2312" w:cs="仿宋_GB2312"/>
          <w:bCs/>
          <w:color w:val="333333"/>
          <w:sz w:val="32"/>
          <w:szCs w:val="32"/>
          <w:shd w:val="clear" w:color="auto" w:fill="FFFFFF"/>
          <w:lang w:val="en-US" w:eastAsia="zh-CN"/>
        </w:rPr>
        <w:t>制定社会评议制度，积极接受群众的监督。2022年我局没有出现需要进行责任追究的情况。</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jc w:val="both"/>
        <w:textAlignment w:val="auto"/>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二、主动公开政府信息情况</w:t>
      </w:r>
    </w:p>
    <w:tbl>
      <w:tblPr>
        <w:tblStyle w:val="4"/>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w:t>
            </w:r>
            <w:r>
              <w:rPr>
                <w:rFonts w:hint="eastAsia" w:ascii="宋体" w:hAnsi="宋体" w:eastAsia="宋体" w:cs="宋体"/>
                <w:kern w:val="0"/>
                <w:sz w:val="20"/>
                <w:szCs w:val="20"/>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现行有效件</w:t>
            </w:r>
            <w:r>
              <w:rPr>
                <w:rFonts w:hint="eastAsia" w:ascii="宋体" w:hAnsi="宋体" w:eastAsia="宋体" w:cs="宋体"/>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default" w:eastAsiaTheme="minorEastAsia"/>
                <w:lang w:val="en-US" w:eastAsia="zh-CN"/>
              </w:rPr>
            </w:pPr>
            <w:r>
              <w:rPr>
                <w:rFonts w:hint="eastAsia"/>
                <w:lang w:val="en-US" w:eastAsia="zh-CN"/>
              </w:rPr>
              <w:t>596</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default" w:eastAsiaTheme="minorEastAsia"/>
                <w:lang w:val="en-US" w:eastAsia="zh-CN"/>
              </w:rPr>
            </w:pPr>
            <w:r>
              <w:rPr>
                <w:rFonts w:hint="eastAsia"/>
                <w:lang w:val="en-US" w:eastAsia="zh-CN"/>
              </w:rPr>
              <w:t>44</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eastAsiaTheme="minorEastAsia"/>
                <w:sz w:val="24"/>
                <w:lang w:val="en-US" w:eastAsia="zh-CN"/>
              </w:rPr>
            </w:pPr>
            <w:r>
              <w:rPr>
                <w:rFonts w:hint="eastAsia" w:ascii="宋体"/>
                <w:sz w:val="24"/>
                <w:lang w:val="en-US" w:eastAsia="zh-CN"/>
              </w:rPr>
              <w:t>0</w:t>
            </w:r>
          </w:p>
        </w:tc>
      </w:tr>
    </w:tbl>
    <w:p>
      <w:pPr>
        <w:widowControl/>
        <w:jc w:val="left"/>
      </w:pP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jc w:val="both"/>
        <w:textAlignment w:val="auto"/>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三、收到和处理政府信息公开申请情况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5"/>
        <w:gridCol w:w="940"/>
        <w:gridCol w:w="3199"/>
        <w:gridCol w:w="685"/>
        <w:gridCol w:w="693"/>
        <w:gridCol w:w="693"/>
        <w:gridCol w:w="693"/>
        <w:gridCol w:w="693"/>
        <w:gridCol w:w="693"/>
        <w:gridCol w:w="69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wordWrap w:val="0"/>
              <w:jc w:val="left"/>
            </w:pPr>
            <w:r>
              <w:rPr>
                <w:rFonts w:ascii="宋体" w:hAnsi="宋体" w:eastAsia="宋体" w:cs="宋体"/>
                <w:kern w:val="0"/>
                <w:sz w:val="20"/>
                <w:szCs w:val="20"/>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sz w:val="24"/>
              </w:rPr>
            </w:pPr>
          </w:p>
        </w:tc>
        <w:tc>
          <w:tcPr>
            <w:tcW w:w="714"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kern w:val="0"/>
                <w:sz w:val="20"/>
                <w:szCs w:val="20"/>
              </w:rPr>
              <w:t>自然人</w:t>
            </w:r>
          </w:p>
        </w:tc>
        <w:tc>
          <w:tcPr>
            <w:tcW w:w="35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sz w:val="24"/>
              </w:rPr>
            </w:pPr>
          </w:p>
        </w:tc>
        <w:tc>
          <w:tcPr>
            <w:tcW w:w="714"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ascii="宋体"/>
                <w:sz w:val="24"/>
              </w:rPr>
            </w:pPr>
          </w:p>
        </w:tc>
        <w:tc>
          <w:tcPr>
            <w:tcW w:w="7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商业</w:t>
            </w:r>
          </w:p>
          <w:p>
            <w:pPr>
              <w:widowControl/>
              <w:wordWrap w:val="0"/>
              <w:jc w:val="center"/>
            </w:pPr>
            <w:r>
              <w:rPr>
                <w:rFonts w:hint="eastAsia" w:ascii="宋体" w:hAnsi="宋体" w:eastAsia="宋体" w:cs="宋体"/>
                <w:kern w:val="0"/>
                <w:sz w:val="20"/>
                <w:szCs w:val="20"/>
              </w:rPr>
              <w:t>企业</w:t>
            </w:r>
          </w:p>
        </w:tc>
        <w:tc>
          <w:tcPr>
            <w:tcW w:w="7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科研</w:t>
            </w:r>
          </w:p>
          <w:p>
            <w:pPr>
              <w:widowControl/>
              <w:wordWrap w:val="0"/>
              <w:jc w:val="center"/>
            </w:pPr>
            <w:r>
              <w:rPr>
                <w:rFonts w:hint="eastAsia" w:ascii="宋体" w:hAnsi="宋体" w:eastAsia="宋体" w:cs="宋体"/>
                <w:kern w:val="0"/>
                <w:sz w:val="20"/>
                <w:szCs w:val="20"/>
              </w:rPr>
              <w:t>机构</w:t>
            </w:r>
          </w:p>
        </w:tc>
        <w:tc>
          <w:tcPr>
            <w:tcW w:w="71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社会公益组织</w:t>
            </w:r>
          </w:p>
        </w:tc>
        <w:tc>
          <w:tcPr>
            <w:tcW w:w="71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法律服务机构</w:t>
            </w:r>
          </w:p>
        </w:tc>
        <w:tc>
          <w:tcPr>
            <w:tcW w:w="71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其他</w:t>
            </w:r>
          </w:p>
        </w:tc>
        <w:tc>
          <w:tcPr>
            <w:tcW w:w="714" w:type="dxa"/>
            <w:vMerge w:val="continue"/>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一、本年新收政府信息公开申请数量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1</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二、上年结转政府信息公开申请数量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三、本年度办理结果</w:t>
            </w: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（一）予以公开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（二）部分公开</w:t>
            </w:r>
            <w:r>
              <w:rPr>
                <w:rFonts w:hint="eastAsia" w:ascii="楷体" w:hAnsi="楷体" w:eastAsia="楷体" w:cs="楷体"/>
                <w:kern w:val="0"/>
                <w:sz w:val="20"/>
                <w:szCs w:val="20"/>
              </w:rPr>
              <w:t>（区分处理的，只计这一情形，不计其他情形）</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1</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ind w:firstLine="210" w:firstLineChars="100"/>
              <w:jc w:val="both"/>
              <w:rPr>
                <w:rFonts w:hint="default"/>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（三）不予公开</w:t>
            </w: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1.属于国家秘密</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2.其他法律行政法规禁止公开</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3" w:hRule="atLeast"/>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3.危及“三安全一稳定”</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default"/>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4.保护第三方合法权益</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5.属于三类内部事务信息</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6.属于四类过程性信息</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7.属于行政执法案卷</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8.属于行政查询事项</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（四）无法提供</w:t>
            </w: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1.本机关不掌握相关政府信息</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2.没有现成信息需要另行制作</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3.补正后申请内容仍不明确</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（五）不予处理</w:t>
            </w: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1.信访举报投诉类申请</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2.重复申请</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3.要求提供公开出版物</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4.无正当理由大量反复申请</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pPr>
            <w:r>
              <w:rPr>
                <w:rFonts w:hint="eastAsia" w:ascii="宋体" w:hAnsi="宋体" w:eastAsia="宋体" w:cs="宋体"/>
                <w:kern w:val="0"/>
                <w:sz w:val="20"/>
                <w:szCs w:val="20"/>
              </w:rPr>
              <w:t>5.要求行政机关确认或重新出具已获取信息</w:t>
            </w:r>
          </w:p>
        </w:tc>
        <w:tc>
          <w:tcPr>
            <w:tcW w:w="714" w:type="dxa"/>
            <w:tcBorders>
              <w:top w:val="nil"/>
              <w:left w:val="nil"/>
              <w:bottom w:val="outset" w:color="auto" w:sz="8" w:space="0"/>
              <w:right w:val="single" w:color="auto" w:sz="8" w:space="0"/>
            </w:tcBorders>
            <w:shd w:val="clear" w:color="auto" w:fill="auto"/>
            <w:tcMar>
              <w:left w:w="57" w:type="dxa"/>
              <w:right w:w="57" w:type="dxa"/>
            </w:tcMar>
          </w:tcPr>
          <w:p>
            <w:pPr>
              <w:widowControl/>
              <w:wordWrap w:val="0"/>
              <w:jc w:val="center"/>
              <w:rPr>
                <w:rFonts w:hint="eastAsia"/>
                <w:lang w:val="en-US" w:eastAsia="zh-CN"/>
              </w:rPr>
            </w:pPr>
          </w:p>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outset" w:color="auto" w:sz="8" w:space="0"/>
              <w:right w:val="single" w:color="auto" w:sz="8" w:space="0"/>
            </w:tcBorders>
            <w:shd w:val="clear" w:color="auto" w:fill="auto"/>
            <w:tcMar>
              <w:left w:w="57" w:type="dxa"/>
              <w:right w:w="57" w:type="dxa"/>
            </w:tcMar>
          </w:tcPr>
          <w:p>
            <w:pPr>
              <w:widowControl/>
              <w:wordWrap w:val="0"/>
              <w:jc w:val="center"/>
              <w:rPr>
                <w:rFonts w:hint="eastAsia"/>
                <w:lang w:val="en-US" w:eastAsia="zh-CN"/>
              </w:rPr>
            </w:pPr>
          </w:p>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outset" w:color="auto" w:sz="8" w:space="0"/>
              <w:right w:val="single" w:color="auto" w:sz="8" w:space="0"/>
            </w:tcBorders>
            <w:shd w:val="clear" w:color="auto" w:fill="auto"/>
            <w:tcMar>
              <w:left w:w="57" w:type="dxa"/>
              <w:right w:w="57" w:type="dxa"/>
            </w:tcMar>
          </w:tcPr>
          <w:p>
            <w:pPr>
              <w:widowControl/>
              <w:wordWrap w:val="0"/>
              <w:jc w:val="center"/>
              <w:rPr>
                <w:rFonts w:hint="eastAsia"/>
                <w:lang w:val="en-US" w:eastAsia="zh-CN"/>
              </w:rPr>
            </w:pPr>
          </w:p>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outset" w:color="auto" w:sz="8" w:space="0"/>
              <w:right w:val="single" w:color="auto" w:sz="8" w:space="0"/>
            </w:tcBorders>
            <w:shd w:val="clear" w:color="auto" w:fill="auto"/>
            <w:tcMar>
              <w:left w:w="57" w:type="dxa"/>
              <w:right w:w="57" w:type="dxa"/>
            </w:tcMar>
          </w:tcPr>
          <w:p>
            <w:pPr>
              <w:widowControl/>
              <w:wordWrap w:val="0"/>
              <w:jc w:val="center"/>
              <w:rPr>
                <w:rFonts w:hint="eastAsia"/>
                <w:lang w:val="en-US" w:eastAsia="zh-CN"/>
              </w:rPr>
            </w:pPr>
          </w:p>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outset" w:color="auto" w:sz="8" w:space="0"/>
              <w:right w:val="single" w:color="auto" w:sz="8" w:space="0"/>
            </w:tcBorders>
            <w:shd w:val="clear" w:color="auto" w:fill="auto"/>
            <w:tcMar>
              <w:left w:w="57" w:type="dxa"/>
              <w:right w:w="57" w:type="dxa"/>
            </w:tcMar>
          </w:tcPr>
          <w:p>
            <w:pPr>
              <w:widowControl/>
              <w:wordWrap w:val="0"/>
              <w:jc w:val="center"/>
              <w:rPr>
                <w:rFonts w:hint="eastAsia"/>
                <w:lang w:val="en-US" w:eastAsia="zh-CN"/>
              </w:rPr>
            </w:pPr>
          </w:p>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outset" w:color="auto" w:sz="8" w:space="0"/>
              <w:right w:val="single" w:color="auto" w:sz="8" w:space="0"/>
            </w:tcBorders>
            <w:shd w:val="clear" w:color="auto" w:fill="auto"/>
            <w:tcMar>
              <w:left w:w="57" w:type="dxa"/>
              <w:right w:w="57" w:type="dxa"/>
            </w:tcMar>
          </w:tcPr>
          <w:p>
            <w:pPr>
              <w:widowControl/>
              <w:wordWrap w:val="0"/>
              <w:jc w:val="center"/>
              <w:rPr>
                <w:rFonts w:hint="eastAsia"/>
                <w:lang w:val="en-US" w:eastAsia="zh-CN"/>
              </w:rPr>
            </w:pPr>
          </w:p>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outset" w:color="auto" w:sz="8" w:space="0"/>
              <w:right w:val="single" w:color="auto" w:sz="8" w:space="0"/>
            </w:tcBorders>
            <w:shd w:val="clear" w:color="auto" w:fill="auto"/>
            <w:tcMar>
              <w:left w:w="57" w:type="dxa"/>
              <w:right w:w="57" w:type="dxa"/>
            </w:tcMar>
          </w:tcPr>
          <w:p>
            <w:pPr>
              <w:widowControl/>
              <w:wordWrap w:val="0"/>
              <w:jc w:val="center"/>
              <w:rPr>
                <w:rFonts w:hint="default" w:eastAsiaTheme="minorEastAsia"/>
                <w:lang w:val="en-US" w:eastAsia="zh-CN"/>
              </w:rPr>
            </w:pPr>
          </w:p>
          <w:p>
            <w:pPr>
              <w:widowControl/>
              <w:wordWrap w:val="0"/>
              <w:jc w:val="center"/>
              <w:rPr>
                <w:rFonts w:hint="default"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（六）其他处理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pPr>
            <w:r>
              <w:rPr>
                <w:rFonts w:hint="eastAsia" w:ascii="宋体" w:hAnsi="宋体" w:eastAsia="宋体" w:cs="宋体"/>
                <w:kern w:val="0"/>
                <w:sz w:val="20"/>
                <w:szCs w:val="20"/>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jc w:val="center"/>
              <w:rPr>
                <w:rFonts w:hint="eastAsia"/>
                <w:lang w:val="en-US" w:eastAsia="zh-CN"/>
              </w:rPr>
            </w:pPr>
          </w:p>
          <w:p>
            <w:pPr>
              <w:widowControl/>
              <w:wordWrap/>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pPr>
            <w:r>
              <w:rPr>
                <w:rFonts w:hint="eastAsia" w:ascii="宋体" w:hAnsi="宋体" w:eastAsia="宋体" w:cs="宋体"/>
                <w:kern w:val="0"/>
                <w:sz w:val="20"/>
                <w:szCs w:val="20"/>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lang w:val="en-US" w:eastAsia="zh-CN"/>
              </w:rPr>
            </w:pPr>
          </w:p>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3.其他</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（七）总计</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1</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四、结转下年度继续办理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jc w:val="center"/>
              <w:rPr>
                <w:rFonts w:hint="eastAsia" w:ascii="宋体" w:eastAsiaTheme="minorEastAsia"/>
                <w:sz w:val="24"/>
                <w:lang w:val="en-US" w:eastAsia="zh-CN"/>
              </w:rPr>
            </w:pPr>
            <w:r>
              <w:rPr>
                <w:rFonts w:hint="eastAsia" w:ascii="宋体"/>
                <w:sz w:val="24"/>
                <w:lang w:val="en-US" w:eastAsia="zh-CN"/>
              </w:rPr>
              <w:t>0</w:t>
            </w:r>
          </w:p>
        </w:tc>
      </w:tr>
    </w:tbl>
    <w:p>
      <w:pPr>
        <w:widowControl/>
        <w:shd w:val="clear" w:color="auto" w:fill="FFFFFF"/>
        <w:rPr>
          <w:rFonts w:ascii="宋体" w:hAnsi="宋体" w:eastAsia="宋体" w:cs="宋体"/>
          <w:color w:val="333333"/>
          <w:sz w:val="16"/>
          <w:szCs w:val="16"/>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jc w:val="both"/>
        <w:textAlignment w:val="auto"/>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四、政府信息公开行政复议、行政诉讼情况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其他结果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尚未审结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其他结果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尚未审结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color w:val="000000"/>
                <w:kern w:val="0"/>
                <w:sz w:val="20"/>
                <w:szCs w:val="20"/>
              </w:rPr>
              <w:t>其他结果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尚未审结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sz w:val="24"/>
                <w:lang w:val="en-US" w:eastAsia="zh-CN"/>
              </w:rPr>
            </w:pPr>
            <w:r>
              <w:rPr>
                <w:rFonts w:hint="eastAsia" w:ascii="宋体"/>
                <w:sz w:val="24"/>
                <w:lang w:val="en-US" w:eastAsia="zh-CN"/>
              </w:rPr>
              <w:t>0</w:t>
            </w:r>
          </w:p>
        </w:tc>
      </w:tr>
    </w:tbl>
    <w:p>
      <w:pPr>
        <w:pStyle w:val="3"/>
        <w:widowControl/>
        <w:numPr>
          <w:ilvl w:val="0"/>
          <w:numId w:val="0"/>
        </w:numPr>
        <w:shd w:val="clear" w:color="auto" w:fill="FFFFFF"/>
        <w:spacing w:beforeAutospacing="0" w:afterAutospacing="0"/>
        <w:jc w:val="both"/>
        <w:rPr>
          <w:rFonts w:hint="eastAsia" w:ascii="黑体" w:hAnsi="黑体" w:eastAsia="黑体" w:cs="黑体"/>
          <w:bCs/>
          <w:color w:val="333333"/>
          <w:sz w:val="32"/>
          <w:szCs w:val="32"/>
          <w:shd w:val="clear" w:color="auto" w:fill="FFFFFF"/>
        </w:rPr>
      </w:pPr>
    </w:p>
    <w:p>
      <w:pPr>
        <w:pStyle w:val="3"/>
        <w:widowControl/>
        <w:numPr>
          <w:ilvl w:val="0"/>
          <w:numId w:val="0"/>
        </w:numPr>
        <w:shd w:val="clear" w:color="auto" w:fill="FFFFFF"/>
        <w:spacing w:beforeAutospacing="0" w:afterAutospacing="0"/>
        <w:ind w:firstLine="640" w:firstLineChars="200"/>
        <w:jc w:val="both"/>
        <w:rPr>
          <w:rFonts w:hint="eastAsia" w:ascii="黑体" w:hAnsi="黑体" w:eastAsia="黑体" w:cs="黑体"/>
          <w:bCs/>
          <w:color w:val="333333"/>
          <w:sz w:val="32"/>
          <w:szCs w:val="32"/>
          <w:shd w:val="clear" w:color="auto" w:fill="FFFFFF"/>
        </w:rPr>
      </w:pPr>
      <w:r>
        <w:rPr>
          <w:rFonts w:hint="eastAsia" w:ascii="黑体" w:hAnsi="黑体" w:eastAsia="黑体" w:cs="黑体"/>
          <w:bCs/>
          <w:color w:val="333333"/>
          <w:sz w:val="32"/>
          <w:szCs w:val="32"/>
          <w:shd w:val="clear" w:color="auto" w:fill="FFFFFF"/>
          <w:lang w:val="en-US" w:eastAsia="zh-CN"/>
        </w:rPr>
        <w:t>五、</w:t>
      </w:r>
      <w:r>
        <w:rPr>
          <w:rFonts w:hint="eastAsia" w:ascii="黑体" w:hAnsi="黑体" w:eastAsia="黑体" w:cs="黑体"/>
          <w:bCs/>
          <w:color w:val="333333"/>
          <w:sz w:val="32"/>
          <w:szCs w:val="32"/>
          <w:shd w:val="clear" w:color="auto" w:fill="FFFFFF"/>
        </w:rPr>
        <w:t>存在的主要</w:t>
      </w:r>
      <w:commentRangeStart w:id="2"/>
      <w:r>
        <w:rPr>
          <w:rFonts w:hint="eastAsia" w:ascii="黑体" w:hAnsi="黑体" w:eastAsia="黑体" w:cs="黑体"/>
          <w:bCs/>
          <w:color w:val="333333"/>
          <w:sz w:val="32"/>
          <w:szCs w:val="32"/>
          <w:shd w:val="clear" w:color="auto" w:fill="FFFFFF"/>
        </w:rPr>
        <w:t>问题及改进</w:t>
      </w:r>
      <w:commentRangeEnd w:id="2"/>
      <w:r>
        <w:rPr>
          <w:rFonts w:hint="eastAsia" w:ascii="黑体" w:hAnsi="黑体" w:eastAsia="黑体" w:cs="黑体"/>
          <w:sz w:val="32"/>
          <w:szCs w:val="32"/>
        </w:rPr>
        <w:commentReference w:id="2"/>
      </w:r>
      <w:r>
        <w:rPr>
          <w:rFonts w:hint="eastAsia" w:ascii="黑体" w:hAnsi="黑体" w:eastAsia="黑体" w:cs="黑体"/>
          <w:bCs/>
          <w:color w:val="333333"/>
          <w:sz w:val="32"/>
          <w:szCs w:val="32"/>
          <w:shd w:val="clear" w:color="auto" w:fill="FFFFFF"/>
        </w:rPr>
        <w:t>情况</w:t>
      </w:r>
    </w:p>
    <w:p>
      <w:pPr>
        <w:pStyle w:val="3"/>
        <w:widowControl/>
        <w:numPr>
          <w:ilvl w:val="0"/>
          <w:numId w:val="0"/>
        </w:numPr>
        <w:shd w:val="clear" w:color="auto" w:fill="FFFFFF"/>
        <w:spacing w:beforeAutospacing="0" w:afterAutospacing="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commentRangeStart w:id="3"/>
      <w:r>
        <w:rPr>
          <w:rFonts w:hint="eastAsia" w:ascii="仿宋_GB2312" w:hAnsi="仿宋_GB2312" w:eastAsia="仿宋_GB2312" w:cs="仿宋_GB2312"/>
          <w:kern w:val="2"/>
          <w:sz w:val="32"/>
          <w:szCs w:val="32"/>
          <w:lang w:val="en-US" w:eastAsia="zh-CN" w:bidi="ar-SA"/>
        </w:rPr>
        <w:t>022年在全体干部职工的努力下，</w:t>
      </w:r>
      <w:commentRangeEnd w:id="3"/>
      <w:r>
        <w:rPr>
          <w:rFonts w:hint="eastAsia" w:ascii="仿宋_GB2312" w:hAnsi="仿宋_GB2312" w:eastAsia="仿宋_GB2312" w:cs="仿宋_GB2312"/>
          <w:kern w:val="2"/>
          <w:sz w:val="32"/>
          <w:szCs w:val="32"/>
          <w:lang w:val="en-US" w:eastAsia="zh-CN" w:bidi="ar-SA"/>
        </w:rPr>
        <w:commentReference w:id="3"/>
      </w:r>
      <w:r>
        <w:rPr>
          <w:rFonts w:hint="eastAsia" w:ascii="仿宋_GB2312" w:hAnsi="仿宋_GB2312" w:eastAsia="仿宋_GB2312" w:cs="仿宋_GB2312"/>
          <w:kern w:val="2"/>
          <w:sz w:val="32"/>
          <w:szCs w:val="32"/>
          <w:lang w:val="en-US" w:eastAsia="zh-CN" w:bidi="ar-SA"/>
        </w:rPr>
        <w:t>我局政务公开工作一直保持良好态势，但与上级的要求相比，还存在一些问题和不足，主要表现为：一是政府信息公开的内容缺乏针对性、公开的内容还不够充实；二是涉及政策解读的内容解读的方式还不够新颖、形式还不够灵活。</w:t>
      </w:r>
    </w:p>
    <w:p>
      <w:pPr>
        <w:pStyle w:val="3"/>
        <w:widowControl/>
        <w:shd w:val="clear" w:color="auto" w:fill="FFFFFF"/>
        <w:spacing w:beforeAutospacing="0" w:afterAutospacing="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commentReference w:id="4"/>
      </w:r>
      <w:r>
        <w:rPr>
          <w:rFonts w:hint="eastAsia" w:ascii="仿宋_GB2312" w:hAnsi="仿宋_GB2312" w:eastAsia="仿宋_GB2312" w:cs="仿宋_GB2312"/>
          <w:kern w:val="2"/>
          <w:sz w:val="32"/>
          <w:szCs w:val="32"/>
          <w:lang w:val="en-US" w:eastAsia="zh-CN" w:bidi="ar-SA"/>
        </w:rPr>
        <w:t>改进情况：一是要求业务经办人员，做好信息发布常态化管理，保证政府公开信息及时发布。二是创新政策解读形式。改进政策解读服务，积极创新解读方式，采取图文、音视频等形式开展政策解读。三是提升政府信息公开业务人员水平。积极参与政务公开办组织的业务培训，定期组织局各股室及具体经办人员开展业务培训，提升全局人员政务公开意识和公开能力，确保全局人员熟悉公开内容和要求，不断提高公开业务技能，增强政府信息公开能力水平。</w:t>
      </w:r>
    </w:p>
    <w:p>
      <w:pPr>
        <w:pStyle w:val="3"/>
        <w:widowControl/>
        <w:shd w:val="clear" w:color="auto" w:fill="FFFFFF"/>
        <w:spacing w:beforeAutospacing="0" w:afterAutospacing="0"/>
        <w:ind w:firstLine="640" w:firstLineChars="200"/>
        <w:jc w:val="both"/>
        <w:rPr>
          <w:rFonts w:hint="eastAsia" w:ascii="黑体" w:hAnsi="黑体" w:eastAsia="黑体" w:cs="黑体"/>
          <w:bCs/>
          <w:color w:val="333333"/>
          <w:sz w:val="32"/>
          <w:szCs w:val="32"/>
          <w:shd w:val="clear" w:color="auto" w:fill="FFFFFF"/>
        </w:rPr>
      </w:pPr>
      <w:r>
        <w:rPr>
          <w:rFonts w:hint="eastAsia" w:ascii="黑体" w:hAnsi="黑体" w:eastAsia="黑体" w:cs="黑体"/>
          <w:bCs/>
          <w:color w:val="333333"/>
          <w:sz w:val="32"/>
          <w:szCs w:val="32"/>
          <w:shd w:val="clear" w:color="auto" w:fill="FFFFFF"/>
        </w:rPr>
        <w:t>六、其他需要报告的事项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按照《国务院办公厅关于印发&lt;政府信息公开信息处理费管理办法&gt;的通知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（国办函〔2020〕109 号）规定的按件、按量收费标准，本年度没有产生信息公开处理费。</w:t>
      </w:r>
    </w:p>
    <w:p>
      <w:pPr>
        <w:ind w:firstLine="640" w:firstLineChars="200"/>
        <w:rPr>
          <w:rFonts w:hint="eastAsia" w:ascii="仿宋_GB2312" w:hAnsi="仿宋_GB2312" w:eastAsia="仿宋_GB2312" w:cs="仿宋_GB2312"/>
          <w:sz w:val="32"/>
          <w:szCs w:val="32"/>
        </w:rPr>
      </w:pPr>
    </w:p>
    <w:p>
      <w:pPr>
        <w:rPr>
          <w:rFonts w:hint="default" w:ascii="仿宋_GB2312" w:hAnsi="仿宋_GB2312" w:eastAsia="仿宋_GB2312" w:cs="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3-01-17T16:35:47Z" w:initials="a">
    <w:p w14:paraId="0F4A3161">
      <w:pPr>
        <w:pStyle w:val="2"/>
      </w:pPr>
      <w:r>
        <w:rPr>
          <w:rFonts w:hint="eastAsia" w:ascii="宋体" w:hAnsi="宋体" w:eastAsia="宋体" w:cs="宋体"/>
          <w:i w:val="0"/>
          <w:iCs w:val="0"/>
          <w:caps w:val="0"/>
          <w:color w:val="FF0000"/>
          <w:spacing w:val="0"/>
          <w:sz w:val="32"/>
          <w:szCs w:val="32"/>
          <w:shd w:val="clear" w:fill="FFFFFF"/>
          <w:lang w:val="en-US" w:eastAsia="zh-CN"/>
        </w:rPr>
        <w:t>小标题改为：政府信息公开平台建设</w:t>
      </w:r>
    </w:p>
  </w:comment>
  <w:comment w:id="1" w:author="administrator" w:date="2023-01-17T16:24:02Z" w:initials="a">
    <w:p w14:paraId="655E536D">
      <w:pPr>
        <w:pStyle w:val="2"/>
        <w:rPr>
          <w:rFonts w:hint="eastAsia" w:eastAsia="仿宋_GB2312"/>
          <w:b/>
          <w:bCs w:val="0"/>
          <w:color w:val="auto"/>
          <w:sz w:val="24"/>
          <w:szCs w:val="32"/>
          <w:lang w:eastAsia="zh-CN"/>
        </w:rPr>
      </w:pPr>
      <w:r>
        <w:rPr>
          <w:rFonts w:hint="eastAsia" w:ascii="仿宋_GB2312" w:hAnsi="宋体" w:eastAsia="仿宋_GB2312" w:cs="宋体"/>
          <w:b/>
          <w:bCs w:val="0"/>
          <w:color w:val="auto"/>
          <w:sz w:val="40"/>
          <w:szCs w:val="40"/>
          <w:shd w:val="clear" w:color="auto" w:fill="FFFFFF"/>
          <w:lang w:eastAsia="zh-CN"/>
        </w:rPr>
        <w:t>必须体现</w:t>
      </w:r>
      <w:r>
        <w:rPr>
          <w:rFonts w:hint="eastAsia" w:ascii="仿宋_GB2312" w:hAnsi="宋体" w:eastAsia="仿宋_GB2312" w:cs="宋体"/>
          <w:b/>
          <w:bCs w:val="0"/>
          <w:color w:val="FF0000"/>
          <w:sz w:val="40"/>
          <w:szCs w:val="40"/>
          <w:shd w:val="clear" w:color="auto" w:fill="FFFFFF"/>
        </w:rPr>
        <w:t>工作考核制度</w:t>
      </w:r>
      <w:r>
        <w:rPr>
          <w:rFonts w:hint="eastAsia" w:ascii="仿宋_GB2312" w:hAnsi="宋体" w:eastAsia="仿宋_GB2312" w:cs="宋体"/>
          <w:b/>
          <w:bCs w:val="0"/>
          <w:color w:val="auto"/>
          <w:sz w:val="40"/>
          <w:szCs w:val="40"/>
          <w:shd w:val="clear" w:color="auto" w:fill="FFFFFF"/>
        </w:rPr>
        <w:t>、社会评议制度和责任追究</w:t>
      </w:r>
      <w:r>
        <w:rPr>
          <w:rFonts w:hint="eastAsia" w:ascii="仿宋_GB2312" w:hAnsi="宋体" w:eastAsia="仿宋_GB2312" w:cs="宋体"/>
          <w:b/>
          <w:bCs w:val="0"/>
          <w:color w:val="auto"/>
          <w:sz w:val="40"/>
          <w:szCs w:val="40"/>
          <w:shd w:val="clear" w:color="auto" w:fill="FFFFFF"/>
          <w:lang w:eastAsia="zh-CN"/>
        </w:rPr>
        <w:t>相关内容</w:t>
      </w:r>
    </w:p>
    <w:p w14:paraId="56B46CB1">
      <w:pPr>
        <w:pStyle w:val="2"/>
      </w:pPr>
    </w:p>
  </w:comment>
  <w:comment w:id="2" w:author="administrator" w:date="2023-01-17T16:30:44Z" w:initials="a">
    <w:p w14:paraId="44F6326A">
      <w:pPr>
        <w:pStyle w:val="2"/>
        <w:rPr>
          <w:rFonts w:hint="eastAsia" w:eastAsiaTheme="minorEastAsia"/>
          <w:lang w:eastAsia="zh-CN"/>
        </w:rPr>
      </w:pPr>
      <w:r>
        <w:rPr>
          <w:rFonts w:hint="eastAsia"/>
          <w:lang w:eastAsia="zh-CN"/>
        </w:rPr>
        <w:t>问题和对策应该一一对应，建议合并</w:t>
      </w:r>
    </w:p>
  </w:comment>
  <w:comment w:id="3" w:author="administrator" w:date="2023-01-17T16:29:33Z" w:initials="a">
    <w:p w14:paraId="700F0372">
      <w:pPr>
        <w:pStyle w:val="2"/>
        <w:rPr>
          <w:rFonts w:hint="eastAsia" w:eastAsiaTheme="minorEastAsia"/>
          <w:lang w:eastAsia="zh-CN"/>
        </w:rPr>
      </w:pPr>
      <w:r>
        <w:rPr>
          <w:rFonts w:hint="eastAsia"/>
          <w:lang w:eastAsia="zh-CN"/>
        </w:rPr>
        <w:t>存在病句。复制痕迹。请修改</w:t>
      </w:r>
    </w:p>
  </w:comment>
  <w:comment w:id="4" w:author="administrator" w:date="2023-01-17T16:29:07Z" w:initials="a">
    <w:p w14:paraId="0F2E52B9">
      <w:pPr>
        <w:pStyle w:val="2"/>
        <w:rPr>
          <w:rFonts w:hint="default" w:eastAsia="黑体"/>
          <w:color w:val="FF0000"/>
          <w:lang w:val="en-US" w:eastAsia="zh-CN"/>
        </w:rPr>
      </w:pPr>
      <w:r>
        <w:rPr>
          <w:rFonts w:hint="eastAsia" w:ascii="黑体" w:hAnsi="黑体" w:eastAsia="黑体" w:cs="宋体"/>
          <w:bCs/>
          <w:color w:val="FF0000"/>
          <w:sz w:val="32"/>
          <w:szCs w:val="32"/>
          <w:shd w:val="clear" w:color="auto" w:fill="FFFFFF"/>
        </w:rPr>
        <w:t>改进情况</w:t>
      </w:r>
      <w:r>
        <w:rPr>
          <w:rFonts w:hint="eastAsia" w:ascii="黑体" w:hAnsi="黑体" w:eastAsia="黑体" w:cs="宋体"/>
          <w:bCs/>
          <w:color w:val="FF0000"/>
          <w:sz w:val="32"/>
          <w:szCs w:val="32"/>
          <w:shd w:val="clear" w:color="auto" w:fill="FFFFFF"/>
          <w:lang w:eastAsia="zh-CN"/>
        </w:rPr>
        <w:t>此处表述</w:t>
      </w:r>
      <w:r>
        <w:rPr>
          <w:rFonts w:hint="eastAsia" w:ascii="黑体" w:hAnsi="黑体" w:eastAsia="黑体" w:cs="宋体"/>
          <w:bCs/>
          <w:color w:val="FF0000"/>
          <w:sz w:val="32"/>
          <w:szCs w:val="32"/>
          <w:shd w:val="clear" w:color="auto" w:fill="FFFFFF"/>
          <w:lang w:val="en-US" w:eastAsia="zh-CN"/>
        </w:rPr>
        <w:t xml:space="preserve"> </w:t>
      </w:r>
      <w:r>
        <w:rPr>
          <w:rFonts w:hint="eastAsia" w:ascii="黑体" w:hAnsi="黑体" w:eastAsia="黑体" w:cs="宋体"/>
          <w:bCs/>
          <w:color w:val="FF0000"/>
          <w:sz w:val="32"/>
          <w:szCs w:val="32"/>
          <w:shd w:val="clear" w:color="auto" w:fill="FFFFFF"/>
          <w:lang w:eastAsia="zh-CN"/>
        </w:rPr>
        <w:t>应该是</w:t>
      </w:r>
      <w:r>
        <w:rPr>
          <w:rFonts w:hint="eastAsia" w:ascii="黑体" w:hAnsi="黑体" w:eastAsia="黑体" w:cs="宋体"/>
          <w:bCs/>
          <w:color w:val="FF0000"/>
          <w:sz w:val="32"/>
          <w:szCs w:val="32"/>
          <w:shd w:val="clear" w:color="auto" w:fill="FFFFFF"/>
          <w:lang w:val="en-US" w:eastAsia="zh-CN"/>
        </w:rPr>
        <w:t>22年度已采取的改进措施。而不是下一步计划、</w:t>
      </w:r>
    </w:p>
    <w:p w14:paraId="6B3952A2">
      <w:pPr>
        <w:pStyle w:val="2"/>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F4A3161" w15:done="0"/>
  <w15:commentEx w15:paraId="56B46CB1" w15:done="0"/>
  <w15:commentEx w15:paraId="44F6326A" w15:done="0"/>
  <w15:commentEx w15:paraId="700F0372" w15:done="0"/>
  <w15:commentEx w15:paraId="6B3952A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8DE78"/>
    <w:multiLevelType w:val="singleLevel"/>
    <w:tmpl w:val="A3A8DE78"/>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YWU5YTQyZTA1ODdmNTY0MzFkZTU3N2U1ODRjNzQifQ=="/>
  </w:docVars>
  <w:rsids>
    <w:rsidRoot w:val="2B8B42D8"/>
    <w:rsid w:val="214261C7"/>
    <w:rsid w:val="227A4E12"/>
    <w:rsid w:val="2B8B42D8"/>
    <w:rsid w:val="41345BB8"/>
    <w:rsid w:val="41DD6293"/>
    <w:rsid w:val="59125193"/>
    <w:rsid w:val="5C732473"/>
    <w:rsid w:val="61131A15"/>
    <w:rsid w:val="6235581F"/>
    <w:rsid w:val="68B43672"/>
    <w:rsid w:val="6CF43883"/>
    <w:rsid w:val="7E567144"/>
    <w:rsid w:val="7F08394A"/>
    <w:rsid w:val="7F0F5AB9"/>
    <w:rsid w:val="A5F106E2"/>
    <w:rsid w:val="FE7B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2542</Words>
  <Characters>2615</Characters>
  <Lines>0</Lines>
  <Paragraphs>0</Paragraphs>
  <TotalTime>13</TotalTime>
  <ScaleCrop>false</ScaleCrop>
  <LinksUpToDate>false</LinksUpToDate>
  <CharactersWithSpaces>2616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2023-01-08T08:16:00Z</dcterms:created>
  <dc:creator>蓝樱浅蝶*</dc:creator>
  <cp:lastModifiedBy>蓝樱浅蝶*</cp:lastModifiedBy>
  <cp:lastPrinted>2023-01-18T07:51:00Z</cp:lastPrinted>
  <dcterms:modified xsi:type="dcterms:W3CDTF">2024-02-21T03:01:03Z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351C510F2D9B4170964DCAA30F5B08A4</vt:lpwstr>
  </property>
</Properties>
</file>