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jc w:val="center"/>
        <w:textAlignment w:val="auto"/>
        <w:rPr>
          <w:rFonts w:hint="eastAsia" w:ascii="Times New Roman" w:hAnsi="Times New Roman" w:eastAsia="方正小标宋简体" w:cs="Times New Roman"/>
          <w:color w:val="auto"/>
          <w:kern w:val="0"/>
          <w:sz w:val="44"/>
          <w:szCs w:val="44"/>
          <w:highlight w:val="none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color w:val="auto"/>
          <w:kern w:val="0"/>
          <w:sz w:val="44"/>
          <w:szCs w:val="44"/>
          <w:highlight w:val="none"/>
          <w:lang w:val="en-US" w:eastAsia="zh-CN"/>
        </w:rPr>
        <w:t>舒城县公共资源交易中心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jc w:val="center"/>
        <w:textAlignment w:val="auto"/>
        <w:rPr>
          <w:rFonts w:ascii="Times New Roman" w:hAnsi="Times New Roman" w:eastAsia="方正小标宋简体" w:cs="Times New Roman"/>
          <w:color w:val="auto"/>
          <w:kern w:val="0"/>
          <w:sz w:val="44"/>
          <w:szCs w:val="44"/>
          <w:highlight w:val="none"/>
        </w:rPr>
      </w:pPr>
      <w:r>
        <w:rPr>
          <w:rFonts w:hint="eastAsia" w:ascii="Times New Roman" w:hAnsi="Times New Roman" w:eastAsia="方正小标宋简体" w:cs="Times New Roman"/>
          <w:color w:val="auto"/>
          <w:kern w:val="0"/>
          <w:sz w:val="44"/>
          <w:szCs w:val="44"/>
          <w:highlight w:val="none"/>
          <w:lang w:val="en-US" w:eastAsia="zh-CN"/>
        </w:rPr>
        <w:t>2023年</w:t>
      </w:r>
      <w:r>
        <w:rPr>
          <w:rFonts w:ascii="Times New Roman" w:hAnsi="Times New Roman" w:eastAsia="方正小标宋简体" w:cs="Times New Roman"/>
          <w:color w:val="auto"/>
          <w:kern w:val="0"/>
          <w:sz w:val="44"/>
          <w:szCs w:val="44"/>
          <w:highlight w:val="none"/>
        </w:rPr>
        <w:t>政府信息公开工作年度报告</w:t>
      </w:r>
    </w:p>
    <w:p>
      <w:pPr>
        <w:widowControl/>
        <w:shd w:val="clear" w:color="auto" w:fill="FFFFFF"/>
        <w:ind w:firstLine="480"/>
        <w:rPr>
          <w:rFonts w:ascii="Times New Roman" w:hAnsi="Times New Roman" w:eastAsia="仿宋_GB2312" w:cs="Times New Roman"/>
          <w:color w:val="auto"/>
          <w:kern w:val="0"/>
          <w:sz w:val="24"/>
          <w:szCs w:val="32"/>
          <w:highlight w:val="none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shd w:val="clear" w:color="auto" w:fill="FFFFFF"/>
          <w:lang w:val="en-US" w:eastAsia="zh-CN" w:bidi="ar-SA"/>
        </w:rPr>
        <w:t>本报告依据《中华人民共和国政府信息公开条例》和《舒城县人民政府办公室关于做好2023年度政府信息公开年度报告编制和发布工作的通知》要求编制而成。全文包括总体情况、主动公开政府信息情况、收到和处理政府信息公开申请情况、政府信息公开行政复议和行政诉讼情况、存在的主要问题及改进情况和其他需要报告的事项。本年度报告中所列数据的统计期限自2023年1月1日起至2023年12月31日止。如对本报告有任何疑问，请与舒城县公共资源交易中心办公室联系（地址：舒城县经济开发区纬一路中段，电话：0564-8626451，邮编：231300）。</w:t>
      </w:r>
    </w:p>
    <w:p>
      <w:pPr>
        <w:widowControl/>
        <w:shd w:val="clear" w:color="auto" w:fill="FFFFFF"/>
        <w:ind w:firstLine="480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shd w:val="clear" w:color="auto" w:fill="FFFFFF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highlight w:val="none"/>
        </w:rPr>
        <w:t>一、总体情况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3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 w:val="0"/>
          <w:color w:val="auto"/>
          <w:kern w:val="0"/>
          <w:sz w:val="32"/>
          <w:szCs w:val="32"/>
          <w:highlight w:val="none"/>
          <w:shd w:val="clear" w:color="auto" w:fill="FFFFFF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 w:val="0"/>
          <w:color w:val="auto"/>
          <w:kern w:val="0"/>
          <w:sz w:val="32"/>
          <w:szCs w:val="32"/>
          <w:highlight w:val="none"/>
          <w:shd w:val="clear" w:color="auto" w:fill="FFFFFF"/>
          <w:lang w:val="en-US" w:eastAsia="zh-CN" w:bidi="ar-SA"/>
        </w:rPr>
        <w:t>（一）主动公开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shd w:val="clear" w:color="auto" w:fill="FFFFFF"/>
          <w:lang w:val="en-US" w:eastAsia="zh-CN" w:bidi="ar-SA"/>
        </w:rPr>
        <w:t>我中心坚持“以公开为常态、不公开为例外”的原则，积极做好政府信息主动公开工作。一是做好重点领域信息公开。及时公开我县工程建设、政府采购等重点项目交易信息，实现招投标透明化阳光化。2023年，通过公共资源交易平台共发布各类交易信息490条，信用信息36条，监管信息10条。二是加强保障市场主体信息公开。一方面实时公开最新公共资源交易相关文件和配套政策解读，方便代理机构、投标人等市场主体了解最新政策。另一方面扎实做好</w:t>
      </w:r>
      <w:r>
        <w:rPr>
          <w:rFonts w:hint="default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shd w:val="clear" w:color="auto" w:fill="FFFFFF"/>
          <w:lang w:val="en-US" w:eastAsia="zh-CN" w:bidi="ar-SA"/>
        </w:rPr>
        <w:t>“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shd w:val="clear" w:color="auto" w:fill="FFFFFF"/>
          <w:lang w:val="en-US" w:eastAsia="zh-CN" w:bidi="ar-SA"/>
        </w:rPr>
        <w:t>双随机、一公开</w:t>
      </w:r>
      <w:r>
        <w:rPr>
          <w:rFonts w:hint="default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shd w:val="clear" w:color="auto" w:fill="FFFFFF"/>
          <w:lang w:val="en-US" w:eastAsia="zh-CN" w:bidi="ar-SA"/>
        </w:rPr>
        <w:t>”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shd w:val="clear" w:color="auto" w:fill="FFFFFF"/>
          <w:lang w:val="en-US" w:eastAsia="zh-CN" w:bidi="ar-SA"/>
        </w:rPr>
        <w:t>抽查工作。</w:t>
      </w:r>
      <w:r>
        <w:rPr>
          <w:rFonts w:hint="default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shd w:val="clear" w:color="auto" w:fill="FFFFFF"/>
          <w:lang w:val="en-US" w:eastAsia="zh-CN" w:bidi="ar-SA"/>
        </w:rPr>
        <w:t>2023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shd w:val="clear" w:color="auto" w:fill="FFFFFF"/>
          <w:lang w:val="en-US" w:eastAsia="zh-CN" w:bidi="ar-SA"/>
        </w:rPr>
        <w:t>年，在市局的统一安排下，集中开展</w:t>
      </w:r>
      <w:r>
        <w:rPr>
          <w:rFonts w:hint="default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shd w:val="clear" w:color="auto" w:fill="FFFFFF"/>
          <w:lang w:val="en-US" w:eastAsia="zh-CN" w:bidi="ar-SA"/>
        </w:rPr>
        <w:t>“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shd w:val="clear" w:color="auto" w:fill="FFFFFF"/>
          <w:lang w:val="en-US" w:eastAsia="zh-CN" w:bidi="ar-SA"/>
        </w:rPr>
        <w:t>双随机、一公开</w:t>
      </w:r>
      <w:r>
        <w:rPr>
          <w:rFonts w:hint="default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shd w:val="clear" w:color="auto" w:fill="FFFFFF"/>
          <w:lang w:val="en-US" w:eastAsia="zh-CN" w:bidi="ar-SA"/>
        </w:rPr>
        <w:t>”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shd w:val="clear" w:color="auto" w:fill="FFFFFF"/>
          <w:lang w:val="en-US" w:eastAsia="zh-CN" w:bidi="ar-SA"/>
        </w:rPr>
        <w:t>县区互查和自查</w:t>
      </w:r>
      <w:r>
        <w:rPr>
          <w:rFonts w:hint="default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shd w:val="clear" w:color="auto" w:fill="FFFFFF"/>
          <w:lang w:val="en-US" w:eastAsia="zh-CN" w:bidi="ar-SA"/>
        </w:rPr>
        <w:t>4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shd w:val="clear" w:color="auto" w:fill="FFFFFF"/>
          <w:lang w:val="en-US" w:eastAsia="zh-CN" w:bidi="ar-SA"/>
        </w:rPr>
        <w:t>次，检查覆盖率100%，我中心均按季度将检查问题及整改情况在网上通报。三是切实增强回应关切效果。针对历史沉淀保证金清退、投诉异议答复等群众关心的事项，主动在网上进行回应，保障群众知情权。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3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 w:val="0"/>
          <w:color w:val="auto"/>
          <w:kern w:val="0"/>
          <w:sz w:val="32"/>
          <w:szCs w:val="32"/>
          <w:highlight w:val="none"/>
          <w:shd w:val="clear" w:color="auto" w:fill="FFFFFF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 w:val="0"/>
          <w:color w:val="auto"/>
          <w:kern w:val="0"/>
          <w:sz w:val="32"/>
          <w:szCs w:val="32"/>
          <w:highlight w:val="none"/>
          <w:shd w:val="clear" w:color="auto" w:fill="FFFFFF"/>
          <w:lang w:val="en-US" w:eastAsia="zh-CN" w:bidi="ar-SA"/>
        </w:rPr>
        <w:t>（二）依申请公开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shd w:val="clear" w:color="auto" w:fill="FFFFFF"/>
          <w:lang w:val="en-US" w:eastAsia="zh-CN" w:bidi="ar-SA"/>
        </w:rPr>
        <w:t>制定《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shd w:val="clear" w:color="auto" w:fill="FFFFFF"/>
          <w:lang w:val="en-US" w:eastAsia="zh-CN" w:bidi="ar-SA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shd w:val="clear" w:color="auto" w:fill="FFFFFF"/>
          <w:lang w:val="en-US" w:eastAsia="zh-CN" w:bidi="ar-SA"/>
        </w:rPr>
        <w:instrText xml:space="preserve"> HYPERLINK "https://www.shucheng.gov.cn/public/6599211/36706966.html" \t "https://www.shucheng.gov.cn/public/column/_blank" </w:instrTex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shd w:val="clear" w:color="auto" w:fill="FFFFFF"/>
          <w:lang w:val="en-US" w:eastAsia="zh-CN" w:bidi="ar-SA"/>
        </w:rPr>
        <w:fldChar w:fldCharType="separate"/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shd w:val="clear" w:color="auto" w:fill="FFFFFF"/>
          <w:lang w:val="en-US" w:eastAsia="zh-CN" w:bidi="ar-SA"/>
        </w:rPr>
        <w:t>信息依申请公开办理规程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shd w:val="clear" w:color="auto" w:fill="FFFFFF"/>
          <w:lang w:val="en-US" w:eastAsia="zh-CN" w:bidi="ar-SA"/>
        </w:rPr>
        <w:fldChar w:fldCharType="end"/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shd w:val="clear" w:color="auto" w:fill="FFFFFF"/>
          <w:lang w:val="en-US" w:eastAsia="zh-CN" w:bidi="ar-SA"/>
        </w:rPr>
        <w:t>》《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shd w:val="clear" w:color="auto" w:fill="FFFFFF"/>
          <w:lang w:val="en-US" w:eastAsia="zh-CN" w:bidi="ar-SA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shd w:val="clear" w:color="auto" w:fill="FFFFFF"/>
          <w:lang w:val="en-US" w:eastAsia="zh-CN" w:bidi="ar-SA"/>
        </w:rPr>
        <w:instrText xml:space="preserve"> HYPERLINK "https://www.shucheng.gov.cn/public/6599211/36012734.html" \t "https://www.shucheng.gov.cn/public/column/_blank" </w:instrTex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shd w:val="clear" w:color="auto" w:fill="FFFFFF"/>
          <w:lang w:val="en-US" w:eastAsia="zh-CN" w:bidi="ar-SA"/>
        </w:rPr>
        <w:fldChar w:fldCharType="separate"/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shd w:val="clear" w:color="auto" w:fill="FFFFFF"/>
          <w:lang w:val="en-US" w:eastAsia="zh-CN" w:bidi="ar-SA"/>
        </w:rPr>
        <w:t>政府信息依申请公开制度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shd w:val="clear" w:color="auto" w:fill="FFFFFF"/>
          <w:lang w:val="en-US" w:eastAsia="zh-CN" w:bidi="ar-SA"/>
        </w:rPr>
        <w:fldChar w:fldCharType="end"/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shd w:val="clear" w:color="auto" w:fill="FFFFFF"/>
          <w:lang w:val="en-US" w:eastAsia="zh-CN" w:bidi="ar-SA"/>
        </w:rPr>
        <w:t>》，完善依申请公开办理机制；积极参与市县依申请公开培训，了解并掌握依申请公开办理规范流程及法律依据，进一步完善政府信息公开指南依申请公开内容。2023年度，未收到网上信息公开申请。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3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 w:val="0"/>
          <w:color w:val="auto"/>
          <w:kern w:val="0"/>
          <w:sz w:val="32"/>
          <w:szCs w:val="32"/>
          <w:highlight w:val="none"/>
          <w:shd w:val="clear" w:color="auto" w:fill="FFFFFF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 w:val="0"/>
          <w:color w:val="auto"/>
          <w:kern w:val="0"/>
          <w:sz w:val="32"/>
          <w:szCs w:val="32"/>
          <w:highlight w:val="none"/>
          <w:shd w:val="clear" w:color="auto" w:fill="FFFFFF"/>
          <w:lang w:val="en-US" w:eastAsia="zh-CN" w:bidi="ar-SA"/>
        </w:rPr>
        <w:t>（三）政府信息管理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shd w:val="clear" w:color="auto" w:fill="FFFFFF"/>
          <w:lang w:val="en-US" w:eastAsia="zh-CN" w:bidi="ar-SA"/>
        </w:rPr>
        <w:t>一是安排专人定期开展网站错敏词、个人隐私排查工作。</w:t>
      </w:r>
      <w:r>
        <w:rPr>
          <w:rFonts w:hint="default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shd w:val="clear" w:color="auto" w:fill="FFFFFF"/>
          <w:lang w:val="en-US" w:eastAsia="zh-CN" w:bidi="ar-SA"/>
        </w:rPr>
        <w:t>2023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shd w:val="clear" w:color="auto" w:fill="FFFFFF"/>
          <w:lang w:val="en-US" w:eastAsia="zh-CN" w:bidi="ar-SA"/>
        </w:rPr>
        <w:t>年，开展网站信息排查4次，未出现个人隐私泄露情况。二是根据规范性文件格式最新要求，对已发布的文件格式全面检查修改，重新梳理现行规范性文件目录，对清理情况进行公开。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3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 w:val="0"/>
          <w:color w:val="auto"/>
          <w:kern w:val="0"/>
          <w:sz w:val="32"/>
          <w:szCs w:val="32"/>
          <w:highlight w:val="none"/>
          <w:shd w:val="clear" w:color="auto" w:fill="FFFFFF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 w:val="0"/>
          <w:color w:val="auto"/>
          <w:kern w:val="0"/>
          <w:sz w:val="32"/>
          <w:szCs w:val="32"/>
          <w:highlight w:val="none"/>
          <w:shd w:val="clear" w:color="auto" w:fill="FFFFFF"/>
          <w:lang w:val="en-US" w:eastAsia="zh-CN" w:bidi="ar-SA"/>
        </w:rPr>
        <w:t>（四）政府信息公开平台建设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shd w:val="clear" w:color="auto" w:fill="FFFFFF"/>
          <w:lang w:val="en-US" w:eastAsia="zh-CN" w:bidi="ar-SA"/>
        </w:rPr>
        <w:t>依托舒城县人民政府门户网站公共资源交易栏目、舒城县公共资源交易中心栏目以及六安市公共资源交易平台，从工程建设、政府采购、产权交易、国土出让等模块，再到计划发布、项目注册、中标通知书、合同签订等流程体现舒城县城市建设发展面貌，同时及时更新部门工作动态、公开信息，进一步完善便民服务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3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 w:val="0"/>
          <w:color w:val="auto"/>
          <w:kern w:val="0"/>
          <w:sz w:val="32"/>
          <w:szCs w:val="32"/>
          <w:highlight w:val="none"/>
          <w:shd w:val="clear" w:color="auto" w:fill="FFFFFF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 w:val="0"/>
          <w:color w:val="auto"/>
          <w:kern w:val="0"/>
          <w:sz w:val="32"/>
          <w:szCs w:val="32"/>
          <w:highlight w:val="none"/>
          <w:shd w:val="clear" w:color="auto" w:fill="FFFFFF"/>
          <w:lang w:val="en-US" w:eastAsia="zh-CN" w:bidi="ar-SA"/>
        </w:rPr>
        <w:t>（五）监督保障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shd w:val="clear" w:color="auto" w:fill="FFFFFF"/>
          <w:lang w:val="en-US" w:eastAsia="zh-CN" w:bidi="ar-SA"/>
        </w:rPr>
        <w:t>进一步完善政务公开工作内部管理制度，完善政务信息审核发布流程、保密审查工作规范，实行信息分级审核，业务股室、分管领导层层把关。对外，及时对照县政务公开办季度测评及日常检查反馈问题作相应整改，并发布整改报告，对内，及时自查政务公开工作、信息公开过程是否按照政务公开要求进行，是否有错敏词、隐私信息泄露等问题，并对发现的问题提出纠正意见，并定期将政务公开工作向主要领导作汇报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shd w:val="clear" w:color="auto" w:fill="FFFFFF"/>
          <w:lang w:val="en-US" w:eastAsia="zh-CN" w:bidi="ar-SA"/>
        </w:rPr>
      </w:pPr>
    </w:p>
    <w:p>
      <w:pPr>
        <w:widowControl/>
        <w:shd w:val="clear" w:color="auto" w:fill="FFFFFF"/>
        <w:ind w:firstLine="480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二、主动公开政府信息情况</w:t>
      </w:r>
    </w:p>
    <w:tbl>
      <w:tblPr>
        <w:tblStyle w:val="3"/>
        <w:tblW w:w="974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</w:tr>
    </w:tbl>
    <w:p>
      <w:pPr>
        <w:widowControl/>
        <w:jc w:val="left"/>
        <w:rPr>
          <w:rFonts w:ascii="仿宋_GB2312" w:hAnsi="Times New Roman" w:eastAsia="仿宋_GB2312" w:cs="Times New Roman"/>
          <w:color w:val="auto"/>
          <w:sz w:val="32"/>
          <w:szCs w:val="32"/>
          <w:highlight w:val="none"/>
        </w:rPr>
      </w:pPr>
    </w:p>
    <w:p>
      <w:pPr>
        <w:widowControl/>
        <w:shd w:val="clear" w:color="auto" w:fill="FFFFFF"/>
        <w:ind w:firstLine="480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三、收到和处理政府信息公开申请情况</w:t>
      </w:r>
    </w:p>
    <w:p>
      <w:pPr>
        <w:widowControl/>
        <w:shd w:val="clear" w:color="auto" w:fill="FFFFFF"/>
        <w:spacing w:before="0" w:beforeAutospacing="0" w:after="0" w:afterAutospacing="0"/>
        <w:ind w:firstLine="420"/>
        <w:jc w:val="both"/>
        <w:rPr>
          <w:rFonts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 w:bidi="ar-SA"/>
        </w:rPr>
      </w:pPr>
    </w:p>
    <w:tbl>
      <w:tblPr>
        <w:tblStyle w:val="3"/>
        <w:tblW w:w="9745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7"/>
        <w:gridCol w:w="943"/>
        <w:gridCol w:w="3219"/>
        <w:gridCol w:w="688"/>
        <w:gridCol w:w="688"/>
        <w:gridCol w:w="688"/>
        <w:gridCol w:w="688"/>
        <w:gridCol w:w="688"/>
        <w:gridCol w:w="688"/>
        <w:gridCol w:w="68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ascii="楷体" w:hAnsi="楷体" w:eastAsia="楷体" w:cs="楷体"/>
                <w:color w:val="auto"/>
                <w:kern w:val="0"/>
                <w:sz w:val="20"/>
                <w:szCs w:val="20"/>
                <w:highlight w:val="none"/>
              </w:rPr>
              <w:t>（本列数据的勾稽关系为：第一项加第二项之和，等于第三项加第四项之和）</w:t>
            </w:r>
          </w:p>
        </w:tc>
        <w:tc>
          <w:tcPr>
            <w:tcW w:w="4816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法人或其他组织</w:t>
            </w:r>
          </w:p>
        </w:tc>
        <w:tc>
          <w:tcPr>
            <w:tcW w:w="688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商业</w:t>
            </w:r>
          </w:p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科研</w:t>
            </w:r>
          </w:p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其他</w:t>
            </w:r>
          </w:p>
        </w:tc>
        <w:tc>
          <w:tcPr>
            <w:tcW w:w="688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三、本年度办理结果</w:t>
            </w:r>
          </w:p>
        </w:tc>
        <w:tc>
          <w:tcPr>
            <w:tcW w:w="41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1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（二）部分公开</w:t>
            </w: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highlight w:val="none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（三）不予公开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（四）无法提供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（五）不予处理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ascii="仿宋_GB2312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（六）其他处理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ascii="仿宋_GB2312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ascii="仿宋_GB2312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1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jc w:val="center"/>
        <w:rPr>
          <w:rFonts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widowControl/>
        <w:shd w:val="clear" w:color="auto" w:fill="FFFFFF"/>
        <w:ind w:firstLine="480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四、政府信息公开行政复议、行政诉讼情况</w:t>
      </w:r>
    </w:p>
    <w:p>
      <w:pPr>
        <w:widowControl/>
        <w:shd w:val="clear" w:color="auto" w:fill="FFFFFF"/>
        <w:jc w:val="center"/>
        <w:rPr>
          <w:rFonts w:ascii="宋体" w:hAnsi="宋体" w:eastAsia="宋体" w:cs="宋体"/>
          <w:color w:val="auto"/>
          <w:sz w:val="24"/>
          <w:szCs w:val="24"/>
          <w:highlight w:val="none"/>
        </w:rPr>
      </w:pPr>
    </w:p>
    <w:tbl>
      <w:tblPr>
        <w:tblStyle w:val="3"/>
        <w:tblW w:w="9743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行政复议</w:t>
            </w:r>
          </w:p>
        </w:tc>
        <w:tc>
          <w:tcPr>
            <w:tcW w:w="649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结果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其他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尚未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未经复议直接起诉</w:t>
            </w:r>
          </w:p>
        </w:tc>
        <w:tc>
          <w:tcPr>
            <w:tcW w:w="325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结果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结果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其他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尚未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总计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结果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维持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结果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其他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尚未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ind w:firstLine="480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highlight w:val="none"/>
        </w:rPr>
      </w:pPr>
    </w:p>
    <w:p>
      <w:pPr>
        <w:widowControl/>
        <w:shd w:val="clear" w:color="auto" w:fill="FFFFFF"/>
        <w:ind w:firstLine="480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五、存在的主要问题及改进情况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0" w:firstLineChars="200"/>
        <w:jc w:val="both"/>
        <w:textAlignment w:val="auto"/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针对2022年度政务公开工作存在问题，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</w:rPr>
        <w:t>一是严格执行《条例》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规定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</w:rPr>
        <w:t>，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全面及时地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</w:rPr>
        <w:t>公开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我县公共资源交易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</w:rPr>
        <w:t>相关信息，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持续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</w:rPr>
        <w:t>做好平台维护建设。二是丰富政策解读形式。摒弃以往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单一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</w:rPr>
        <w:t>文字解读方式，灵活运用图片、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新闻发布会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</w:rPr>
        <w:t>等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方式解读有关文件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shd w:val="clear" w:color="auto" w:fill="FFFFFF"/>
          <w:lang w:val="en-US" w:eastAsia="zh-CN" w:bidi="ar-SA"/>
        </w:rPr>
        <w:t>我中心2023年度政务公开工作在去年的基础上稳中有进，但仍存在一定不足，比如门户网站等平台经排查，存在错敏词等现象，个别栏目更新不够及时等，日常维护待加强。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shd w:val="clear" w:color="auto" w:fill="FFFFFF"/>
          <w:lang w:val="en-US" w:eastAsia="zh-CN" w:bidi="ar-SA"/>
        </w:rPr>
        <w:t>对此，2024年，我中心将进一步加强政务公开工作政策理论学习，严格信息发布审核工作，严禁出现错敏词、隐私泄露、暗链等问题，每月及每季度初期定期更新栏目信息，提高信息公开的质量，保证信息公开的及时性，更好地保障公众对公共资源交易工作的知情权、参与权和监督权。</w:t>
      </w:r>
    </w:p>
    <w:p>
      <w:pPr>
        <w:widowControl/>
        <w:shd w:val="clear" w:color="auto" w:fill="FFFFFF"/>
        <w:ind w:firstLine="480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六、其他需要报告的事项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shd w:val="clear" w:color="auto" w:fill="FFFFFF"/>
          <w:lang w:val="en-US" w:eastAsia="zh-CN" w:bidi="ar-SA"/>
        </w:rPr>
        <w:t>按照《国务院办公厅关于印发〈政府信息公开信息处理费管理办法〉 的通知》（国办函〔2020〕109号）规定的按件、按量收费标准，本年度没有产生信息公开处理费”。</w:t>
      </w:r>
    </w:p>
    <w:p>
      <w:pPr>
        <w:rPr>
          <w:color w:val="auto"/>
          <w:sz w:val="32"/>
          <w:szCs w:val="32"/>
          <w:highlight w:val="none"/>
        </w:rPr>
      </w:pPr>
    </w:p>
    <w:p>
      <w:pPr>
        <w:rPr>
          <w:color w:val="auto"/>
          <w:sz w:val="32"/>
          <w:szCs w:val="32"/>
          <w:highlight w:val="none"/>
        </w:rPr>
      </w:pPr>
    </w:p>
    <w:p>
      <w:pPr>
        <w:rPr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960" w:firstLineChars="300"/>
        <w:jc w:val="right"/>
        <w:textAlignment w:val="auto"/>
        <w:rPr>
          <w:rFonts w:hint="default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shd w:val="clear" w:color="auto" w:fill="FFFFFF"/>
          <w:lang w:val="en-US" w:eastAsia="zh-CN" w:bidi="ar-SA"/>
        </w:rPr>
        <w:t>2024年1月24日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shd w:val="clear" w:color="auto" w:fill="FFFFFF"/>
          <w:lang w:val="en-US" w:eastAsia="zh-CN" w:bidi="ar-SA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NlNzlkYjRjM2U0OTU0YzIxZjdiZTc0NjllMDJiZTEifQ=="/>
  </w:docVars>
  <w:rsids>
    <w:rsidRoot w:val="00000000"/>
    <w:rsid w:val="0093008B"/>
    <w:rsid w:val="01822573"/>
    <w:rsid w:val="05685EDA"/>
    <w:rsid w:val="09061CDB"/>
    <w:rsid w:val="0E256FA8"/>
    <w:rsid w:val="16947A71"/>
    <w:rsid w:val="17163A31"/>
    <w:rsid w:val="1E8F1635"/>
    <w:rsid w:val="22E0637E"/>
    <w:rsid w:val="26056499"/>
    <w:rsid w:val="2B161BD2"/>
    <w:rsid w:val="2F081A5A"/>
    <w:rsid w:val="33704071"/>
    <w:rsid w:val="38194CD8"/>
    <w:rsid w:val="3B722969"/>
    <w:rsid w:val="41A90E7A"/>
    <w:rsid w:val="456450B8"/>
    <w:rsid w:val="4624491D"/>
    <w:rsid w:val="47E17D77"/>
    <w:rsid w:val="4A354E26"/>
    <w:rsid w:val="503C4218"/>
    <w:rsid w:val="52552958"/>
    <w:rsid w:val="526C18FB"/>
    <w:rsid w:val="52EA3518"/>
    <w:rsid w:val="55250A16"/>
    <w:rsid w:val="61744FEB"/>
    <w:rsid w:val="61A134C4"/>
    <w:rsid w:val="64BE2D8D"/>
    <w:rsid w:val="64DA2679"/>
    <w:rsid w:val="654F6C2B"/>
    <w:rsid w:val="66F978FF"/>
    <w:rsid w:val="6C5E57D7"/>
    <w:rsid w:val="6DEA7FA1"/>
    <w:rsid w:val="6EC425A0"/>
    <w:rsid w:val="7A2D1941"/>
    <w:rsid w:val="7AA15E8B"/>
    <w:rsid w:val="7B3508D0"/>
    <w:rsid w:val="7BEB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2494</Words>
  <Characters>2580</Characters>
  <Lines>0</Lines>
  <Paragraphs>0</Paragraphs>
  <TotalTime>14</TotalTime>
  <ScaleCrop>false</ScaleCrop>
  <LinksUpToDate>false</LinksUpToDate>
  <CharactersWithSpaces>2583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舒城县交易中心</cp:lastModifiedBy>
  <dcterms:modified xsi:type="dcterms:W3CDTF">2024-02-21T02:59:50Z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AD6966702E1D42D598713EAA0F66F0AF_13</vt:lpwstr>
  </property>
</Properties>
</file>