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舒城县公共资源交易中心2022年政府</w:t>
      </w:r>
    </w:p>
    <w:p>
      <w:pPr>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信息公开工作年度报告</w:t>
      </w:r>
    </w:p>
    <w:p>
      <w:pPr>
        <w:pStyle w:val="6"/>
        <w:shd w:val="clear" w:color="auto" w:fill="FFFFFF"/>
        <w:spacing w:before="0" w:beforeAutospacing="0" w:after="0" w:afterAutospacing="0" w:line="578" w:lineRule="atLeast"/>
        <w:rPr>
          <w:rFonts w:ascii="仿宋" w:hAnsi="仿宋" w:eastAsia="仿宋" w:cs="Calibri"/>
          <w:sz w:val="32"/>
          <w:szCs w:val="32"/>
          <w:shd w:val="clear" w:color="auto" w:fill="FFFFFF"/>
        </w:rPr>
      </w:pPr>
    </w:p>
    <w:p>
      <w:pPr>
        <w:pStyle w:val="6"/>
        <w:shd w:val="clear" w:color="auto" w:fill="FFFFFF"/>
        <w:spacing w:before="0" w:beforeAutospacing="0" w:after="0" w:afterAutospacing="0" w:line="578" w:lineRule="atLeast"/>
        <w:ind w:firstLine="640"/>
        <w:rPr>
          <w:rFonts w:ascii="仿宋_GB2312" w:hAnsi="Calibri" w:eastAsia="仿宋_GB2312" w:cs="Calibri"/>
          <w:sz w:val="21"/>
          <w:szCs w:val="21"/>
        </w:rPr>
      </w:pPr>
      <w:r>
        <w:rPr>
          <w:rFonts w:hint="eastAsia" w:ascii="仿宋_GB2312" w:hAnsi="仿宋" w:eastAsia="仿宋_GB2312" w:cs="Calibri"/>
          <w:sz w:val="32"/>
          <w:szCs w:val="32"/>
          <w:shd w:val="clear" w:color="auto" w:fill="FFFFFF"/>
        </w:rPr>
        <w:t>舒城县公共资源交易中心2022年政府信息公开工作年度报告（以下简称年报）是依据《中华人民共和国政府信息公开条例》（国务院令第711号，以下简称《条例》）和</w:t>
      </w:r>
      <w:r>
        <w:rPr>
          <w:rFonts w:hint="eastAsia" w:ascii="仿宋_GB2312" w:hAnsi="仿宋" w:eastAsia="仿宋_GB2312" w:cs="仿宋"/>
          <w:sz w:val="32"/>
          <w:szCs w:val="32"/>
          <w:shd w:val="clear" w:color="auto" w:fill="FFFFFF"/>
        </w:rPr>
        <w:t>《舒城县人民政府办公室关于做好2022年度政府信息公开工作年度报告编制和发布工作的通知》（舒政办明电〔2023〕1号）</w:t>
      </w:r>
      <w:r>
        <w:rPr>
          <w:rFonts w:hint="eastAsia" w:ascii="仿宋_GB2312" w:hAnsi="仿宋" w:eastAsia="仿宋_GB2312" w:cs="Calibri"/>
          <w:sz w:val="32"/>
          <w:szCs w:val="32"/>
          <w:shd w:val="clear" w:color="auto" w:fill="FFFFFF"/>
        </w:rPr>
        <w:t>规定编制。本年报中所列数据的统计期限从2022年1月1日起至2022年12月31日止。</w:t>
      </w:r>
      <w:r>
        <w:rPr>
          <w:rFonts w:hint="eastAsia" w:ascii="仿宋_GB2312" w:hAnsi="仿宋" w:eastAsia="仿宋_GB2312" w:cs="仿宋"/>
          <w:sz w:val="32"/>
          <w:szCs w:val="32"/>
          <w:shd w:val="clear" w:color="auto" w:fill="FFFFFF"/>
        </w:rPr>
        <w:t>如对本报告有任何疑问，请与舒城县公共资源交易中心办公室联系（地址：舒城县经济开发区纬一路中段，电话：0564-8626451，邮编：231300）。</w:t>
      </w:r>
    </w:p>
    <w:p>
      <w:pPr>
        <w:pStyle w:val="6"/>
        <w:shd w:val="clear" w:color="auto" w:fill="FFFFFF"/>
        <w:spacing w:before="0" w:beforeAutospacing="0" w:after="0" w:afterAutospacing="0" w:line="578" w:lineRule="atLeast"/>
        <w:ind w:firstLine="640"/>
        <w:jc w:val="both"/>
        <w:rPr>
          <w:rFonts w:ascii="黑体" w:hAnsi="Calibri" w:eastAsia="黑体" w:cs="Calibri"/>
          <w:sz w:val="21"/>
          <w:szCs w:val="21"/>
        </w:rPr>
      </w:pPr>
      <w:r>
        <w:rPr>
          <w:rFonts w:hint="eastAsia" w:ascii="黑体" w:hAnsi="Calibri" w:eastAsia="黑体" w:cs="Calibri"/>
          <w:sz w:val="32"/>
          <w:szCs w:val="32"/>
        </w:rPr>
        <w:t>一、总体情况</w:t>
      </w:r>
    </w:p>
    <w:p>
      <w:pPr>
        <w:pStyle w:val="6"/>
        <w:shd w:val="clear" w:color="auto" w:fill="FFFFFF"/>
        <w:spacing w:before="0" w:beforeAutospacing="0" w:after="0" w:afterAutospacing="0" w:line="578" w:lineRule="atLeast"/>
        <w:ind w:firstLine="640"/>
        <w:jc w:val="both"/>
        <w:rPr>
          <w:rFonts w:ascii="仿宋_GB2312" w:hAnsi="Calibri" w:eastAsia="仿宋_GB2312" w:cs="Calibri"/>
          <w:sz w:val="21"/>
          <w:szCs w:val="21"/>
        </w:rPr>
      </w:pPr>
      <w:r>
        <w:rPr>
          <w:rFonts w:hint="eastAsia" w:ascii="仿宋_GB2312" w:hAnsi="仿宋" w:eastAsia="仿宋_GB2312" w:cs="Calibri"/>
          <w:sz w:val="32"/>
          <w:szCs w:val="32"/>
          <w:shd w:val="clear" w:color="auto" w:fill="FFFFFF"/>
        </w:rPr>
        <w:t>2022年，我中心认真贯彻落实《条例》及省、市、县关于政务公开工作的安排部署，准确把握政务公开工作的职责定位和面临的形势要求，充分发挥政府信息对人民群众生产、生活和经济社会活动的服务作用，坚持及时、准确、规范公开政府信息，切实保障企业、群众依法获取政府信息。</w:t>
      </w:r>
    </w:p>
    <w:p>
      <w:pPr>
        <w:pStyle w:val="6"/>
        <w:shd w:val="clear" w:color="auto" w:fill="FFFFFF"/>
        <w:spacing w:beforeAutospacing="0" w:afterAutospacing="0"/>
        <w:ind w:firstLine="640" w:firstLineChars="200"/>
        <w:jc w:val="both"/>
        <w:rPr>
          <w:rFonts w:ascii="仿宋_GB2312" w:hAnsi="微软雅黑" w:eastAsia="仿宋_GB2312" w:cs="微软雅黑"/>
          <w:sz w:val="19"/>
          <w:szCs w:val="19"/>
        </w:rPr>
      </w:pPr>
      <w:r>
        <w:rPr>
          <w:rFonts w:hint="eastAsia" w:ascii="仿宋_GB2312" w:hAnsi="楷体" w:eastAsia="仿宋_GB2312" w:cs="Calibri"/>
          <w:sz w:val="32"/>
          <w:szCs w:val="32"/>
          <w:shd w:val="clear" w:color="auto" w:fill="FFFFFF"/>
        </w:rPr>
        <w:t>（一）主动公开情况。</w:t>
      </w:r>
      <w:r>
        <w:rPr>
          <w:rFonts w:hint="eastAsia" w:ascii="仿宋_GB2312" w:hAnsi="仿宋" w:eastAsia="仿宋_GB2312" w:cs="Calibri"/>
          <w:sz w:val="32"/>
          <w:szCs w:val="32"/>
          <w:shd w:val="clear" w:color="auto" w:fill="FFFFFF"/>
        </w:rPr>
        <w:t>通过政府门户网站、本单位政府网站、</w:t>
      </w:r>
      <w:r>
        <w:rPr>
          <w:rFonts w:hint="eastAsia" w:ascii="仿宋_GB2312" w:eastAsia="仿宋_GB2312" w:cs="Calibri"/>
          <w:sz w:val="32"/>
          <w:szCs w:val="32"/>
          <w:shd w:val="clear" w:color="auto" w:fill="FFFFFF"/>
        </w:rPr>
        <w:t>六安市公共资源交易中心网站</w:t>
      </w:r>
      <w:r>
        <w:rPr>
          <w:rFonts w:hint="eastAsia" w:ascii="仿宋_GB2312" w:hAnsi="仿宋" w:eastAsia="仿宋_GB2312" w:cs="Calibri"/>
          <w:sz w:val="32"/>
          <w:szCs w:val="32"/>
          <w:shd w:val="clear" w:color="auto" w:fill="FFFFFF"/>
        </w:rPr>
        <w:t>等主动进行信息公开。2022年通过政府门户网站和政务新媒体等平台发布信息共840余条，对我县公共资源交易工作起到了较好的宣传作用。</w:t>
      </w:r>
      <w:r>
        <w:rPr>
          <w:rFonts w:hint="eastAsia" w:ascii="仿宋_GB2312" w:hAnsi="仿宋" w:eastAsia="仿宋_GB2312" w:cs="仿宋"/>
          <w:sz w:val="32"/>
          <w:szCs w:val="32"/>
          <w:shd w:val="clear" w:color="auto" w:fill="FFFFFF"/>
          <w:lang w:bidi="ar"/>
        </w:rPr>
        <w:t>我中心严格按照相关规定落实规范性文件立改废及格式统一规范工作，2022年度无新制定行政规范性文件。</w:t>
      </w:r>
    </w:p>
    <w:p>
      <w:pPr>
        <w:pStyle w:val="6"/>
        <w:shd w:val="clear" w:color="auto" w:fill="FFFFFF"/>
        <w:spacing w:before="0" w:beforeAutospacing="0" w:after="0" w:afterAutospacing="0" w:line="578" w:lineRule="atLeast"/>
        <w:ind w:firstLine="640"/>
        <w:rPr>
          <w:rFonts w:ascii="仿宋_GB2312" w:hAnsi="Calibri" w:eastAsia="仿宋_GB2312" w:cs="Calibri"/>
          <w:sz w:val="21"/>
          <w:szCs w:val="21"/>
        </w:rPr>
      </w:pPr>
      <w:r>
        <w:rPr>
          <w:rFonts w:hint="eastAsia" w:ascii="仿宋_GB2312" w:hAnsi="楷体" w:eastAsia="仿宋_GB2312" w:cs="Calibri"/>
          <w:sz w:val="32"/>
          <w:szCs w:val="32"/>
          <w:shd w:val="clear" w:color="auto" w:fill="FFFFFF"/>
        </w:rPr>
        <w:t>（二）依申请公开情况。</w:t>
      </w:r>
      <w:r>
        <w:rPr>
          <w:rFonts w:hint="eastAsia" w:ascii="仿宋_GB2312" w:hAnsi="仿宋" w:eastAsia="仿宋_GB2312" w:cs="Calibri"/>
          <w:sz w:val="32"/>
          <w:szCs w:val="32"/>
          <w:shd w:val="clear" w:color="auto" w:fill="FFFFFF"/>
        </w:rPr>
        <w:t>我中心高度重视依申请公开工作，坚持专人专办、领导督办、集体会商、风险排查，严格依法依规办理。及时更新发布依申请公开指南，切实保障群众的知情权与监督权。2022年度未收到政府信息公开申请。</w:t>
      </w:r>
    </w:p>
    <w:p>
      <w:pPr>
        <w:pStyle w:val="6"/>
        <w:shd w:val="clear" w:color="auto" w:fill="FFFFFF"/>
        <w:spacing w:beforeAutospacing="0" w:afterAutospacing="0"/>
        <w:ind w:firstLine="640" w:firstLineChars="200"/>
        <w:jc w:val="both"/>
        <w:rPr>
          <w:rFonts w:ascii="仿宋_GB2312" w:hAnsi="微软雅黑" w:eastAsia="仿宋_GB2312" w:cs="微软雅黑"/>
          <w:sz w:val="19"/>
          <w:szCs w:val="19"/>
        </w:rPr>
      </w:pPr>
      <w:r>
        <w:rPr>
          <w:rFonts w:hint="eastAsia" w:ascii="仿宋_GB2312" w:hAnsi="楷体" w:eastAsia="仿宋_GB2312" w:cs="Calibri"/>
          <w:sz w:val="32"/>
          <w:szCs w:val="32"/>
          <w:shd w:val="clear" w:color="auto" w:fill="FFFFFF"/>
        </w:rPr>
        <w:t>（三）政府信息管理情况。</w:t>
      </w:r>
      <w:r>
        <w:rPr>
          <w:rFonts w:hint="eastAsia" w:ascii="仿宋_GB2312" w:hAnsi="仿宋" w:eastAsia="仿宋_GB2312" w:cs="Calibri"/>
          <w:sz w:val="32"/>
          <w:szCs w:val="32"/>
          <w:shd w:val="clear" w:color="auto" w:fill="FFFFFF"/>
        </w:rPr>
        <w:t>贯彻落实信息公开相关政策，严格落实信息发布“三审”制度，积极抓好错敏信息整改。及时公开年度预算决算、制度文件、计划规划以及招投标领域等重点信息；不断优化完善招投标领域营商环境，及时公开优化营商政策文件和相关信息；扎实推动“互联网+政务服务”，不断提升企业群众的获得感幸福感。</w:t>
      </w:r>
    </w:p>
    <w:p>
      <w:pPr>
        <w:pStyle w:val="6"/>
        <w:shd w:val="clear" w:color="auto" w:fill="FFFFFF"/>
        <w:spacing w:before="0" w:beforeAutospacing="0" w:after="0" w:afterAutospacing="0" w:line="578" w:lineRule="atLeast"/>
        <w:ind w:firstLine="640"/>
        <w:jc w:val="both"/>
        <w:rPr>
          <w:rFonts w:ascii="仿宋_GB2312" w:hAnsi="Calibri" w:eastAsia="仿宋_GB2312" w:cs="Calibri"/>
          <w:sz w:val="21"/>
          <w:szCs w:val="21"/>
        </w:rPr>
      </w:pPr>
      <w:r>
        <w:rPr>
          <w:rFonts w:hint="eastAsia" w:ascii="仿宋_GB2312" w:hAnsi="楷体" w:eastAsia="仿宋_GB2312" w:cs="Calibri"/>
          <w:sz w:val="32"/>
          <w:szCs w:val="32"/>
          <w:shd w:val="clear" w:color="auto" w:fill="FFFFFF"/>
        </w:rPr>
        <w:t>（四）政府信息公开平台建设情况。</w:t>
      </w:r>
      <w:r>
        <w:rPr>
          <w:rFonts w:hint="eastAsia" w:ascii="仿宋_GB2312" w:hAnsi="仿宋" w:eastAsia="仿宋_GB2312" w:cs="Calibri"/>
          <w:sz w:val="32"/>
          <w:szCs w:val="32"/>
          <w:shd w:val="clear" w:color="auto" w:fill="FFFFFF"/>
        </w:rPr>
        <w:t>不断提升政府网站和新媒体建设标准，持续规范优化栏目设计与内容发布，及时发现和整改错敏信息。按要求做好网站、新媒体备案注销工作，2022年注销了影响力较小、关注人数较少的微信公众号。</w:t>
      </w:r>
    </w:p>
    <w:p>
      <w:pPr>
        <w:pStyle w:val="6"/>
        <w:shd w:val="clear" w:color="auto" w:fill="FFFFFF"/>
        <w:spacing w:before="0" w:beforeAutospacing="0" w:after="0" w:afterAutospacing="0" w:line="578" w:lineRule="atLeast"/>
        <w:ind w:firstLine="640"/>
        <w:jc w:val="both"/>
        <w:rPr>
          <w:rFonts w:ascii="仿宋_GB2312" w:hAnsi="仿宋" w:eastAsia="仿宋_GB2312" w:cs="Calibri"/>
          <w:sz w:val="32"/>
          <w:szCs w:val="32"/>
          <w:shd w:val="clear" w:color="auto" w:fill="FFFFFF"/>
        </w:rPr>
      </w:pPr>
      <w:r>
        <w:rPr>
          <w:rFonts w:hint="eastAsia" w:ascii="仿宋_GB2312" w:hAnsi="楷体" w:eastAsia="仿宋_GB2312" w:cs="Calibri"/>
          <w:sz w:val="32"/>
          <w:szCs w:val="32"/>
          <w:shd w:val="clear" w:color="auto" w:fill="FFFFFF"/>
        </w:rPr>
        <w:t>（五）监督保障情况。一是</w:t>
      </w:r>
      <w:r>
        <w:rPr>
          <w:rFonts w:hint="eastAsia" w:ascii="仿宋_GB2312" w:hAnsi="仿宋" w:eastAsia="仿宋_GB2312" w:cs="Calibri"/>
          <w:sz w:val="32"/>
          <w:szCs w:val="32"/>
          <w:shd w:val="clear" w:color="auto" w:fill="FFFFFF"/>
        </w:rPr>
        <w:t>进一步完善政务公开领导体制和《舒城县公共资源交易中心信息公开社会评议制度》《舒城县公共资源交易中心信息公开工作责任追究制度》等工作机制，不断加强政务公开机构建设、专职人员配备。二是定期组织人员学习《条例》等与政务公开工作相关的法律法规，按要求参加各级组织的政务公开工作培训。三是认真落实整改。结合第三方机构月度测评反馈结果和市县季度测评情况通报，客观分析我中心政务公开的短板弱项，与责任股室高频对接落实整改任务。月对照、季查摆，发现差距问题及时整改落实，形成各项整改报告和工作总结并上网公示。</w:t>
      </w:r>
    </w:p>
    <w:p>
      <w:pPr>
        <w:widowControl/>
        <w:shd w:val="clear" w:color="auto" w:fill="FFFFFF"/>
        <w:ind w:firstLine="420"/>
        <w:rPr>
          <w:rFonts w:ascii="黑体" w:hAnsi="黑体" w:eastAsia="黑体" w:cs="宋体"/>
          <w:bCs/>
          <w:kern w:val="0"/>
          <w:sz w:val="32"/>
          <w:szCs w:val="32"/>
          <w:shd w:val="clear" w:color="auto" w:fill="FFFFFF"/>
        </w:rPr>
      </w:pPr>
      <w:r>
        <w:rPr>
          <w:rFonts w:hint="eastAsia" w:ascii="黑体" w:hAnsi="黑体" w:eastAsia="黑体" w:cs="宋体"/>
          <w:bCs/>
          <w:kern w:val="0"/>
          <w:sz w:val="32"/>
          <w:szCs w:val="32"/>
          <w:shd w:val="clear" w:color="auto" w:fill="FFFFFF"/>
        </w:rPr>
        <w:t>二、主动公开政府信息情况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ascii="Calibri" w:hAnsi="Calibri" w:eastAsia="宋体" w:cs="Times New Roman"/>
                <w:szCs w:val="24"/>
              </w:rPr>
            </w:pPr>
            <w:r>
              <w:rPr>
                <w:rFonts w:hint="eastAsia" w:ascii="Calibri" w:hAnsi="Calibri" w:eastAsia="宋体" w:cs="Times New Roman"/>
                <w:szCs w:val="24"/>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ascii="宋体" w:hAnsi="Calibri" w:eastAsia="宋体" w:cs="Times New Roman"/>
                <w:sz w:val="24"/>
                <w:szCs w:val="24"/>
              </w:rPr>
            </w:pPr>
            <w:r>
              <w:rPr>
                <w:rFonts w:hint="eastAsia" w:ascii="宋体" w:hAnsi="Calibri" w:eastAsia="宋体" w:cs="Times New Roman"/>
                <w:sz w:val="24"/>
                <w:szCs w:val="24"/>
              </w:rPr>
              <w:t>0</w:t>
            </w:r>
          </w:p>
        </w:tc>
      </w:tr>
    </w:tbl>
    <w:p>
      <w:pPr>
        <w:widowControl/>
        <w:jc w:val="left"/>
        <w:rPr>
          <w:rFonts w:ascii="Calibri" w:hAnsi="Calibri" w:eastAsia="宋体" w:cs="Times New Roman"/>
          <w:szCs w:val="24"/>
        </w:rPr>
      </w:pPr>
    </w:p>
    <w:p>
      <w:pPr>
        <w:widowControl/>
        <w:shd w:val="clear" w:color="auto" w:fill="FFFFFF"/>
        <w:ind w:firstLine="420"/>
        <w:rPr>
          <w:rFonts w:ascii="黑体" w:hAnsi="黑体" w:eastAsia="黑体" w:cs="宋体"/>
          <w:bCs/>
          <w:kern w:val="0"/>
          <w:sz w:val="32"/>
          <w:szCs w:val="32"/>
          <w:shd w:val="clear" w:color="auto" w:fill="FFFFFF"/>
        </w:rPr>
      </w:pPr>
      <w:r>
        <w:rPr>
          <w:rFonts w:hint="eastAsia" w:ascii="黑体" w:hAnsi="黑体" w:eastAsia="黑体" w:cs="宋体"/>
          <w:bCs/>
          <w:kern w:val="0"/>
          <w:sz w:val="32"/>
          <w:szCs w:val="32"/>
          <w:shd w:val="clear" w:color="auto" w:fill="FFFFFF"/>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rPr>
                <w:rFonts w:ascii="Calibri" w:hAnsi="Calibri" w:eastAsia="宋体" w:cs="Times New Roman"/>
                <w:szCs w:val="24"/>
              </w:rPr>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hAnsi="Calibri" w:eastAsia="宋体" w:cs="Times New Roman"/>
                <w:sz w:val="24"/>
                <w:szCs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hAnsi="Calibri" w:eastAsia="宋体" w:cs="Times New Roman"/>
                <w:sz w:val="24"/>
                <w:szCs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商业</w:t>
            </w:r>
          </w:p>
          <w:p>
            <w:pPr>
              <w:widowControl/>
              <w:wordWrap w:val="0"/>
              <w:jc w:val="center"/>
              <w:rPr>
                <w:rFonts w:ascii="Calibri" w:hAnsi="Calibri" w:eastAsia="宋体" w:cs="Times New Roman"/>
                <w:szCs w:val="24"/>
              </w:rP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科研</w:t>
            </w:r>
          </w:p>
          <w:p>
            <w:pPr>
              <w:widowControl/>
              <w:wordWrap w:val="0"/>
              <w:jc w:val="center"/>
              <w:rPr>
                <w:rFonts w:ascii="Calibri" w:hAnsi="Calibri" w:eastAsia="宋体" w:cs="Times New Roman"/>
                <w:szCs w:val="24"/>
              </w:rP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hAnsi="Calibri" w:eastAsia="宋体"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ascii="Calibri" w:hAnsi="Calibri" w:eastAsia="宋体" w:cs="Times New Roman"/>
                <w:szCs w:val="24"/>
              </w:rPr>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rPr>
                <w:rFonts w:ascii="Calibri" w:hAnsi="Calibri" w:eastAsia="宋体" w:cs="Times New Roman"/>
                <w:szCs w:val="24"/>
              </w:rPr>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rPr>
                <w:rFonts w:ascii="Calibri" w:hAnsi="Calibri" w:eastAsia="宋体" w:cs="Times New Roman"/>
                <w:szCs w:val="24"/>
              </w:rPr>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rPr>
                <w:rFonts w:ascii="Calibri" w:hAnsi="Calibri" w:eastAsia="宋体" w:cs="Times New Roman"/>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hAnsi="Calibri" w:eastAsia="宋体" w:cs="Times New Roman"/>
                <w:sz w:val="24"/>
                <w:szCs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rFonts w:ascii="Calibri" w:hAnsi="Calibri" w:eastAsia="宋体" w:cs="Times New Roman"/>
                <w:szCs w:val="24"/>
              </w:rPr>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pPr>
            <w:r>
              <w:rPr>
                <w:rFonts w:hint="eastAsia" w:ascii="Calibri" w:hAnsi="Calibri" w:eastAsia="宋体" w:cs="Times New Roman"/>
                <w:szCs w:val="24"/>
              </w:rPr>
              <w:t>0</w:t>
            </w:r>
          </w:p>
        </w:tc>
      </w:tr>
    </w:tbl>
    <w:p>
      <w:pPr>
        <w:widowControl/>
        <w:shd w:val="clear" w:color="auto" w:fill="FFFFFF"/>
        <w:rPr>
          <w:rFonts w:ascii="宋体" w:hAnsi="宋体" w:eastAsia="宋体" w:cs="宋体"/>
          <w:sz w:val="16"/>
          <w:szCs w:val="16"/>
        </w:rPr>
      </w:pPr>
    </w:p>
    <w:p>
      <w:pPr>
        <w:widowControl/>
        <w:shd w:val="clear" w:color="auto" w:fill="FFFFFF"/>
        <w:ind w:firstLine="420"/>
        <w:rPr>
          <w:rFonts w:ascii="黑体" w:hAnsi="黑体" w:eastAsia="黑体" w:cs="宋体"/>
          <w:bCs/>
          <w:kern w:val="0"/>
          <w:sz w:val="32"/>
          <w:szCs w:val="32"/>
          <w:shd w:val="clear" w:color="auto" w:fill="FFFFFF"/>
        </w:rPr>
      </w:pPr>
      <w:r>
        <w:rPr>
          <w:rFonts w:hint="eastAsia" w:ascii="黑体" w:hAnsi="黑体" w:eastAsia="黑体" w:cs="宋体"/>
          <w:bCs/>
          <w:kern w:val="0"/>
          <w:sz w:val="32"/>
          <w:szCs w:val="32"/>
          <w:shd w:val="clear" w:color="auto" w:fill="FFFFFF"/>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hAnsi="Calibri" w:eastAsia="宋体" w:cs="Times New Roman"/>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hAnsi="Calibri" w:eastAsia="宋体" w:cs="Times New Roman"/>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hAnsi="Calibri" w:eastAsia="宋体" w:cs="Times New Roman"/>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hAnsi="Calibri" w:eastAsia="宋体" w:cs="Times New Roman"/>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hAnsi="Calibri" w:eastAsia="宋体" w:cs="Times New Roman"/>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Calibri" w:hAnsi="Calibri" w:eastAsia="宋体" w:cs="Times New Roman"/>
                <w:szCs w:val="24"/>
              </w:rPr>
            </w:pPr>
            <w:r>
              <w:rPr>
                <w:rFonts w:hint="eastAsia" w:ascii="Calibri" w:hAnsi="Calibri" w:eastAsia="宋体" w:cs="Times New Roman"/>
                <w:szCs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Calibri" w:hAnsi="Calibri" w:eastAsia="宋体" w:cs="Times New Roman"/>
                <w:szCs w:val="24"/>
              </w:rPr>
            </w:pPr>
            <w:r>
              <w:rPr>
                <w:rFonts w:hint="eastAsia" w:ascii="Calibri" w:hAnsi="Calibri" w:eastAsia="宋体" w:cs="Times New Roman"/>
                <w:szCs w:val="24"/>
              </w:rPr>
              <w:t>0</w:t>
            </w:r>
          </w:p>
        </w:tc>
      </w:tr>
    </w:tbl>
    <w:p/>
    <w:p>
      <w:pPr>
        <w:pStyle w:val="6"/>
        <w:shd w:val="clear" w:color="auto" w:fill="FFFFFF"/>
        <w:spacing w:before="0" w:beforeAutospacing="0" w:after="0" w:afterAutospacing="0"/>
        <w:rPr>
          <w:rFonts w:ascii="黑体" w:hAnsi="Calibri" w:eastAsia="黑体" w:cs="Calibri"/>
          <w:sz w:val="21"/>
          <w:szCs w:val="21"/>
        </w:rPr>
      </w:pPr>
      <w:r>
        <w:rPr>
          <w:rFonts w:hint="eastAsia" w:ascii="黑体" w:hAnsi="Calibri" w:eastAsia="黑体" w:cs="Calibri"/>
          <w:sz w:val="32"/>
          <w:szCs w:val="32"/>
          <w:shd w:val="clear" w:color="auto" w:fill="FFFFFF"/>
        </w:rPr>
        <w:t>五、存在的主要问题及改进情况</w:t>
      </w:r>
    </w:p>
    <w:p>
      <w:pPr>
        <w:pStyle w:val="6"/>
        <w:shd w:val="clear" w:color="auto" w:fill="FFFFFF"/>
        <w:spacing w:before="0" w:beforeAutospacing="0" w:after="0" w:afterAutospacing="0" w:line="580" w:lineRule="atLeast"/>
        <w:ind w:firstLine="640"/>
        <w:jc w:val="both"/>
        <w:rPr>
          <w:rFonts w:ascii="仿宋_GB2312" w:hAnsi="Calibri" w:eastAsia="仿宋_GB2312" w:cs="Calibri"/>
          <w:sz w:val="21"/>
          <w:szCs w:val="21"/>
        </w:rPr>
      </w:pPr>
      <w:r>
        <w:rPr>
          <w:rFonts w:hint="eastAsia" w:ascii="仿宋_GB2312" w:hAnsi="仿宋" w:eastAsia="仿宋_GB2312" w:cs="Calibri"/>
          <w:sz w:val="32"/>
          <w:szCs w:val="32"/>
          <w:shd w:val="clear" w:color="auto" w:fill="FFFFFF"/>
        </w:rPr>
        <w:t>2022年，我中心高度重视政务公开工作，在信息公开机制完善、内容审核等方面做了大量工作，但也存在一些不足，</w:t>
      </w:r>
      <w:r>
        <w:rPr>
          <w:rFonts w:hint="eastAsia" w:ascii="仿宋_GB2312" w:hAnsi="仿宋" w:eastAsia="仿宋_GB2312" w:cs="Calibri"/>
          <w:b/>
          <w:bCs/>
          <w:sz w:val="32"/>
          <w:szCs w:val="32"/>
          <w:shd w:val="clear" w:color="auto" w:fill="FFFFFF"/>
        </w:rPr>
        <w:t>一是</w:t>
      </w:r>
      <w:r>
        <w:rPr>
          <w:rFonts w:hint="eastAsia" w:ascii="仿宋_GB2312" w:hAnsi="仿宋" w:eastAsia="仿宋_GB2312" w:cs="Calibri"/>
          <w:sz w:val="32"/>
          <w:szCs w:val="32"/>
          <w:shd w:val="clear" w:color="auto" w:fill="FFFFFF"/>
        </w:rPr>
        <w:t>个别专栏更新不够及时，维护还不够到位；</w:t>
      </w:r>
      <w:r>
        <w:rPr>
          <w:rFonts w:hint="eastAsia" w:ascii="仿宋_GB2312" w:hAnsi="仿宋" w:eastAsia="仿宋_GB2312" w:cs="Calibri"/>
          <w:b/>
          <w:bCs/>
          <w:sz w:val="32"/>
          <w:szCs w:val="32"/>
          <w:shd w:val="clear" w:color="auto" w:fill="FFFFFF"/>
        </w:rPr>
        <w:t>二是</w:t>
      </w:r>
      <w:r>
        <w:rPr>
          <w:rFonts w:hint="eastAsia" w:ascii="仿宋_GB2312" w:hAnsi="仿宋" w:eastAsia="仿宋_GB2312" w:cs="Calibri"/>
          <w:sz w:val="32"/>
          <w:szCs w:val="32"/>
          <w:shd w:val="clear" w:color="auto" w:fill="FFFFFF"/>
        </w:rPr>
        <w:t>政策解读的形式还不够丰富。</w:t>
      </w:r>
      <w:r>
        <w:rPr>
          <w:rFonts w:hint="eastAsia" w:ascii="仿宋_GB2312" w:hAnsi="仿宋" w:eastAsia="仿宋_GB2312" w:cs="Calibri"/>
          <w:sz w:val="32"/>
          <w:szCs w:val="32"/>
        </w:rPr>
        <w:t>对此，我中心严格按照县委、县政府的要求改进政务公开工作。</w:t>
      </w:r>
      <w:r>
        <w:rPr>
          <w:rFonts w:hint="eastAsia" w:ascii="仿宋_GB2312" w:hAnsi="仿宋" w:eastAsia="仿宋_GB2312" w:cs="Calibri"/>
          <w:b/>
          <w:bCs/>
          <w:sz w:val="32"/>
          <w:szCs w:val="32"/>
        </w:rPr>
        <w:t>一是</w:t>
      </w:r>
      <w:r>
        <w:rPr>
          <w:rFonts w:hint="eastAsia" w:ascii="仿宋_GB2312" w:hAnsi="仿宋" w:eastAsia="仿宋_GB2312" w:cs="Calibri"/>
          <w:sz w:val="32"/>
          <w:szCs w:val="32"/>
        </w:rPr>
        <w:t>严格执行《条例》，全面、准确、及时、有效公开我中心相关信息，继续做好门户网站等平台的维护建设，不断丰富和调整相关板块、内容，优化公开信息。</w:t>
      </w:r>
      <w:r>
        <w:rPr>
          <w:rFonts w:hint="eastAsia" w:ascii="仿宋_GB2312" w:hAnsi="仿宋" w:eastAsia="仿宋_GB2312" w:cs="Calibri"/>
          <w:b/>
          <w:bCs/>
          <w:sz w:val="32"/>
          <w:szCs w:val="32"/>
        </w:rPr>
        <w:t>二是</w:t>
      </w:r>
      <w:r>
        <w:rPr>
          <w:rFonts w:hint="eastAsia" w:ascii="仿宋_GB2312" w:hAnsi="仿宋" w:eastAsia="仿宋_GB2312" w:cs="Calibri"/>
          <w:sz w:val="32"/>
          <w:szCs w:val="32"/>
        </w:rPr>
        <w:t>丰富政策解读形式。严格按照“谁起草、谁解读”的原则，摒弃以往仅局限于文字解读的方式，灵活运用图片解读、在线访谈等群众喜闻乐见的方式，丰富解读形式，对利民惠企政策进行全方位、多层次的解读剖析。</w:t>
      </w:r>
    </w:p>
    <w:p>
      <w:pPr>
        <w:pStyle w:val="6"/>
        <w:shd w:val="clear" w:color="auto" w:fill="FFFFFF"/>
        <w:spacing w:before="0" w:beforeAutospacing="0" w:after="0" w:afterAutospacing="0" w:line="580" w:lineRule="atLeast"/>
        <w:ind w:firstLine="640"/>
        <w:rPr>
          <w:rFonts w:ascii="黑体" w:hAnsi="Calibri" w:eastAsia="黑体" w:cs="Calibri"/>
        </w:rPr>
      </w:pPr>
      <w:r>
        <w:rPr>
          <w:rFonts w:hint="eastAsia" w:ascii="黑体" w:hAnsi="Calibri" w:eastAsia="黑体" w:cs="Calibri"/>
          <w:sz w:val="32"/>
          <w:szCs w:val="32"/>
          <w:shd w:val="clear" w:color="auto" w:fill="FFFFFF"/>
        </w:rPr>
        <w:t>六、其他需要报告的事项</w:t>
      </w:r>
    </w:p>
    <w:p>
      <w:pPr>
        <w:pStyle w:val="6"/>
        <w:shd w:val="clear" w:color="auto" w:fill="FFFFFF"/>
        <w:spacing w:before="0" w:beforeAutospacing="0" w:after="0" w:afterAutospacing="0" w:line="580" w:lineRule="atLeast"/>
        <w:ind w:firstLine="640"/>
        <w:rPr>
          <w:rFonts w:ascii="仿宋_GB2312" w:hAnsi="Calibri" w:eastAsia="仿宋_GB2312" w:cs="Calibri"/>
        </w:rPr>
      </w:pPr>
      <w:r>
        <w:rPr>
          <w:rFonts w:hint="eastAsia" w:ascii="仿宋_GB2312" w:hAnsi="仿宋" w:eastAsia="仿宋_GB2312" w:cs="Calibri"/>
          <w:sz w:val="32"/>
          <w:szCs w:val="32"/>
          <w:shd w:val="clear" w:color="auto" w:fill="FFFFFF"/>
        </w:rPr>
        <w:t>按照</w:t>
      </w:r>
      <w:r>
        <w:rPr>
          <w:rFonts w:hint="eastAsia" w:ascii="MS Mincho" w:hAnsi="MS Mincho" w:cs="MS Mincho" w:eastAsiaTheme="minorEastAsia"/>
          <w:sz w:val="32"/>
          <w:szCs w:val="32"/>
          <w:shd w:val="clear" w:color="auto" w:fill="FFFFFF"/>
        </w:rPr>
        <w:t>《</w:t>
      </w:r>
      <w:r>
        <w:rPr>
          <w:rFonts w:hint="eastAsia" w:ascii="仿宋_GB2312" w:hAnsi="仿宋_GB2312" w:eastAsia="仿宋_GB2312" w:cs="仿宋_GB2312"/>
          <w:sz w:val="32"/>
          <w:szCs w:val="32"/>
          <w:shd w:val="clear" w:color="auto" w:fill="FFFFFF"/>
        </w:rPr>
        <w:t>国务院办公厅关于印发&lt;政府信息公开信息处理费管理办法&gt;的通知</w:t>
      </w:r>
      <w:r>
        <w:rPr>
          <w:rFonts w:hint="eastAsia" w:ascii="MS Mincho" w:hAnsi="MS Mincho" w:cs="MS Mincho" w:eastAsiaTheme="minorEastAsia"/>
          <w:sz w:val="32"/>
          <w:szCs w:val="32"/>
          <w:shd w:val="clear" w:color="auto" w:fill="FFFFFF"/>
        </w:rPr>
        <w:t>》</w:t>
      </w:r>
      <w:r>
        <w:rPr>
          <w:rFonts w:hint="eastAsia" w:ascii="仿宋_GB2312" w:hAnsi="仿宋_GB2312" w:eastAsia="仿宋_GB2312" w:cs="仿宋_GB2312"/>
          <w:sz w:val="32"/>
          <w:szCs w:val="32"/>
          <w:shd w:val="clear" w:color="auto" w:fill="FFFFFF"/>
        </w:rPr>
        <w:t>（国办函〔</w:t>
      </w:r>
      <w:r>
        <w:rPr>
          <w:rFonts w:ascii="仿宋_GB2312" w:hAnsi="仿宋" w:eastAsia="仿宋_GB2312" w:cs="Calibri"/>
          <w:sz w:val="32"/>
          <w:szCs w:val="32"/>
          <w:shd w:val="clear" w:color="auto" w:fill="FFFFFF"/>
        </w:rPr>
        <w:t>2020</w:t>
      </w:r>
      <w:r>
        <w:rPr>
          <w:rFonts w:hint="eastAsia" w:ascii="仿宋_GB2312" w:hAnsi="仿宋" w:eastAsia="仿宋_GB2312" w:cs="Calibri"/>
          <w:sz w:val="32"/>
          <w:szCs w:val="32"/>
          <w:shd w:val="clear" w:color="auto" w:fill="FFFFFF"/>
        </w:rPr>
        <w:t>〕</w:t>
      </w:r>
      <w:r>
        <w:rPr>
          <w:rFonts w:ascii="仿宋_GB2312" w:hAnsi="仿宋" w:eastAsia="仿宋_GB2312" w:cs="Calibri"/>
          <w:sz w:val="32"/>
          <w:szCs w:val="32"/>
          <w:shd w:val="clear" w:color="auto" w:fill="FFFFFF"/>
        </w:rPr>
        <w:t>109</w:t>
      </w:r>
      <w:r>
        <w:rPr>
          <w:rFonts w:hint="eastAsia" w:ascii="仿宋_GB2312" w:hAnsi="仿宋" w:eastAsia="仿宋_GB2312" w:cs="Calibri"/>
          <w:sz w:val="32"/>
          <w:szCs w:val="32"/>
          <w:shd w:val="clear" w:color="auto" w:fill="FFFFFF"/>
        </w:rPr>
        <w:t>号）规定的按件、按量收费标准，本年度没有产生信息公开处理费。</w:t>
      </w:r>
    </w:p>
    <w:p>
      <w:pPr>
        <w:pStyle w:val="6"/>
        <w:shd w:val="clear" w:color="auto" w:fill="FFFFFF"/>
        <w:spacing w:before="0" w:beforeAutospacing="0" w:after="0" w:afterAutospacing="0" w:line="580" w:lineRule="atLeast"/>
        <w:ind w:firstLine="640"/>
        <w:jc w:val="both"/>
        <w:rPr>
          <w:rFonts w:ascii="仿宋_GB2312" w:hAnsi="Calibri" w:eastAsia="仿宋_GB2312" w:cs="Calibri"/>
          <w:sz w:val="21"/>
          <w:szCs w:val="21"/>
        </w:rPr>
      </w:pPr>
      <w:r>
        <w:rPr>
          <w:rFonts w:hint="eastAsia" w:ascii="仿宋_GB2312" w:hAnsi="Calibri" w:eastAsia="仿宋_GB2312" w:cs="Calibri"/>
          <w:sz w:val="21"/>
          <w:szCs w:val="21"/>
        </w:rPr>
        <w:t> </w:t>
      </w:r>
    </w:p>
    <w:p>
      <w:pPr>
        <w:pStyle w:val="6"/>
        <w:shd w:val="clear" w:color="auto" w:fill="FFFFFF"/>
        <w:spacing w:before="0" w:beforeAutospacing="0" w:after="0" w:afterAutospacing="0"/>
        <w:jc w:val="both"/>
        <w:rPr>
          <w:rFonts w:ascii="仿宋_GB2312" w:hAnsi="Calibri" w:eastAsia="仿宋_GB2312" w:cs="Calibri"/>
          <w:sz w:val="21"/>
          <w:szCs w:val="21"/>
        </w:rPr>
      </w:pPr>
      <w:r>
        <w:rPr>
          <w:rFonts w:hint="eastAsia" w:ascii="仿宋_GB2312" w:hAnsi="Calibri" w:eastAsia="仿宋_GB2312" w:cs="Calibri"/>
          <w:sz w:val="21"/>
          <w:szCs w:val="21"/>
        </w:rPr>
        <w:t> </w:t>
      </w:r>
    </w:p>
    <w:p>
      <w:pPr>
        <w:pStyle w:val="6"/>
        <w:shd w:val="clear" w:color="auto" w:fill="FFFFFF"/>
        <w:spacing w:before="0" w:beforeAutospacing="0" w:after="0" w:afterAutospacing="0"/>
        <w:ind w:firstLine="680"/>
        <w:jc w:val="both"/>
        <w:rPr>
          <w:rFonts w:ascii="仿宋_GB2312" w:hAnsi="Calibri" w:eastAsia="仿宋_GB2312" w:cs="Calibri"/>
          <w:sz w:val="21"/>
          <w:szCs w:val="21"/>
        </w:rPr>
      </w:pPr>
      <w:r>
        <w:rPr>
          <w:rFonts w:hint="eastAsia" w:ascii="仿宋_GB2312" w:hAnsi="Calibri" w:eastAsia="仿宋_GB2312" w:cs="Calibri"/>
          <w:sz w:val="21"/>
          <w:szCs w:val="21"/>
        </w:rPr>
        <w:t> </w:t>
      </w:r>
      <w:bookmarkStart w:id="0" w:name="_GoBack"/>
      <w:bookmarkEnd w:id="0"/>
    </w:p>
    <w:p>
      <w:pPr>
        <w:pStyle w:val="6"/>
        <w:shd w:val="clear" w:color="auto" w:fill="FFFFFF"/>
        <w:spacing w:before="0" w:beforeAutospacing="0" w:after="0" w:afterAutospacing="0"/>
        <w:ind w:firstLine="680"/>
        <w:jc w:val="both"/>
        <w:rPr>
          <w:rFonts w:ascii="仿宋_GB2312" w:hAnsi="Calibri" w:eastAsia="仿宋_GB2312" w:cs="Calibri"/>
          <w:sz w:val="21"/>
          <w:szCs w:val="21"/>
        </w:rPr>
      </w:pPr>
      <w:r>
        <w:rPr>
          <w:rFonts w:hint="eastAsia" w:ascii="仿宋_GB2312" w:hAnsi="Calibri" w:eastAsia="仿宋_GB2312" w:cs="Calibri"/>
          <w:sz w:val="21"/>
          <w:szCs w:val="21"/>
        </w:rPr>
        <w:t> </w:t>
      </w:r>
    </w:p>
    <w:p>
      <w:pPr>
        <w:pStyle w:val="6"/>
        <w:shd w:val="clear" w:color="auto" w:fill="FFFFFF"/>
        <w:spacing w:before="0" w:beforeAutospacing="0" w:after="0" w:afterAutospacing="0"/>
        <w:jc w:val="right"/>
        <w:rPr>
          <w:rFonts w:ascii="仿宋_GB2312" w:hAnsi="Calibri" w:eastAsia="仿宋_GB2312" w:cs="Calibri"/>
          <w:sz w:val="21"/>
          <w:szCs w:val="21"/>
        </w:rPr>
      </w:pPr>
      <w:r>
        <w:rPr>
          <w:rFonts w:hint="eastAsia" w:ascii="仿宋_GB2312" w:hAnsi="仿宋" w:eastAsia="仿宋_GB2312" w:cs="Calibri"/>
          <w:sz w:val="32"/>
          <w:szCs w:val="32"/>
        </w:rPr>
        <w:t>舒城县公共资源交易中心</w:t>
      </w:r>
    </w:p>
    <w:p>
      <w:pPr>
        <w:pStyle w:val="6"/>
        <w:shd w:val="clear" w:color="auto" w:fill="FFFFFF"/>
        <w:spacing w:before="0" w:beforeAutospacing="0" w:after="0" w:afterAutospacing="0"/>
        <w:ind w:firstLine="5507"/>
        <w:jc w:val="both"/>
        <w:rPr>
          <w:rFonts w:ascii="仿宋_GB2312" w:hAnsi="Calibri" w:eastAsia="仿宋_GB2312" w:cs="Calibri"/>
          <w:sz w:val="21"/>
          <w:szCs w:val="21"/>
        </w:rPr>
      </w:pPr>
      <w:r>
        <w:rPr>
          <w:rFonts w:hint="eastAsia" w:ascii="仿宋_GB2312" w:hAnsi="仿宋" w:eastAsia="仿宋_GB2312" w:cs="Calibri"/>
          <w:sz w:val="32"/>
          <w:szCs w:val="32"/>
        </w:rPr>
        <w:t>2023年1月11日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00000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NzlkYjRjM2U0OTU0YzIxZjdiZTc0NjllMDJiZTEifQ=="/>
  </w:docVars>
  <w:rsids>
    <w:rsidRoot w:val="00883979"/>
    <w:rsid w:val="00015F94"/>
    <w:rsid w:val="00031F99"/>
    <w:rsid w:val="00052BD0"/>
    <w:rsid w:val="000C2853"/>
    <w:rsid w:val="00256361"/>
    <w:rsid w:val="0026193F"/>
    <w:rsid w:val="00326D05"/>
    <w:rsid w:val="00383A57"/>
    <w:rsid w:val="004205D7"/>
    <w:rsid w:val="00602131"/>
    <w:rsid w:val="006851FD"/>
    <w:rsid w:val="006B45AE"/>
    <w:rsid w:val="006E2BCF"/>
    <w:rsid w:val="00807A29"/>
    <w:rsid w:val="00883979"/>
    <w:rsid w:val="009E55C3"/>
    <w:rsid w:val="00E0100E"/>
    <w:rsid w:val="00E50296"/>
    <w:rsid w:val="00E74DF5"/>
    <w:rsid w:val="00FA2F76"/>
    <w:rsid w:val="365A33D5"/>
    <w:rsid w:val="FBE1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2"/>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annotation reference"/>
    <w:basedOn w:val="8"/>
    <w:semiHidden/>
    <w:unhideWhenUsed/>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2416</Words>
  <Characters>2502</Characters>
  <Lines>20</Lines>
  <Paragraphs>5</Paragraphs>
  <TotalTime>24</TotalTime>
  <ScaleCrop>false</ScaleCrop>
  <LinksUpToDate>false</LinksUpToDate>
  <CharactersWithSpaces>2506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2023-01-11T16:02:00Z</dcterms:created>
  <dc:creator>韩晓雨</dc:creator>
  <cp:lastModifiedBy>舒城县交易中心</cp:lastModifiedBy>
  <dcterms:modified xsi:type="dcterms:W3CDTF">2024-02-21T03:10:33Z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3157503916A24C1283CE2B5E4D3D7D05_12</vt:lpwstr>
  </property>
</Properties>
</file>