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128" w:rsidRDefault="005E6DDD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舒城县文化旅游体育局2023年政府信息</w:t>
      </w:r>
    </w:p>
    <w:p w:rsidR="00285128" w:rsidRDefault="005E6DDD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公开工作年度报告</w:t>
      </w:r>
    </w:p>
    <w:p w:rsidR="00285128" w:rsidRDefault="00285128"/>
    <w:p w:rsidR="00285128" w:rsidRDefault="00285128">
      <w:pPr>
        <w:widowControl/>
        <w:shd w:val="clear" w:color="auto" w:fill="FFFFFF"/>
        <w:spacing w:line="560" w:lineRule="exact"/>
        <w:rPr>
          <w:rFonts w:ascii="仿宋_GB2312" w:eastAsia="仿宋_GB2312" w:hAnsi="黑体" w:cs="Times New Roman"/>
          <w:bCs/>
          <w:color w:val="000000"/>
          <w:kern w:val="0"/>
          <w:sz w:val="32"/>
          <w:szCs w:val="32"/>
        </w:rPr>
      </w:pPr>
    </w:p>
    <w:p w:rsidR="00285128" w:rsidRDefault="005E6DDD">
      <w:pPr>
        <w:shd w:val="clear" w:color="auto" w:fill="FFFFFF"/>
        <w:wordWrap w:val="0"/>
        <w:topLinePunct/>
        <w:autoSpaceDE w:val="0"/>
        <w:spacing w:line="560" w:lineRule="exact"/>
        <w:ind w:firstLineChars="200" w:firstLine="640"/>
        <w:contextualSpacing/>
        <w:rPr>
          <w:rFonts w:ascii="仿宋_GB2312" w:eastAsia="仿宋_GB2312" w:hAnsi="黑体" w:cs="Times New Roman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黑体" w:cs="Times New Roman" w:hint="eastAsia"/>
          <w:bCs/>
          <w:color w:val="000000"/>
          <w:kern w:val="0"/>
          <w:sz w:val="32"/>
          <w:szCs w:val="32"/>
        </w:rPr>
        <w:t>本报告依据《中华人民共和国政府信息公开条例》（国务院令第711号，以下简称《条例》）和《舒城县人民政府办公室关于做好2023年度政府信息公开年度报告编制和发布工作的通知》要求，结合舒城县文化旅游体育局（以下简称“县文旅体局”）有关统计数据和工作实际撰写。本报告由总体情况、主动公开政府信息情况、收到和处理政府信息公开申请的情况、政府信息公开行政复议和行政诉讼情况、存在的问题和改进措施以及其他需要报告的事项六部分组成，使用数据统计期限为2023年1月1日至2023年12月31日。本年度报告电子版可在舒城县人民政府门户网站“政府信息公开年度报告”栏目查阅及下载。如对本报告有疑问，请与县</w:t>
      </w:r>
      <w:proofErr w:type="gramStart"/>
      <w:r>
        <w:rPr>
          <w:rFonts w:ascii="仿宋_GB2312" w:eastAsia="仿宋_GB2312" w:hAnsi="黑体" w:cs="Times New Roman" w:hint="eastAsia"/>
          <w:bCs/>
          <w:color w:val="000000"/>
          <w:kern w:val="0"/>
          <w:sz w:val="32"/>
          <w:szCs w:val="32"/>
        </w:rPr>
        <w:t>文旅体</w:t>
      </w:r>
      <w:proofErr w:type="gramEnd"/>
      <w:r>
        <w:rPr>
          <w:rFonts w:ascii="仿宋_GB2312" w:eastAsia="仿宋_GB2312" w:hAnsi="黑体" w:cs="Times New Roman" w:hint="eastAsia"/>
          <w:bCs/>
          <w:color w:val="000000"/>
          <w:kern w:val="0"/>
          <w:sz w:val="32"/>
          <w:szCs w:val="32"/>
        </w:rPr>
        <w:t>局联系，地址：舒城县城关镇文化广场会展中心四楼，邮编：231300，电话：0564-8627847。</w:t>
      </w:r>
    </w:p>
    <w:p w:rsidR="00285128" w:rsidRDefault="005E6DDD">
      <w:pPr>
        <w:shd w:val="clear" w:color="auto" w:fill="FFFFFF"/>
        <w:wordWrap w:val="0"/>
        <w:topLinePunct/>
        <w:autoSpaceDE w:val="0"/>
        <w:spacing w:line="560" w:lineRule="exact"/>
        <w:ind w:firstLineChars="200" w:firstLine="640"/>
        <w:contextualSpacing/>
        <w:rPr>
          <w:rFonts w:ascii="仿宋_GB2312" w:eastAsia="仿宋_GB2312" w:hAnsi="黑体" w:cs="Times New Roman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Times New Roman"/>
          <w:bCs/>
          <w:color w:val="000000"/>
          <w:kern w:val="0"/>
          <w:sz w:val="32"/>
          <w:szCs w:val="32"/>
        </w:rPr>
        <w:t>一、总体情况</w:t>
      </w:r>
    </w:p>
    <w:p w:rsidR="00285128" w:rsidRDefault="005E6DDD">
      <w:pPr>
        <w:shd w:val="clear" w:color="auto" w:fill="FFFFFF"/>
        <w:wordWrap w:val="0"/>
        <w:topLinePunct/>
        <w:autoSpaceDE w:val="0"/>
        <w:spacing w:line="560" w:lineRule="exact"/>
        <w:ind w:firstLineChars="200" w:firstLine="640"/>
        <w:contextualSpacing/>
        <w:rPr>
          <w:rFonts w:ascii="楷体" w:eastAsia="楷体" w:hAnsi="楷体" w:cs="Times New Roman"/>
          <w:bCs/>
          <w:color w:val="000000"/>
          <w:kern w:val="0"/>
          <w:sz w:val="32"/>
          <w:szCs w:val="32"/>
        </w:rPr>
      </w:pPr>
      <w:r>
        <w:rPr>
          <w:rFonts w:ascii="楷体" w:eastAsia="楷体" w:hAnsi="楷体" w:cs="Times New Roman" w:hint="eastAsia"/>
          <w:bCs/>
          <w:color w:val="000000"/>
          <w:kern w:val="0"/>
          <w:sz w:val="32"/>
          <w:szCs w:val="32"/>
        </w:rPr>
        <w:t>（一）主动公开</w:t>
      </w:r>
    </w:p>
    <w:p w:rsidR="00285128" w:rsidRDefault="005E6DDD">
      <w:pPr>
        <w:wordWrap w:val="0"/>
        <w:topLinePunct/>
        <w:autoSpaceDE w:val="0"/>
        <w:spacing w:line="56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cs="Times New Roman" w:hint="eastAsia"/>
          <w:bCs/>
          <w:color w:val="000000"/>
          <w:kern w:val="0"/>
          <w:sz w:val="32"/>
          <w:szCs w:val="32"/>
        </w:rPr>
        <w:t>2023年，我局按照《条例》要求，围绕年度政务公开重点工作任务，依托县政府网站依法向广大群众公开涉及</w:t>
      </w:r>
      <w:proofErr w:type="gramStart"/>
      <w:r>
        <w:rPr>
          <w:rFonts w:ascii="仿宋_GB2312" w:eastAsia="仿宋_GB2312" w:hAnsi="黑体" w:cs="Times New Roman" w:hint="eastAsia"/>
          <w:bCs/>
          <w:color w:val="000000"/>
          <w:kern w:val="0"/>
          <w:sz w:val="32"/>
          <w:szCs w:val="32"/>
        </w:rPr>
        <w:t>文旅体</w:t>
      </w:r>
      <w:proofErr w:type="gramEnd"/>
      <w:r>
        <w:rPr>
          <w:rFonts w:ascii="仿宋_GB2312" w:eastAsia="仿宋_GB2312" w:hAnsi="黑体" w:cs="Times New Roman" w:hint="eastAsia"/>
          <w:bCs/>
          <w:color w:val="000000"/>
          <w:kern w:val="0"/>
          <w:sz w:val="32"/>
          <w:szCs w:val="32"/>
        </w:rPr>
        <w:t>广播电视新闻出版领域的政府信息共850条。按照省、市、县工作部署，开展政务公开重点工作提升行动，重点强化</w:t>
      </w:r>
      <w:proofErr w:type="gramStart"/>
      <w:r>
        <w:rPr>
          <w:rFonts w:ascii="仿宋_GB2312" w:eastAsia="仿宋_GB2312" w:hAnsi="黑体" w:cs="Times New Roman" w:hint="eastAsia"/>
          <w:bCs/>
          <w:color w:val="000000"/>
          <w:kern w:val="0"/>
          <w:sz w:val="32"/>
          <w:szCs w:val="32"/>
        </w:rPr>
        <w:t>文旅消费</w:t>
      </w:r>
      <w:proofErr w:type="gramEnd"/>
      <w:r>
        <w:rPr>
          <w:rFonts w:ascii="仿宋_GB2312" w:eastAsia="仿宋_GB2312" w:hAnsi="黑体" w:cs="Times New Roman" w:hint="eastAsia"/>
          <w:bCs/>
          <w:color w:val="000000"/>
          <w:kern w:val="0"/>
          <w:sz w:val="32"/>
          <w:szCs w:val="32"/>
        </w:rPr>
        <w:t>优惠政策方面信息公开，公开支持市场主体</w:t>
      </w:r>
      <w:proofErr w:type="gramStart"/>
      <w:r>
        <w:rPr>
          <w:rFonts w:ascii="仿宋_GB2312" w:eastAsia="仿宋_GB2312" w:hAnsi="黑体" w:cs="Times New Roman" w:hint="eastAsia"/>
          <w:bCs/>
          <w:color w:val="000000"/>
          <w:kern w:val="0"/>
          <w:sz w:val="32"/>
          <w:szCs w:val="32"/>
        </w:rPr>
        <w:t>纾困发展</w:t>
      </w:r>
      <w:proofErr w:type="gramEnd"/>
      <w:r>
        <w:rPr>
          <w:rFonts w:ascii="仿宋_GB2312" w:eastAsia="仿宋_GB2312" w:hint="eastAsia"/>
          <w:sz w:val="32"/>
          <w:szCs w:val="32"/>
        </w:rPr>
        <w:t>类信息6条。做好权责清单、行政执法依据、程序、结果等</w:t>
      </w:r>
      <w:r>
        <w:rPr>
          <w:rFonts w:ascii="仿宋_GB2312" w:eastAsia="仿宋_GB2312" w:hint="eastAsia"/>
          <w:sz w:val="32"/>
          <w:szCs w:val="32"/>
        </w:rPr>
        <w:lastRenderedPageBreak/>
        <w:t>相关信息公开，发布2023版权责清单，办理行政许可63件、行政处罚24件。本年度，我局共办理人大代表建议４件、政协委员提案６件。公开公共文化服务、广播电视、新闻出版、旅游等基层“两化”领域信息246条。及时在县图书馆及10</w:t>
      </w:r>
      <w:r w:rsidR="00CC7052">
        <w:rPr>
          <w:rFonts w:ascii="仿宋_GB2312" w:eastAsia="仿宋_GB2312" w:hint="eastAsia"/>
          <w:sz w:val="32"/>
          <w:szCs w:val="32"/>
        </w:rPr>
        <w:t>个城市阅读空间的</w:t>
      </w:r>
      <w:r>
        <w:rPr>
          <w:rFonts w:ascii="仿宋_GB2312" w:eastAsia="仿宋_GB2312" w:hint="eastAsia"/>
          <w:sz w:val="32"/>
          <w:szCs w:val="32"/>
        </w:rPr>
        <w:t>醒目位置摆放最新的政策法规、政府公报、政府工作报告等政府信息公开材料，以便于群众查阅。</w:t>
      </w:r>
    </w:p>
    <w:p w:rsidR="00285128" w:rsidRDefault="005E6DDD">
      <w:pPr>
        <w:shd w:val="clear" w:color="auto" w:fill="FFFFFF"/>
        <w:wordWrap w:val="0"/>
        <w:topLinePunct/>
        <w:autoSpaceDE w:val="0"/>
        <w:spacing w:line="560" w:lineRule="exact"/>
        <w:ind w:firstLineChars="200" w:firstLine="640"/>
        <w:contextualSpacing/>
        <w:rPr>
          <w:rFonts w:ascii="楷体" w:eastAsia="楷体" w:hAnsi="楷体" w:cs="Times New Roman"/>
          <w:bCs/>
          <w:color w:val="000000"/>
          <w:kern w:val="0"/>
          <w:sz w:val="32"/>
          <w:szCs w:val="32"/>
        </w:rPr>
      </w:pPr>
      <w:r>
        <w:rPr>
          <w:rFonts w:ascii="楷体" w:eastAsia="楷体" w:hAnsi="楷体" w:cs="Times New Roman" w:hint="eastAsia"/>
          <w:bCs/>
          <w:color w:val="000000"/>
          <w:kern w:val="0"/>
          <w:sz w:val="32"/>
          <w:szCs w:val="32"/>
        </w:rPr>
        <w:t>（二）依申请公开</w:t>
      </w:r>
    </w:p>
    <w:p w:rsidR="00285128" w:rsidRDefault="005E6DDD">
      <w:pPr>
        <w:wordWrap w:val="0"/>
        <w:topLinePunct/>
        <w:autoSpaceDE w:val="0"/>
        <w:spacing w:line="56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2023年，县</w:t>
      </w:r>
      <w:proofErr w:type="gramStart"/>
      <w:r>
        <w:rPr>
          <w:rFonts w:ascii="仿宋_GB2312" w:eastAsia="仿宋_GB2312" w:hint="eastAsia"/>
          <w:sz w:val="32"/>
          <w:szCs w:val="32"/>
        </w:rPr>
        <w:t>文旅体</w:t>
      </w:r>
      <w:proofErr w:type="gramEnd"/>
      <w:r>
        <w:rPr>
          <w:rFonts w:ascii="仿宋_GB2312" w:eastAsia="仿宋_GB2312" w:hint="eastAsia"/>
          <w:sz w:val="32"/>
          <w:szCs w:val="32"/>
        </w:rPr>
        <w:t>局严格按照依申请公开流程制度机制，进一步规范依申请公开办理工作。本年度，我局共收到和处理了依申请公开件１件，按照接件、登记、办理、答复、归档全流程办结，并按照申请内容予以公开。全年无因政府信息公开引发的行政复议、行政诉讼。</w:t>
      </w:r>
    </w:p>
    <w:p w:rsidR="00285128" w:rsidRDefault="005E6DDD">
      <w:pPr>
        <w:shd w:val="clear" w:color="auto" w:fill="FFFFFF"/>
        <w:wordWrap w:val="0"/>
        <w:topLinePunct/>
        <w:autoSpaceDE w:val="0"/>
        <w:spacing w:line="560" w:lineRule="exact"/>
        <w:ind w:firstLineChars="200" w:firstLine="640"/>
        <w:contextualSpacing/>
        <w:rPr>
          <w:rFonts w:ascii="楷体" w:eastAsia="楷体" w:hAnsi="楷体" w:cs="Times New Roman"/>
          <w:bCs/>
          <w:color w:val="000000"/>
          <w:kern w:val="0"/>
          <w:sz w:val="32"/>
          <w:szCs w:val="32"/>
        </w:rPr>
      </w:pPr>
      <w:r>
        <w:rPr>
          <w:rFonts w:ascii="楷体" w:eastAsia="楷体" w:hAnsi="楷体" w:cs="Times New Roman" w:hint="eastAsia"/>
          <w:bCs/>
          <w:color w:val="000000"/>
          <w:kern w:val="0"/>
          <w:sz w:val="32"/>
          <w:szCs w:val="32"/>
        </w:rPr>
        <w:t>（三）政府信息管理</w:t>
      </w:r>
    </w:p>
    <w:p w:rsidR="00285128" w:rsidRDefault="005E6DDD">
      <w:pPr>
        <w:wordWrap w:val="0"/>
        <w:topLinePunct/>
        <w:autoSpaceDE w:val="0"/>
        <w:spacing w:line="56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年度，我局加强政府信息公开属性源头认定，对于主动公开类的公文，依法依规进行公开，本年度公开其他文件８件。推进行政规范性文件格式规范整改、更新与清理工作，发布局现行有效规范性文件目录，2023年，我局未制发规范性文件。严格落实信息公开“三审”制度，严把信息“出口”，逐步完善政府信息发布审核机制、保密审查制度和责任追究制度，开展隐私泄露问题自查自纠，本年度未发生公民隐私泄露事件。</w:t>
      </w:r>
    </w:p>
    <w:p w:rsidR="00285128" w:rsidRDefault="005E6DDD">
      <w:pPr>
        <w:shd w:val="clear" w:color="auto" w:fill="FFFFFF"/>
        <w:wordWrap w:val="0"/>
        <w:topLinePunct/>
        <w:autoSpaceDE w:val="0"/>
        <w:spacing w:line="560" w:lineRule="exact"/>
        <w:ind w:firstLineChars="200" w:firstLine="640"/>
        <w:contextualSpacing/>
        <w:rPr>
          <w:rFonts w:ascii="楷体" w:eastAsia="楷体" w:hAnsi="楷体" w:cs="Times New Roman"/>
          <w:bCs/>
          <w:color w:val="000000"/>
          <w:kern w:val="0"/>
          <w:sz w:val="32"/>
          <w:szCs w:val="32"/>
        </w:rPr>
      </w:pPr>
      <w:r>
        <w:rPr>
          <w:rFonts w:ascii="楷体" w:eastAsia="楷体" w:hAnsi="楷体" w:cs="Times New Roman" w:hint="eastAsia"/>
          <w:bCs/>
          <w:color w:val="000000"/>
          <w:kern w:val="0"/>
          <w:sz w:val="32"/>
          <w:szCs w:val="32"/>
        </w:rPr>
        <w:t>（四）政府信息公开平台建设</w:t>
      </w:r>
    </w:p>
    <w:p w:rsidR="00285128" w:rsidRDefault="005E6DDD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一是优化意见征集栏目，合并我局“意见征集与反馈”栏目，并直接</w:t>
      </w:r>
      <w:proofErr w:type="gramStart"/>
      <w:r>
        <w:rPr>
          <w:rFonts w:ascii="仿宋_GB2312" w:eastAsia="仿宋_GB2312" w:hint="eastAsia"/>
          <w:sz w:val="32"/>
          <w:szCs w:val="32"/>
        </w:rPr>
        <w:t>链接进</w:t>
      </w:r>
      <w:proofErr w:type="gramEnd"/>
      <w:r>
        <w:rPr>
          <w:rFonts w:ascii="仿宋_GB2312" w:eastAsia="仿宋_GB2312" w:hint="eastAsia"/>
          <w:sz w:val="32"/>
          <w:szCs w:val="32"/>
        </w:rPr>
        <w:t>县“意见征集库”。二是在重点领域增加“旅游市场监管”栏目。三是持续推进“舒城县文化馆”“舒城县图书馆”</w:t>
      </w:r>
      <w:proofErr w:type="gramStart"/>
      <w:r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int="eastAsia"/>
          <w:sz w:val="32"/>
          <w:szCs w:val="32"/>
        </w:rPr>
        <w:t>等政务新媒体完善与运用，按要求进行备案登记，公开征集舒城县文化馆LOGO，发布各</w:t>
      </w:r>
      <w:proofErr w:type="gramStart"/>
      <w:r>
        <w:rPr>
          <w:rFonts w:ascii="仿宋_GB2312" w:eastAsia="仿宋_GB2312" w:hint="eastAsia"/>
          <w:sz w:val="32"/>
          <w:szCs w:val="32"/>
        </w:rPr>
        <w:t>类文旅政务</w:t>
      </w:r>
      <w:proofErr w:type="gramEnd"/>
      <w:r>
        <w:rPr>
          <w:rFonts w:ascii="仿宋_GB2312" w:eastAsia="仿宋_GB2312" w:hint="eastAsia"/>
          <w:sz w:val="32"/>
          <w:szCs w:val="32"/>
        </w:rPr>
        <w:t>信息，扩大</w:t>
      </w:r>
      <w:proofErr w:type="gramStart"/>
      <w:r>
        <w:rPr>
          <w:rFonts w:ascii="仿宋_GB2312" w:eastAsia="仿宋_GB2312" w:hint="eastAsia"/>
          <w:sz w:val="32"/>
          <w:szCs w:val="32"/>
        </w:rPr>
        <w:t>舒城文旅影响力</w:t>
      </w:r>
      <w:proofErr w:type="gramEnd"/>
      <w:r>
        <w:rPr>
          <w:rFonts w:ascii="仿宋_GB2312" w:eastAsia="仿宋_GB2312" w:hint="eastAsia"/>
          <w:sz w:val="32"/>
          <w:szCs w:val="32"/>
        </w:rPr>
        <w:t>。四是做好</w:t>
      </w:r>
      <w:r>
        <w:rPr>
          <w:rFonts w:ascii="仿宋_GB2312" w:eastAsia="仿宋_GB2312" w:hAnsiTheme="minorEastAsia" w:hint="eastAsia"/>
          <w:sz w:val="32"/>
          <w:szCs w:val="32"/>
        </w:rPr>
        <w:t>12345</w:t>
      </w:r>
      <w:r>
        <w:rPr>
          <w:rFonts w:ascii="仿宋_GB2312" w:eastAsia="仿宋_GB2312" w:hint="eastAsia"/>
          <w:sz w:val="32"/>
          <w:szCs w:val="32"/>
        </w:rPr>
        <w:t>市长热线服务平台工作，推送知识库信息“问答+政策”100余条，办结12345市长</w:t>
      </w:r>
      <w:proofErr w:type="gramStart"/>
      <w:r>
        <w:rPr>
          <w:rFonts w:ascii="仿宋_GB2312" w:eastAsia="仿宋_GB2312" w:hint="eastAsia"/>
          <w:sz w:val="32"/>
          <w:szCs w:val="32"/>
        </w:rPr>
        <w:t>热线工</w:t>
      </w:r>
      <w:proofErr w:type="gramEnd"/>
      <w:r>
        <w:rPr>
          <w:rFonts w:ascii="仿宋_GB2312" w:eastAsia="仿宋_GB2312" w:hint="eastAsia"/>
          <w:sz w:val="32"/>
          <w:szCs w:val="32"/>
        </w:rPr>
        <w:t>单80件。</w:t>
      </w:r>
    </w:p>
    <w:p w:rsidR="00285128" w:rsidRDefault="005E6DDD">
      <w:pPr>
        <w:shd w:val="clear" w:color="auto" w:fill="FFFFFF"/>
        <w:wordWrap w:val="0"/>
        <w:topLinePunct/>
        <w:autoSpaceDE w:val="0"/>
        <w:spacing w:line="560" w:lineRule="exact"/>
        <w:ind w:firstLineChars="200" w:firstLine="640"/>
        <w:contextualSpacing/>
        <w:rPr>
          <w:rFonts w:ascii="楷体" w:eastAsia="楷体" w:hAnsi="楷体" w:cs="Times New Roman"/>
          <w:bCs/>
          <w:color w:val="000000"/>
          <w:kern w:val="0"/>
          <w:sz w:val="32"/>
          <w:szCs w:val="32"/>
        </w:rPr>
      </w:pPr>
      <w:r>
        <w:rPr>
          <w:rFonts w:ascii="楷体" w:eastAsia="楷体" w:hAnsi="楷体" w:cs="Times New Roman" w:hint="eastAsia"/>
          <w:bCs/>
          <w:color w:val="000000"/>
          <w:kern w:val="0"/>
          <w:sz w:val="32"/>
          <w:szCs w:val="32"/>
        </w:rPr>
        <w:t>（五）监督保障</w:t>
      </w:r>
    </w:p>
    <w:p w:rsidR="00285128" w:rsidRDefault="005E6DDD">
      <w:pPr>
        <w:widowControl/>
        <w:wordWrap w:val="0"/>
        <w:topLinePunct/>
        <w:adjustRightInd w:val="0"/>
        <w:spacing w:line="56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局坚持问题导向，认真对照季度测评反馈问题和第三方机构日常维护反馈结果，及时进行整改落实。2023年，我局按照政务公开整改工作的通知要求，先后8次对全局政务公开事项进行查漏补缺，逐步补齐短板弱项。</w:t>
      </w:r>
    </w:p>
    <w:p w:rsidR="00285128" w:rsidRDefault="005E6DDD">
      <w:pPr>
        <w:widowControl/>
        <w:shd w:val="clear" w:color="auto" w:fill="FFFFFF"/>
        <w:ind w:firstLine="42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二、主动公开政府信息情况</w:t>
      </w:r>
    </w:p>
    <w:tbl>
      <w:tblPr>
        <w:tblW w:w="97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285128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28512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:rsidR="00285128">
        <w:trPr>
          <w:trHeight w:val="459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8512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85128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28512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28512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285128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28512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285128">
        <w:trPr>
          <w:trHeight w:val="414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  <w:bookmarkStart w:id="0" w:name="_GoBack"/>
            <w:bookmarkEnd w:id="0"/>
          </w:p>
        </w:tc>
      </w:tr>
      <w:tr w:rsidR="0028512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85128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28512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285128">
        <w:trPr>
          <w:trHeight w:val="294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jc w:val="center"/>
              <w:rPr>
                <w:rFonts w:ascii="宋体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仿宋_GB2312" w:hAnsi="Times New Roman" w:cs="Times New Roman" w:hint="eastAsia"/>
                <w:color w:val="000000"/>
                <w:sz w:val="20"/>
                <w:szCs w:val="20"/>
              </w:rPr>
              <w:t>0</w:t>
            </w:r>
          </w:p>
        </w:tc>
      </w:tr>
    </w:tbl>
    <w:p w:rsidR="00285128" w:rsidRDefault="00285128">
      <w:pPr>
        <w:widowControl/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285128" w:rsidRDefault="005E6DDD">
      <w:pPr>
        <w:widowControl/>
        <w:shd w:val="clear" w:color="auto" w:fill="FFFFFF"/>
        <w:ind w:firstLine="42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三、收到和处理政府信息公开申请情况</w:t>
      </w:r>
    </w:p>
    <w:p w:rsidR="00285128" w:rsidRDefault="00285128">
      <w:pPr>
        <w:widowControl/>
        <w:shd w:val="clear" w:color="auto" w:fill="FFFFFF"/>
        <w:ind w:firstLine="420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tbl>
      <w:tblPr>
        <w:tblW w:w="9745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:rsidR="00285128"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5128" w:rsidRDefault="005E6DDD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285128">
        <w:trPr>
          <w:jc w:val="center"/>
        </w:trPr>
        <w:tc>
          <w:tcPr>
            <w:tcW w:w="49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5128" w:rsidRDefault="00285128">
            <w:pPr>
              <w:rPr>
                <w:rFonts w:ascii="宋体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285128">
        <w:trPr>
          <w:jc w:val="center"/>
        </w:trPr>
        <w:tc>
          <w:tcPr>
            <w:tcW w:w="49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5128" w:rsidRDefault="00285128">
            <w:pPr>
              <w:rPr>
                <w:rFonts w:ascii="宋体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285128">
            <w:pPr>
              <w:rPr>
                <w:rFonts w:ascii="宋体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</w:t>
            </w:r>
          </w:p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</w:t>
            </w:r>
          </w:p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5128" w:rsidRDefault="00285128">
            <w:pPr>
              <w:rPr>
                <w:rFonts w:ascii="宋体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5128"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85128"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85128"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85128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285128">
            <w:pPr>
              <w:rPr>
                <w:rFonts w:ascii="宋体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85128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285128">
            <w:pPr>
              <w:rPr>
                <w:rFonts w:ascii="宋体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85128" w:rsidRDefault="005E6DDD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85128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285128">
            <w:pPr>
              <w:rPr>
                <w:rFonts w:ascii="宋体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285128">
            <w:pPr>
              <w:rPr>
                <w:rFonts w:ascii="宋体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85128" w:rsidRDefault="005E6DDD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85128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285128">
            <w:pPr>
              <w:rPr>
                <w:rFonts w:ascii="宋体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285128">
            <w:pPr>
              <w:rPr>
                <w:rFonts w:ascii="宋体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85128" w:rsidRDefault="005E6DDD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3.危及“三安全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85128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285128">
            <w:pPr>
              <w:rPr>
                <w:rFonts w:ascii="宋体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285128">
            <w:pPr>
              <w:rPr>
                <w:rFonts w:ascii="宋体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85128" w:rsidRDefault="005E6DDD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85128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285128">
            <w:pPr>
              <w:rPr>
                <w:rFonts w:ascii="宋体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285128">
            <w:pPr>
              <w:rPr>
                <w:rFonts w:ascii="宋体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85128" w:rsidRDefault="005E6DDD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85128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285128">
            <w:pPr>
              <w:rPr>
                <w:rFonts w:ascii="宋体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285128">
            <w:pPr>
              <w:rPr>
                <w:rFonts w:ascii="宋体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85128" w:rsidRDefault="005E6DDD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85128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285128">
            <w:pPr>
              <w:rPr>
                <w:rFonts w:ascii="宋体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285128">
            <w:pPr>
              <w:rPr>
                <w:rFonts w:ascii="宋体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85128" w:rsidRDefault="005E6DDD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85128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285128">
            <w:pPr>
              <w:rPr>
                <w:rFonts w:ascii="宋体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285128">
            <w:pPr>
              <w:rPr>
                <w:rFonts w:ascii="宋体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85128" w:rsidRDefault="005E6DDD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85128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285128">
            <w:pPr>
              <w:rPr>
                <w:rFonts w:ascii="宋体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85128" w:rsidRDefault="005E6DDD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85128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285128">
            <w:pPr>
              <w:rPr>
                <w:rFonts w:ascii="宋体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285128">
            <w:pPr>
              <w:rPr>
                <w:rFonts w:ascii="宋体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85128" w:rsidRDefault="005E6DDD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85128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285128">
            <w:pPr>
              <w:rPr>
                <w:rFonts w:ascii="宋体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285128">
            <w:pPr>
              <w:rPr>
                <w:rFonts w:ascii="宋体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85128" w:rsidRDefault="005E6DDD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85128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285128">
            <w:pPr>
              <w:rPr>
                <w:rFonts w:ascii="宋体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85128" w:rsidRDefault="005E6DDD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85128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285128">
            <w:pPr>
              <w:rPr>
                <w:rFonts w:ascii="宋体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285128">
            <w:pPr>
              <w:rPr>
                <w:rFonts w:ascii="宋体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85128" w:rsidRDefault="005E6DDD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85128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285128">
            <w:pPr>
              <w:rPr>
                <w:rFonts w:ascii="宋体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285128">
            <w:pPr>
              <w:rPr>
                <w:rFonts w:ascii="宋体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85128" w:rsidRDefault="005E6DDD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85128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285128">
            <w:pPr>
              <w:rPr>
                <w:rFonts w:ascii="宋体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285128">
            <w:pPr>
              <w:rPr>
                <w:rFonts w:ascii="宋体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85128" w:rsidRDefault="005E6DDD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85128">
        <w:trPr>
          <w:trHeight w:val="779"/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285128">
            <w:pPr>
              <w:rPr>
                <w:rFonts w:ascii="宋体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285128">
            <w:pPr>
              <w:rPr>
                <w:rFonts w:ascii="宋体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85128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285128">
            <w:pPr>
              <w:rPr>
                <w:rFonts w:ascii="宋体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1.申请人无正当理由逾期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85128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285128">
            <w:pPr>
              <w:rPr>
                <w:rFonts w:ascii="宋体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285128">
            <w:pPr>
              <w:rPr>
                <w:rFonts w:ascii="宋体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2.申请人逾期未按收费通知要求缴纳费用、行政机关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85128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285128">
            <w:pPr>
              <w:rPr>
                <w:rFonts w:ascii="宋体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285128">
            <w:pPr>
              <w:rPr>
                <w:rFonts w:ascii="宋体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85128">
        <w:trPr>
          <w:jc w:val="center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285128">
            <w:pPr>
              <w:rPr>
                <w:rFonts w:ascii="宋体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85128"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仿宋_GB2312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128" w:rsidRDefault="005E6DDD">
            <w:pPr>
              <w:jc w:val="center"/>
              <w:rPr>
                <w:rFonts w:ascii="宋体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仿宋_GB2312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</w:tbl>
    <w:p w:rsidR="00285128" w:rsidRDefault="00285128">
      <w:pPr>
        <w:widowControl/>
        <w:shd w:val="clear" w:color="auto" w:fill="FFFFFF"/>
        <w:jc w:val="center"/>
        <w:rPr>
          <w:rFonts w:ascii="宋体" w:eastAsia="宋体" w:hAnsi="宋体" w:cs="宋体"/>
          <w:color w:val="000000"/>
          <w:sz w:val="24"/>
          <w:szCs w:val="24"/>
        </w:rPr>
      </w:pPr>
    </w:p>
    <w:p w:rsidR="00285128" w:rsidRDefault="005E6DDD">
      <w:pPr>
        <w:widowControl/>
        <w:shd w:val="clear" w:color="auto" w:fill="FFFFFF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四、政府信息公开行政复议、行政诉讼情况</w:t>
      </w:r>
    </w:p>
    <w:p w:rsidR="00285128" w:rsidRDefault="00285128">
      <w:pPr>
        <w:widowControl/>
        <w:shd w:val="clear" w:color="auto" w:fill="FFFFFF"/>
        <w:jc w:val="center"/>
        <w:rPr>
          <w:rFonts w:ascii="宋体" w:eastAsia="宋体" w:hAnsi="宋体" w:cs="宋体"/>
          <w:color w:val="000000"/>
          <w:sz w:val="24"/>
          <w:szCs w:val="24"/>
        </w:rPr>
      </w:pPr>
    </w:p>
    <w:tbl>
      <w:tblPr>
        <w:tblW w:w="9743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285128">
        <w:trPr>
          <w:jc w:val="center"/>
        </w:trPr>
        <w:tc>
          <w:tcPr>
            <w:tcW w:w="3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285128"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285128">
        <w:trPr>
          <w:jc w:val="center"/>
        </w:trPr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5128" w:rsidRDefault="00285128">
            <w:pPr>
              <w:rPr>
                <w:rFonts w:ascii="宋体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5128" w:rsidRDefault="00285128">
            <w:pPr>
              <w:rPr>
                <w:rFonts w:ascii="宋体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5128" w:rsidRDefault="00285128">
            <w:pPr>
              <w:rPr>
                <w:rFonts w:ascii="宋体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5128" w:rsidRDefault="00285128">
            <w:pPr>
              <w:rPr>
                <w:rFonts w:ascii="宋体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5128" w:rsidRDefault="00285128">
            <w:pPr>
              <w:rPr>
                <w:rFonts w:ascii="宋体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285128">
        <w:trPr>
          <w:trHeight w:val="512"/>
          <w:jc w:val="center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5128" w:rsidRDefault="005E6DDD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85128" w:rsidRDefault="005E6DDD">
            <w:pPr>
              <w:rPr>
                <w:rFonts w:ascii="宋体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仿宋_GB2312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</w:tbl>
    <w:p w:rsidR="00285128" w:rsidRDefault="00285128">
      <w:pPr>
        <w:widowControl/>
        <w:shd w:val="clear" w:color="auto" w:fill="FFFFFF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285128" w:rsidRDefault="005E6DDD">
      <w:pPr>
        <w:widowControl/>
        <w:shd w:val="clear" w:color="auto" w:fill="FFFFFF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五、存在的主要问题及改进情况</w:t>
      </w:r>
    </w:p>
    <w:p w:rsidR="00285128" w:rsidRDefault="005E6DDD">
      <w:pPr>
        <w:widowControl/>
        <w:shd w:val="clear" w:color="auto" w:fill="FFFFFF"/>
        <w:ind w:firstLineChars="200" w:firstLine="640"/>
        <w:rPr>
          <w:rFonts w:ascii="楷体" w:eastAsia="楷体" w:hAnsi="楷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楷体" w:eastAsia="楷体" w:hAnsi="楷体" w:cs="宋体" w:hint="eastAsia"/>
          <w:color w:val="000000"/>
          <w:kern w:val="0"/>
          <w:sz w:val="32"/>
          <w:szCs w:val="32"/>
          <w:shd w:val="clear" w:color="auto" w:fill="FFFFFF"/>
        </w:rPr>
        <w:t>（一）上一年度存在问题及改进情况。</w:t>
      </w:r>
    </w:p>
    <w:p w:rsidR="00285128" w:rsidRDefault="005E6DDD">
      <w:pPr>
        <w:widowControl/>
        <w:shd w:val="clear" w:color="auto" w:fill="FFFFFF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上一年度存在问题：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一是未通过意见征集库进行社会意见征集。二是政策解读形式较单一。</w:t>
      </w:r>
    </w:p>
    <w:p w:rsidR="00285128" w:rsidRDefault="005E6DDD">
      <w:pPr>
        <w:widowControl/>
        <w:shd w:val="clear" w:color="auto" w:fill="FFFFFF"/>
        <w:ind w:firstLineChars="200" w:firstLine="643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改进情况：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一是今年通过意见征集库面向社会公开征集舒城县文化馆LOGO，取得良好效果。二是着力丰富政策解读形式，除了文字解读外，本年度还增加了新闻发布会、视频解读等群众喜闻乐见的解读方式。</w:t>
      </w:r>
    </w:p>
    <w:p w:rsidR="00285128" w:rsidRDefault="005E6DDD">
      <w:pPr>
        <w:widowControl/>
        <w:shd w:val="clear" w:color="auto" w:fill="FFFFFF"/>
        <w:ind w:firstLineChars="200" w:firstLine="640"/>
        <w:rPr>
          <w:rFonts w:ascii="楷体" w:eastAsia="楷体" w:hAnsi="楷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楷体" w:eastAsia="楷体" w:hAnsi="楷体" w:cs="宋体" w:hint="eastAsia"/>
          <w:color w:val="000000"/>
          <w:kern w:val="0"/>
          <w:sz w:val="32"/>
          <w:szCs w:val="32"/>
          <w:shd w:val="clear" w:color="auto" w:fill="FFFFFF"/>
        </w:rPr>
        <w:t>（二）本年度存在的主要问题及下一步打算。</w:t>
      </w:r>
    </w:p>
    <w:p w:rsidR="00285128" w:rsidRDefault="005E6DDD">
      <w:pPr>
        <w:widowControl/>
        <w:shd w:val="clear" w:color="auto" w:fill="FFFFFF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存在问题：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一是政策性内容发布较少，解读质量不高。二是政府信息公开渠道单一。</w:t>
      </w:r>
    </w:p>
    <w:p w:rsidR="00285128" w:rsidRDefault="005E6DDD">
      <w:pPr>
        <w:widowControl/>
        <w:shd w:val="clear" w:color="auto" w:fill="FFFFFF"/>
        <w:ind w:firstLineChars="200" w:firstLine="643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下一步打算：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一是聚焦公共文化服务、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文旅消费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、市场监管、行政权力运行等领域，提高相关政策发布的数量和解读回应实效，全面提升政务公开质量和实效。二是加强政府信息平台建设，进一步发挥“舒城县图书馆”“舒城县文化馆”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微信公众号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等新媒体作用，精准推送群众文化、活动预告、阅读推广、各类惠民政策等广大群众密切关注的热点信息。</w:t>
      </w:r>
    </w:p>
    <w:p w:rsidR="00285128" w:rsidRDefault="005E6DDD">
      <w:pPr>
        <w:widowControl/>
        <w:shd w:val="clear" w:color="auto" w:fill="FFFFFF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六、其他需要报告的事项</w:t>
      </w:r>
    </w:p>
    <w:p w:rsidR="00285128" w:rsidRDefault="005E6DDD">
      <w:pPr>
        <w:widowControl/>
        <w:shd w:val="clear" w:color="auto" w:fill="FFFFFF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按照《国务院办公厅关于印发〈政府信息公开信息处理费管理办法〉的通知》（国办函〔2020〕109号）规定的按件、按量收费标准，本年度没有产生信息公开处理费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”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。</w:t>
      </w:r>
    </w:p>
    <w:p w:rsidR="0029438E" w:rsidRDefault="0029438E">
      <w:pPr>
        <w:widowControl/>
        <w:shd w:val="clear" w:color="auto" w:fill="FFFFFF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</w:p>
    <w:p w:rsidR="0029438E" w:rsidRDefault="0029438E" w:rsidP="0029438E">
      <w:pPr>
        <w:widowControl/>
        <w:shd w:val="clear" w:color="auto" w:fill="FFFFFF"/>
        <w:ind w:rightChars="400" w:right="840" w:firstLineChars="200" w:firstLine="64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舒城县文化旅游体育局</w:t>
      </w:r>
    </w:p>
    <w:p w:rsidR="0029438E" w:rsidRDefault="0029438E" w:rsidP="0029438E">
      <w:pPr>
        <w:widowControl/>
        <w:shd w:val="clear" w:color="auto" w:fill="FFFFFF"/>
        <w:wordWrap w:val="0"/>
        <w:ind w:rightChars="400" w:right="840" w:firstLineChars="200" w:firstLine="640"/>
        <w:jc w:val="righ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2024年1月22日  </w:t>
      </w:r>
    </w:p>
    <w:p w:rsidR="00285128" w:rsidRDefault="00285128">
      <w:pPr>
        <w:rPr>
          <w:rFonts w:ascii="仿宋_GB2312" w:eastAsia="仿宋_GB2312" w:hAnsi="Calibri" w:cs="Times New Roman"/>
          <w:sz w:val="32"/>
          <w:szCs w:val="32"/>
        </w:rPr>
      </w:pPr>
    </w:p>
    <w:p w:rsidR="00285128" w:rsidRDefault="00285128">
      <w:pPr>
        <w:rPr>
          <w:rFonts w:ascii="仿宋_GB2312" w:eastAsia="仿宋_GB2312"/>
          <w:sz w:val="32"/>
          <w:szCs w:val="32"/>
        </w:rPr>
      </w:pPr>
    </w:p>
    <w:p w:rsidR="00285128" w:rsidRDefault="00285128"/>
    <w:sectPr w:rsidR="00285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434" w:rsidRDefault="007F4434" w:rsidP="008609C8">
      <w:r>
        <w:separator/>
      </w:r>
    </w:p>
  </w:endnote>
  <w:endnote w:type="continuationSeparator" w:id="0">
    <w:p w:rsidR="007F4434" w:rsidRDefault="007F4434" w:rsidP="0086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434" w:rsidRDefault="007F4434" w:rsidP="008609C8">
      <w:r>
        <w:separator/>
      </w:r>
    </w:p>
  </w:footnote>
  <w:footnote w:type="continuationSeparator" w:id="0">
    <w:p w:rsidR="007F4434" w:rsidRDefault="007F4434" w:rsidP="00860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28"/>
    <w:rsid w:val="00285128"/>
    <w:rsid w:val="0029438E"/>
    <w:rsid w:val="005E6DDD"/>
    <w:rsid w:val="007F4434"/>
    <w:rsid w:val="008609C8"/>
    <w:rsid w:val="00CC7052"/>
    <w:rsid w:val="00E0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3">
    <w:name w:val="header"/>
    <w:basedOn w:val="a"/>
    <w:link w:val="Char"/>
    <w:uiPriority w:val="99"/>
    <w:unhideWhenUsed/>
    <w:rsid w:val="00860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9C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9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9C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3">
    <w:name w:val="header"/>
    <w:basedOn w:val="a"/>
    <w:link w:val="Char"/>
    <w:uiPriority w:val="99"/>
    <w:unhideWhenUsed/>
    <w:rsid w:val="00860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9C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9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9C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473</Words>
  <Characters>2702</Characters>
  <Application>Microsoft Office Word</Application>
  <DocSecurity>0</DocSecurity>
  <Lines>22</Lines>
  <Paragraphs>6</Paragraphs>
  <ScaleCrop>false</ScaleCrop>
  <Company>China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陶慧芳</dc:creator>
  <cp:lastModifiedBy>陶慧芳</cp:lastModifiedBy>
  <cp:revision>18</cp:revision>
  <dcterms:created xsi:type="dcterms:W3CDTF">2024-01-20T23:14:00Z</dcterms:created>
  <dcterms:modified xsi:type="dcterms:W3CDTF">2024-02-26T00:37:00Z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2052-12.8.1</vt:lpwstr>
  </property>
  <property fmtid="{D5CDD505-2E9C-101B-9397-08002B2CF9AE}" pid="3" name="ICV">
    <vt:lpwstr>F18154AFE9314489B523608055814A08</vt:lpwstr>
  </property>
</Properties>
</file>