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rPr>
          <w:rFonts w:ascii="Times New Roman" w:hAnsi="Times New Roman" w:eastAsia="仿宋_GB2312" w:cs="Times New Roman"/>
          <w:color w:val="000000"/>
          <w:kern w:val="0"/>
          <w:sz w:val="24"/>
          <w:szCs w:val="32"/>
          <w:shd w:val="clear" w:color="auto" w:fill="auto"/>
        </w:rPr>
      </w:pPr>
    </w:p>
    <w:p>
      <w:pPr>
        <w:widowControl/>
        <w:shd w:val="clear" w:color="auto" w:fill="FFFFFF"/>
        <w:jc w:val="center"/>
        <w:rPr>
          <w:rFonts w:ascii="Times New Roman" w:hAnsi="Times New Roman" w:eastAsia="方正小标宋简体" w:cs="Times New Roman"/>
          <w:color w:val="000000"/>
          <w:kern w:val="0"/>
          <w:sz w:val="44"/>
          <w:szCs w:val="44"/>
          <w:shd w:val="clear" w:color="auto" w:fill="auto"/>
        </w:rPr>
      </w:pPr>
      <w:r>
        <w:rPr>
          <w:rFonts w:hint="eastAsia" w:ascii="Times New Roman" w:hAnsi="Times New Roman" w:eastAsia="方正小标宋简体" w:cs="Times New Roman"/>
          <w:color w:val="000000"/>
          <w:kern w:val="0"/>
          <w:sz w:val="44"/>
          <w:szCs w:val="44"/>
          <w:shd w:val="clear" w:color="auto" w:fill="auto"/>
          <w:lang w:val="en-US" w:eastAsia="zh-CN"/>
        </w:rPr>
        <w:t>舒城县经济与信息化局2023年</w:t>
      </w:r>
      <w:r>
        <w:rPr>
          <w:rFonts w:ascii="Times New Roman" w:hAnsi="Times New Roman" w:eastAsia="方正小标宋简体" w:cs="Times New Roman"/>
          <w:color w:val="000000"/>
          <w:kern w:val="0"/>
          <w:sz w:val="44"/>
          <w:szCs w:val="44"/>
          <w:shd w:val="clear" w:color="auto" w:fill="auto"/>
        </w:rPr>
        <w:t>政府信息公开工作年度报告</w:t>
      </w:r>
    </w:p>
    <w:p>
      <w:pPr>
        <w:widowControl/>
        <w:shd w:val="clear" w:color="auto" w:fill="FFFFFF"/>
        <w:ind w:firstLine="480"/>
        <w:rPr>
          <w:rFonts w:ascii="Times New Roman" w:hAnsi="Times New Roman" w:eastAsia="仿宋_GB2312" w:cs="Times New Roman"/>
          <w:color w:val="000000"/>
          <w:kern w:val="0"/>
          <w:sz w:val="24"/>
          <w:szCs w:val="32"/>
          <w:shd w:val="clear" w:color="auto" w:fill="auto"/>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shd w:val="clear" w:color="auto" w:fill="auto"/>
          <w:lang w:val="en-US" w:eastAsia="zh-CN"/>
        </w:rPr>
      </w:pPr>
      <w:r>
        <w:rPr>
          <w:rFonts w:hint="eastAsia" w:ascii="仿宋_GB2312" w:hAnsi="仿宋_GB2312" w:eastAsia="仿宋_GB2312" w:cs="仿宋_GB2312"/>
          <w:sz w:val="32"/>
          <w:szCs w:val="32"/>
          <w:highlight w:val="none"/>
          <w:shd w:val="clear" w:color="auto" w:fill="auto"/>
          <w:lang w:val="en-US" w:eastAsia="zh-CN"/>
        </w:rPr>
        <w:t>根据《中华人民共和国政府信息公开条例》（国务院令第711号）规定和《国务院办公厅政府信息与政务公开办公室关于印发&lt;中华人民共和国政府信息公开工作年度报告格式&gt;的通知》（国办公开办函〔2021〕30号）要求，现公布我局2023年度政府信息公开工作年度报告。报告所列数据统计期限为2023年1月1日至2023年12月31日。如对本报告有任何疑问，请与舒城县经济和信息化局政务公开办联系（地址：舒城县城关镇花桥路司法局四楼政务公开办，电话：0564-8660967，邮编：231300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shd w:val="clear" w:color="auto" w:fill="auto"/>
          <w:lang w:val="en-US" w:eastAsia="zh-CN"/>
        </w:rPr>
      </w:pPr>
      <w:r>
        <w:rPr>
          <w:rFonts w:hint="eastAsia" w:ascii="仿宋_GB2312" w:hAnsi="仿宋_GB2312" w:eastAsia="仿宋_GB2312" w:cs="仿宋_GB2312"/>
          <w:sz w:val="32"/>
          <w:szCs w:val="32"/>
          <w:highlight w:val="none"/>
          <w:shd w:val="clear" w:color="auto" w:fill="auto"/>
          <w:lang w:val="en-US" w:eastAsia="zh-CN"/>
        </w:rPr>
        <w:t>一、总体情况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shd w:val="clear" w:color="auto" w:fill="auto"/>
          <w:lang w:val="en-US" w:eastAsia="zh-CN"/>
        </w:rPr>
      </w:pPr>
      <w:r>
        <w:rPr>
          <w:rFonts w:hint="eastAsia" w:ascii="仿宋_GB2312" w:hAnsi="仿宋_GB2312" w:eastAsia="仿宋_GB2312" w:cs="仿宋_GB2312"/>
          <w:sz w:val="32"/>
          <w:szCs w:val="32"/>
          <w:highlight w:val="none"/>
          <w:shd w:val="clear" w:color="auto" w:fill="auto"/>
          <w:lang w:val="en-US" w:eastAsia="zh-CN"/>
        </w:rPr>
        <w:t>2023年度我局认真贯彻落实《中华人民共和国政府信息公开条例》（以下简称《条例》）精神，按照市政府信息公开工作安排以及依法行政有关要求，以深化公开内容为核心，聚焦重点、强化基础，充分运用政府门户网站，主动向社会公布各类政府信息，及时对网站进行全面梳理，进一步完善公开办事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highlight w:val="none"/>
          <w:shd w:val="clear" w:color="auto" w:fill="auto"/>
          <w:lang w:val="en-US" w:eastAsia="zh-CN"/>
        </w:rPr>
      </w:pPr>
      <w:r>
        <w:rPr>
          <w:rFonts w:hint="eastAsia" w:ascii="仿宋_GB2312" w:hAnsi="仿宋_GB2312" w:eastAsia="仿宋_GB2312" w:cs="仿宋_GB2312"/>
          <w:sz w:val="32"/>
          <w:szCs w:val="32"/>
          <w:highlight w:val="none"/>
          <w:shd w:val="clear" w:color="auto" w:fill="auto"/>
          <w:lang w:val="en-US" w:eastAsia="zh-CN"/>
        </w:rPr>
        <w:t>（一）主动公开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shd w:val="clear" w:color="auto" w:fill="auto"/>
          <w:lang w:val="en-US" w:eastAsia="zh-CN"/>
        </w:rPr>
      </w:pPr>
      <w:r>
        <w:rPr>
          <w:rFonts w:hint="eastAsia" w:ascii="仿宋_GB2312" w:hAnsi="仿宋_GB2312" w:eastAsia="仿宋_GB2312" w:cs="仿宋_GB2312"/>
          <w:sz w:val="32"/>
          <w:szCs w:val="32"/>
          <w:highlight w:val="none"/>
          <w:shd w:val="clear" w:color="auto" w:fill="auto"/>
          <w:lang w:val="en-US" w:eastAsia="zh-CN"/>
        </w:rPr>
        <w:t xml:space="preserve"> 本年度，我局及时发布税费优惠政策和申领办理规程，通知企业第一时间来我局办理相关手续，确保资金及时发放；及时与电保办和电力公司对接，及时公开电力设施的相关施工的行政许可。我局共公开发布400条信息，其中召开新闻发布会1次，解读《中共舒城县委办公室舒城县人民政府办公室关于促进工业和民营经济高质量发展的十项措施（试行）》；公开2023年安徽省专精特新中小企业认定、安徽工业精品遴选的通知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highlight w:val="none"/>
          <w:shd w:val="clear" w:color="auto" w:fill="auto"/>
          <w:lang w:val="en-US" w:eastAsia="zh-CN"/>
        </w:rPr>
      </w:pPr>
      <w:r>
        <w:rPr>
          <w:rFonts w:hint="eastAsia" w:ascii="仿宋_GB2312" w:hAnsi="仿宋_GB2312" w:eastAsia="仿宋_GB2312" w:cs="仿宋_GB2312"/>
          <w:sz w:val="32"/>
          <w:szCs w:val="32"/>
          <w:highlight w:val="none"/>
          <w:shd w:val="clear" w:color="auto" w:fill="auto"/>
          <w:lang w:val="en-US" w:eastAsia="zh-CN"/>
        </w:rPr>
        <w:t>（二）依申请公开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highlight w:val="none"/>
          <w:shd w:val="clear" w:color="auto" w:fill="auto"/>
          <w:lang w:val="en-US" w:eastAsia="zh-CN"/>
        </w:rPr>
      </w:pPr>
      <w:bookmarkStart w:id="0" w:name="_GoBack"/>
      <w:bookmarkEnd w:id="0"/>
      <w:r>
        <w:rPr>
          <w:rFonts w:hint="eastAsia" w:ascii="仿宋_GB2312" w:hAnsi="仿宋_GB2312" w:eastAsia="仿宋_GB2312" w:cs="仿宋_GB2312"/>
          <w:sz w:val="32"/>
          <w:szCs w:val="32"/>
          <w:highlight w:val="none"/>
          <w:shd w:val="clear" w:color="auto" w:fill="auto"/>
          <w:lang w:val="en-US" w:eastAsia="zh-CN"/>
        </w:rPr>
        <w:t>2023年度我局收到公开申请共1件（网络渠道申请1件），并按照要求落实依公开申请登记、审核、办理、答复、归档等工作。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highlight w:val="none"/>
          <w:shd w:val="clear" w:color="auto" w:fill="auto"/>
          <w:lang w:val="en-US" w:eastAsia="zh-CN"/>
        </w:rPr>
      </w:pPr>
      <w:r>
        <w:rPr>
          <w:rFonts w:hint="eastAsia" w:ascii="仿宋_GB2312" w:hAnsi="仿宋_GB2312" w:eastAsia="仿宋_GB2312" w:cs="仿宋_GB2312"/>
          <w:sz w:val="32"/>
          <w:szCs w:val="32"/>
          <w:highlight w:val="none"/>
          <w:shd w:val="clear" w:color="auto" w:fill="auto"/>
          <w:lang w:val="en-US" w:eastAsia="zh-CN"/>
        </w:rPr>
        <w:t>（三）政府信息管理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shd w:val="clear" w:color="auto" w:fill="auto"/>
          <w:lang w:val="en-US" w:eastAsia="zh-CN"/>
        </w:rPr>
      </w:pPr>
      <w:r>
        <w:rPr>
          <w:rFonts w:hint="eastAsia" w:ascii="仿宋_GB2312" w:hAnsi="仿宋_GB2312" w:eastAsia="仿宋_GB2312" w:cs="仿宋_GB2312"/>
          <w:sz w:val="32"/>
          <w:szCs w:val="32"/>
          <w:highlight w:val="none"/>
          <w:shd w:val="clear" w:color="auto" w:fill="auto"/>
          <w:lang w:val="en-US" w:eastAsia="zh-CN"/>
        </w:rPr>
        <w:t>根据安徽省政府政务公开办的文件最新发布格式要求，调整已发布的规范性文件格式，完成规范性文件格式调整6件。根据政务公开办权力责任清单要求，新增行政确认栏目。严格落实信息公开审核制度，规范公开流程，充分保证了信息发布的全面性、准确性和规范性。做好隐私排查、错敏词排查工作。信息发布严格执行“三审三校”“先审后发”机制，有效地促进了政务公开工作的顺利开展。</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shd w:val="clear" w:color="auto" w:fill="auto"/>
          <w:lang w:val="en-US" w:eastAsia="zh-CN"/>
        </w:rPr>
      </w:pPr>
      <w:r>
        <w:rPr>
          <w:rFonts w:hint="eastAsia" w:ascii="仿宋_GB2312" w:hAnsi="仿宋_GB2312" w:eastAsia="仿宋_GB2312" w:cs="仿宋_GB2312"/>
          <w:sz w:val="32"/>
          <w:szCs w:val="32"/>
          <w:highlight w:val="none"/>
          <w:shd w:val="clear" w:color="auto" w:fill="auto"/>
          <w:lang w:val="en-US" w:eastAsia="zh-CN"/>
        </w:rPr>
        <w:t>政府信息公开平台建设</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highlight w:val="none"/>
          <w:shd w:val="clear" w:color="auto" w:fill="auto"/>
          <w:lang w:val="en-US" w:eastAsia="zh-CN"/>
        </w:rPr>
      </w:pPr>
      <w:r>
        <w:rPr>
          <w:rFonts w:hint="eastAsia" w:ascii="仿宋_GB2312" w:hAnsi="仿宋_GB2312" w:eastAsia="仿宋_GB2312" w:cs="仿宋_GB2312"/>
          <w:sz w:val="32"/>
          <w:szCs w:val="32"/>
          <w:highlight w:val="none"/>
          <w:shd w:val="clear" w:color="auto" w:fill="auto"/>
          <w:lang w:val="en-US" w:eastAsia="zh-CN"/>
        </w:rPr>
        <w:t>本年度我局严格按照政务公开办要求及时调整信息公开目录体系，进一步完善政府信息公开平台栏目设置。定期对网站信息公开情况进行自查，落实隐私排查工作；2023年我局收到市长热线转接的信息共56条，其中满意55条，不满意1条，满意度为98%。</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highlight w:val="none"/>
          <w:shd w:val="clear" w:color="auto" w:fill="auto"/>
          <w:lang w:val="en-US" w:eastAsia="zh-CN"/>
        </w:rPr>
      </w:pPr>
      <w:r>
        <w:rPr>
          <w:rFonts w:hint="eastAsia" w:ascii="仿宋_GB2312" w:hAnsi="仿宋_GB2312" w:eastAsia="仿宋_GB2312" w:cs="仿宋_GB2312"/>
          <w:sz w:val="32"/>
          <w:szCs w:val="32"/>
          <w:highlight w:val="none"/>
          <w:shd w:val="clear" w:color="auto" w:fill="auto"/>
          <w:lang w:val="en-US" w:eastAsia="zh-CN"/>
        </w:rPr>
        <w:t>（五）监督保障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highlight w:val="none"/>
          <w:shd w:val="clear" w:color="auto" w:fill="auto"/>
          <w:lang w:val="en-US" w:eastAsia="zh-CN"/>
        </w:rPr>
      </w:pPr>
      <w:r>
        <w:rPr>
          <w:rFonts w:hint="eastAsia" w:ascii="仿宋_GB2312" w:hAnsi="仿宋_GB2312" w:eastAsia="仿宋_GB2312" w:cs="仿宋_GB2312"/>
          <w:sz w:val="32"/>
          <w:szCs w:val="32"/>
          <w:highlight w:val="none"/>
          <w:shd w:val="clear" w:color="auto" w:fill="auto"/>
          <w:lang w:val="en-US" w:eastAsia="zh-CN"/>
        </w:rPr>
        <w:t>2023年，我局将政府信息公开工作纳入局机关各股室年度工作考核，及时整改政务公开办反馈的月度、季度问题清单，日常及时更新信息；并且积极参加政务公开办举行的工作培训，提升业务水平；同时完善社会评议制度，公开监督渠道和监督机制，向社会公开举报电话，接受群众和社会的监督，促进政府信息公开工作常态化、制度化、规范化，确保政府信息公开有关部署和要求得到有效落实。</w:t>
      </w:r>
    </w:p>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eastAsia="仿宋_GB2312" w:cs="Times New Roman"/>
          <w:color w:val="000000"/>
          <w:kern w:val="0"/>
          <w:sz w:val="24"/>
          <w:szCs w:val="32"/>
          <w:highlight w:val="yellow"/>
          <w:shd w:val="clear" w:color="auto" w:fill="auto"/>
          <w:lang w:val="en-US" w:eastAsia="zh-CN"/>
        </w:rPr>
      </w:pPr>
    </w:p>
    <w:p>
      <w:pPr>
        <w:widowControl/>
        <w:shd w:val="clear" w:color="auto" w:fill="FFFFFF"/>
        <w:ind w:firstLine="480"/>
        <w:rPr>
          <w:rFonts w:ascii="Times New Roman" w:hAnsi="Times New Roman" w:eastAsia="仿宋_GB2312" w:cs="Times New Roman"/>
          <w:color w:val="000000"/>
          <w:kern w:val="0"/>
          <w:sz w:val="24"/>
          <w:szCs w:val="32"/>
          <w:highlight w:val="yellow"/>
          <w:shd w:val="clear" w:color="auto" w:fill="auto"/>
        </w:rPr>
      </w:pPr>
    </w:p>
    <w:p>
      <w:pPr>
        <w:widowControl/>
        <w:shd w:val="clear" w:color="auto" w:fill="FFFFFF"/>
        <w:spacing w:before="0" w:beforeAutospacing="0" w:after="0" w:afterAutospacing="0"/>
        <w:ind w:firstLine="420"/>
        <w:jc w:val="both"/>
        <w:rPr>
          <w:rFonts w:ascii="宋体" w:hAnsi="宋体" w:eastAsia="宋体" w:cs="宋体"/>
          <w:color w:val="000000"/>
          <w:kern w:val="0"/>
          <w:sz w:val="32"/>
          <w:szCs w:val="32"/>
          <w:shd w:val="clear" w:color="auto" w:fill="auto"/>
          <w:lang w:val="en-US" w:eastAsia="zh-CN" w:bidi="ar-SA"/>
        </w:rPr>
      </w:pPr>
      <w:r>
        <w:rPr>
          <w:rFonts w:hint="eastAsia" w:ascii="宋体" w:hAnsi="宋体" w:eastAsia="宋体" w:cs="宋体"/>
          <w:b/>
          <w:color w:val="000000"/>
          <w:kern w:val="0"/>
          <w:sz w:val="32"/>
          <w:szCs w:val="32"/>
          <w:shd w:val="clear" w:color="auto" w:fill="auto"/>
          <w:lang w:val="en-US" w:eastAsia="zh-CN" w:bidi="ar-SA"/>
        </w:rPr>
        <w:t>二、主动公开政府信息情况</w:t>
      </w:r>
    </w:p>
    <w:tbl>
      <w:tblPr>
        <w:tblStyle w:val="4"/>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信息内容</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本年制发件数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本年废止件数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现行有效件数</w:t>
            </w:r>
          </w:p>
        </w:tc>
      </w:tr>
      <w:tr>
        <w:tblPrEx>
          <w:tblCellMar>
            <w:top w:w="0" w:type="dxa"/>
            <w:left w:w="0" w:type="dxa"/>
            <w:bottom w:w="0" w:type="dxa"/>
            <w:right w:w="0" w:type="dxa"/>
          </w:tblCellMar>
        </w:tblPrEx>
        <w:trPr>
          <w:trHeight w:val="459"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宋体" w:hAnsi="宋体" w:eastAsia="宋体" w:cs="宋体"/>
                <w:color w:val="000000"/>
                <w:kern w:val="0"/>
                <w:sz w:val="20"/>
                <w:szCs w:val="20"/>
                <w:shd w:val="clear" w:color="auto" w:fill="auto"/>
              </w:rPr>
            </w:pPr>
            <w:r>
              <w:rPr>
                <w:rFonts w:hint="eastAsia" w:ascii="宋体" w:hAnsi="宋体" w:eastAsia="宋体" w:cs="宋体"/>
                <w:color w:val="000000"/>
                <w:kern w:val="0"/>
                <w:sz w:val="20"/>
                <w:szCs w:val="20"/>
                <w:shd w:val="clear" w:color="auto" w:fill="auto"/>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shd w:val="clear" w:color="auto" w:fill="auto"/>
              </w:rPr>
            </w:pPr>
            <w:r>
              <w:rPr>
                <w:rFonts w:hint="eastAsia" w:ascii="宋体" w:hAnsi="宋体" w:eastAsia="宋体" w:cs="宋体"/>
                <w:color w:val="000000"/>
                <w:kern w:val="0"/>
                <w:sz w:val="20"/>
                <w:szCs w:val="20"/>
                <w:shd w:val="clear" w:color="auto" w:fill="auto"/>
                <w:lang w:val="en-US" w:eastAsia="zh-CN"/>
              </w:rPr>
              <w:t>0</w:t>
            </w:r>
            <w:r>
              <w:rPr>
                <w:rFonts w:hint="eastAsia" w:ascii="宋体" w:hAnsi="宋体" w:eastAsia="宋体" w:cs="宋体"/>
                <w:color w:val="000000"/>
                <w:kern w:val="0"/>
                <w:sz w:val="20"/>
                <w:szCs w:val="20"/>
                <w:shd w:val="clear" w:color="auto" w:fill="auto"/>
              </w:rPr>
              <w:t>　　</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shd w:val="clear" w:color="auto" w:fill="auto"/>
              </w:rPr>
            </w:pPr>
            <w:r>
              <w:rPr>
                <w:rFonts w:hint="eastAsia" w:ascii="宋体" w:hAnsi="宋体" w:eastAsia="宋体" w:cs="宋体"/>
                <w:color w:val="000000"/>
                <w:kern w:val="0"/>
                <w:sz w:val="20"/>
                <w:szCs w:val="20"/>
                <w:shd w:val="clear" w:color="auto" w:fill="auto"/>
              </w:rPr>
              <w:t> </w:t>
            </w:r>
            <w:r>
              <w:rPr>
                <w:rFonts w:hint="eastAsia" w:ascii="宋体" w:hAnsi="宋体" w:eastAsia="宋体" w:cs="宋体"/>
                <w:color w:val="000000"/>
                <w:kern w:val="0"/>
                <w:sz w:val="20"/>
                <w:szCs w:val="20"/>
                <w:shd w:val="clear" w:color="auto" w:fill="auto"/>
                <w:lang w:val="en-US" w:eastAsia="zh-CN"/>
              </w:rPr>
              <w:t>0</w:t>
            </w:r>
            <w:r>
              <w:rPr>
                <w:rFonts w:hint="eastAsia" w:ascii="宋体" w:hAnsi="宋体" w:eastAsia="宋体" w:cs="宋体"/>
                <w:color w:val="000000"/>
                <w:kern w:val="0"/>
                <w:sz w:val="20"/>
                <w:szCs w:val="20"/>
                <w:shd w:val="clear" w:color="auto" w:fill="auto"/>
              </w:rPr>
              <w:t>　</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shd w:val="clear" w:color="auto" w:fill="auto"/>
              </w:rPr>
            </w:pPr>
            <w:r>
              <w:rPr>
                <w:rFonts w:hint="eastAsia" w:ascii="宋体" w:hAnsi="宋体" w:eastAsia="宋体" w:cs="宋体"/>
                <w:color w:val="000000"/>
                <w:kern w:val="0"/>
                <w:sz w:val="20"/>
                <w:szCs w:val="20"/>
                <w:shd w:val="clear" w:color="auto" w:fill="auto"/>
                <w:lang w:val="en-US" w:eastAsia="zh-CN"/>
              </w:rPr>
              <w:t>0</w:t>
            </w:r>
            <w:r>
              <w:rPr>
                <w:rFonts w:hint="eastAsia" w:ascii="宋体" w:hAnsi="宋体" w:eastAsia="宋体" w:cs="宋体"/>
                <w:color w:val="000000"/>
                <w:kern w:val="0"/>
                <w:sz w:val="20"/>
                <w:szCs w:val="20"/>
                <w:shd w:val="clear" w:color="auto" w:fill="auto"/>
              </w:rPr>
              <w:t> </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宋体" w:hAnsi="宋体" w:eastAsia="宋体" w:cs="宋体"/>
                <w:color w:val="000000"/>
                <w:kern w:val="0"/>
                <w:sz w:val="20"/>
                <w:szCs w:val="20"/>
                <w:shd w:val="clear" w:color="auto" w:fill="auto"/>
              </w:rPr>
            </w:pPr>
            <w:r>
              <w:rPr>
                <w:rFonts w:hint="eastAsia" w:ascii="宋体" w:hAnsi="宋体" w:eastAsia="宋体" w:cs="宋体"/>
                <w:color w:val="000000"/>
                <w:kern w:val="0"/>
                <w:sz w:val="20"/>
                <w:szCs w:val="20"/>
                <w:shd w:val="clear" w:color="auto" w:fill="auto"/>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shd w:val="clear" w:color="auto" w:fill="auto"/>
              </w:rPr>
            </w:pPr>
            <w:r>
              <w:rPr>
                <w:rFonts w:hint="eastAsia" w:ascii="宋体" w:hAnsi="宋体" w:eastAsia="宋体" w:cs="宋体"/>
                <w:color w:val="000000"/>
                <w:kern w:val="0"/>
                <w:sz w:val="20"/>
                <w:szCs w:val="20"/>
                <w:shd w:val="clear" w:color="auto" w:fill="auto"/>
                <w:lang w:val="en-US" w:eastAsia="zh-CN"/>
              </w:rPr>
              <w:t>0</w:t>
            </w:r>
            <w:r>
              <w:rPr>
                <w:rFonts w:hint="eastAsia" w:ascii="宋体" w:hAnsi="宋体" w:eastAsia="宋体" w:cs="宋体"/>
                <w:color w:val="000000"/>
                <w:kern w:val="0"/>
                <w:sz w:val="20"/>
                <w:szCs w:val="20"/>
                <w:shd w:val="clear" w:color="auto" w:fill="auto"/>
              </w:rPr>
              <w:t>　　</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shd w:val="clear" w:color="auto" w:fill="auto"/>
              </w:rPr>
            </w:pPr>
            <w:r>
              <w:rPr>
                <w:rFonts w:hint="eastAsia" w:ascii="宋体" w:hAnsi="宋体" w:eastAsia="宋体" w:cs="宋体"/>
                <w:color w:val="000000"/>
                <w:kern w:val="0"/>
                <w:sz w:val="20"/>
                <w:szCs w:val="20"/>
                <w:shd w:val="clear" w:color="auto" w:fill="auto"/>
              </w:rPr>
              <w:t> </w:t>
            </w:r>
            <w:r>
              <w:rPr>
                <w:rFonts w:hint="eastAsia" w:ascii="宋体" w:hAnsi="宋体" w:eastAsia="宋体" w:cs="宋体"/>
                <w:color w:val="000000"/>
                <w:kern w:val="0"/>
                <w:sz w:val="20"/>
                <w:szCs w:val="20"/>
                <w:shd w:val="clear" w:color="auto" w:fill="auto"/>
                <w:lang w:val="en-US" w:eastAsia="zh-CN"/>
              </w:rPr>
              <w:t>0</w:t>
            </w:r>
            <w:r>
              <w:rPr>
                <w:rFonts w:hint="eastAsia" w:ascii="宋体" w:hAnsi="宋体" w:eastAsia="宋体" w:cs="宋体"/>
                <w:color w:val="000000"/>
                <w:kern w:val="0"/>
                <w:sz w:val="20"/>
                <w:szCs w:val="20"/>
                <w:shd w:val="clear" w:color="auto" w:fill="auto"/>
              </w:rPr>
              <w:t>　</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shd w:val="clear" w:color="auto" w:fill="auto"/>
              </w:rPr>
            </w:pPr>
            <w:r>
              <w:rPr>
                <w:rFonts w:hint="eastAsia" w:ascii="宋体" w:hAnsi="宋体" w:eastAsia="宋体" w:cs="宋体"/>
                <w:color w:val="000000"/>
                <w:kern w:val="0"/>
                <w:sz w:val="20"/>
                <w:szCs w:val="20"/>
                <w:shd w:val="clear" w:color="auto" w:fill="auto"/>
                <w:lang w:val="en-US" w:eastAsia="zh-CN"/>
              </w:rPr>
              <w:t>0</w:t>
            </w:r>
            <w:r>
              <w:rPr>
                <w:rFonts w:ascii="宋体" w:hAnsi="宋体" w:eastAsia="宋体" w:cs="宋体"/>
                <w:color w:val="000000"/>
                <w:kern w:val="0"/>
                <w:sz w:val="20"/>
                <w:szCs w:val="20"/>
                <w:shd w:val="clear" w:color="auto" w:fill="auto"/>
              </w:rPr>
              <w:t> </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信息内容</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1"/>
                <w:szCs w:val="21"/>
                <w:shd w:val="clear" w:color="auto" w:fill="auto"/>
                <w:lang w:val="en-US" w:eastAsia="zh-CN"/>
              </w:rPr>
              <w:t>8</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信息内容</w:t>
            </w:r>
          </w:p>
        </w:tc>
        <w:tc>
          <w:tcPr>
            <w:tcW w:w="7305" w:type="dxa"/>
            <w:gridSpan w:val="3"/>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本年处理决定数量</w:t>
            </w:r>
          </w:p>
        </w:tc>
      </w:tr>
      <w:tr>
        <w:tblPrEx>
          <w:tblCellMar>
            <w:top w:w="0" w:type="dxa"/>
            <w:left w:w="0" w:type="dxa"/>
            <w:bottom w:w="0" w:type="dxa"/>
            <w:right w:w="0" w:type="dxa"/>
          </w:tblCellMar>
        </w:tblPrEx>
        <w:trPr>
          <w:trHeight w:val="414"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宋体" w:hAnsi="宋体" w:eastAsia="宋体" w:cs="宋体"/>
                <w:color w:val="000000"/>
                <w:kern w:val="0"/>
                <w:sz w:val="20"/>
                <w:szCs w:val="20"/>
                <w:shd w:val="clear" w:color="auto" w:fill="auto"/>
              </w:rPr>
            </w:pPr>
            <w:r>
              <w:rPr>
                <w:rFonts w:hint="eastAsia" w:ascii="宋体" w:hAnsi="宋体" w:eastAsia="宋体" w:cs="宋体"/>
                <w:color w:val="000000"/>
                <w:kern w:val="0"/>
                <w:sz w:val="20"/>
                <w:szCs w:val="20"/>
                <w:shd w:val="clear" w:color="auto" w:fill="auto"/>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shd w:val="clear" w:color="auto" w:fill="auto"/>
              </w:rPr>
            </w:pPr>
            <w:r>
              <w:rPr>
                <w:rFonts w:hint="eastAsia" w:ascii="宋体" w:hAnsi="宋体" w:eastAsia="宋体" w:cs="宋体"/>
                <w:color w:val="000000"/>
                <w:kern w:val="0"/>
                <w:sz w:val="20"/>
                <w:szCs w:val="20"/>
                <w:shd w:val="clear" w:color="auto" w:fill="auto"/>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宋体" w:hAnsi="宋体" w:eastAsia="宋体" w:cs="宋体"/>
                <w:color w:val="000000"/>
                <w:kern w:val="0"/>
                <w:sz w:val="20"/>
                <w:szCs w:val="20"/>
                <w:shd w:val="clear" w:color="auto" w:fill="auto"/>
              </w:rPr>
            </w:pPr>
            <w:r>
              <w:rPr>
                <w:rFonts w:hint="eastAsia" w:ascii="宋体" w:hAnsi="宋体" w:eastAsia="宋体" w:cs="宋体"/>
                <w:color w:val="000000"/>
                <w:kern w:val="0"/>
                <w:sz w:val="20"/>
                <w:szCs w:val="20"/>
                <w:shd w:val="clear" w:color="auto" w:fill="auto"/>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shd w:val="clear" w:color="auto" w:fill="auto"/>
              </w:rPr>
            </w:pPr>
            <w:r>
              <w:rPr>
                <w:rFonts w:hint="eastAsia" w:ascii="宋体" w:hAnsi="宋体" w:eastAsia="宋体" w:cs="宋体"/>
                <w:color w:val="000000"/>
                <w:kern w:val="0"/>
                <w:sz w:val="20"/>
                <w:szCs w:val="20"/>
                <w:shd w:val="clear" w:color="auto" w:fill="auto"/>
                <w:lang w:val="en-US" w:eastAsia="zh-CN"/>
              </w:rPr>
              <w:t>0</w:t>
            </w:r>
            <w:r>
              <w:rPr>
                <w:rFonts w:hint="eastAsia" w:ascii="宋体" w:hAnsi="宋体" w:eastAsia="宋体" w:cs="宋体"/>
                <w:color w:val="000000"/>
                <w:kern w:val="0"/>
                <w:sz w:val="20"/>
                <w:szCs w:val="20"/>
                <w:shd w:val="clear" w:color="auto" w:fill="auto"/>
              </w:rPr>
              <w:t>　</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信息内容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hint="eastAsia" w:ascii="宋体" w:hAnsi="Times New Roman" w:eastAsia="仿宋_GB2312" w:cs="Times New Roman"/>
                <w:color w:val="000000"/>
                <w:sz w:val="24"/>
                <w:szCs w:val="24"/>
                <w:shd w:val="clear" w:color="auto" w:fill="auto"/>
                <w:lang w:val="en-US" w:eastAsia="zh-CN"/>
              </w:rPr>
            </w:pPr>
            <w:r>
              <w:rPr>
                <w:rFonts w:hint="eastAsia" w:ascii="宋体" w:hAnsi="Times New Roman" w:eastAsia="仿宋_GB2312" w:cs="Times New Roman"/>
                <w:color w:val="000000"/>
                <w:sz w:val="24"/>
                <w:szCs w:val="24"/>
                <w:shd w:val="clear" w:color="auto" w:fill="auto"/>
                <w:lang w:val="en-US" w:eastAsia="zh-CN"/>
              </w:rPr>
              <w:t>0</w:t>
            </w:r>
          </w:p>
        </w:tc>
      </w:tr>
    </w:tbl>
    <w:p>
      <w:pPr>
        <w:widowControl/>
        <w:jc w:val="left"/>
        <w:rPr>
          <w:rFonts w:ascii="仿宋_GB2312" w:hAnsi="Times New Roman" w:eastAsia="仿宋_GB2312" w:cs="Times New Roman"/>
          <w:color w:val="000000"/>
          <w:sz w:val="32"/>
          <w:szCs w:val="32"/>
          <w:shd w:val="clear" w:color="auto" w:fill="auto"/>
        </w:rPr>
      </w:pPr>
    </w:p>
    <w:p>
      <w:pPr>
        <w:widowControl/>
        <w:shd w:val="clear" w:color="auto" w:fill="FFFFFF"/>
        <w:spacing w:before="0" w:beforeAutospacing="0" w:after="0" w:afterAutospacing="0"/>
        <w:ind w:firstLine="420"/>
        <w:jc w:val="both"/>
        <w:rPr>
          <w:rFonts w:hint="eastAsia" w:ascii="宋体" w:hAnsi="宋体" w:eastAsia="宋体" w:cs="宋体"/>
          <w:b/>
          <w:color w:val="000000"/>
          <w:kern w:val="0"/>
          <w:sz w:val="32"/>
          <w:szCs w:val="32"/>
          <w:shd w:val="clear" w:color="auto" w:fill="auto"/>
          <w:lang w:val="en-US" w:eastAsia="zh-CN" w:bidi="ar-SA"/>
        </w:rPr>
      </w:pPr>
      <w:r>
        <w:rPr>
          <w:rFonts w:hint="eastAsia" w:ascii="宋体" w:hAnsi="宋体" w:eastAsia="宋体" w:cs="宋体"/>
          <w:b/>
          <w:color w:val="000000"/>
          <w:kern w:val="0"/>
          <w:sz w:val="32"/>
          <w:szCs w:val="32"/>
          <w:shd w:val="clear" w:color="auto" w:fill="auto"/>
          <w:lang w:val="en-US" w:eastAsia="zh-CN" w:bidi="ar-SA"/>
        </w:rPr>
        <w:t>三、收到和处理政府信息公开申请情况</w:t>
      </w:r>
    </w:p>
    <w:p>
      <w:pPr>
        <w:widowControl/>
        <w:shd w:val="clear" w:color="auto" w:fill="FFFFFF"/>
        <w:spacing w:before="0" w:beforeAutospacing="0" w:after="0" w:afterAutospacing="0"/>
        <w:ind w:firstLine="420"/>
        <w:jc w:val="both"/>
        <w:rPr>
          <w:rFonts w:ascii="宋体" w:hAnsi="宋体" w:eastAsia="宋体" w:cs="宋体"/>
          <w:color w:val="000000"/>
          <w:kern w:val="0"/>
          <w:sz w:val="24"/>
          <w:szCs w:val="24"/>
          <w:shd w:val="clear" w:color="auto" w:fill="auto"/>
          <w:lang w:val="en-US" w:eastAsia="zh-CN" w:bidi="ar-SA"/>
        </w:rPr>
      </w:pPr>
    </w:p>
    <w:tbl>
      <w:tblPr>
        <w:tblStyle w:val="4"/>
        <w:tblW w:w="974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7"/>
        <w:gridCol w:w="943"/>
        <w:gridCol w:w="321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widowControl/>
              <w:jc w:val="left"/>
              <w:rPr>
                <w:rFonts w:ascii="仿宋_GB2312" w:hAnsi="Times New Roman" w:eastAsia="仿宋_GB2312" w:cs="Times New Roman"/>
                <w:color w:val="000000"/>
                <w:sz w:val="32"/>
                <w:szCs w:val="32"/>
                <w:shd w:val="clear" w:color="auto" w:fill="auto"/>
              </w:rPr>
            </w:pPr>
            <w:r>
              <w:rPr>
                <w:rFonts w:ascii="楷体" w:hAnsi="楷体" w:eastAsia="楷体" w:cs="楷体"/>
                <w:color w:val="000000"/>
                <w:kern w:val="0"/>
                <w:sz w:val="20"/>
                <w:szCs w:val="20"/>
                <w:shd w:val="clear" w:color="auto" w:fill="auto"/>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shd w:val="clear" w:color="auto" w:fill="auto"/>
              </w:rPr>
            </w:pPr>
          </w:p>
        </w:tc>
        <w:tc>
          <w:tcPr>
            <w:tcW w:w="688" w:type="dxa"/>
            <w:vMerge w:val="restart"/>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自然人</w:t>
            </w:r>
          </w:p>
        </w:tc>
        <w:tc>
          <w:tcPr>
            <w:tcW w:w="344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法人或其他组织</w:t>
            </w:r>
          </w:p>
        </w:tc>
        <w:tc>
          <w:tcPr>
            <w:tcW w:w="688" w:type="dxa"/>
            <w:vMerge w:val="restart"/>
            <w:tcBorders>
              <w:top w:val="single" w:color="auto" w:sz="8" w:space="0"/>
              <w:left w:val="nil"/>
              <w:bottom w:val="outset"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shd w:val="clear" w:color="auto" w:fill="auto"/>
              </w:rPr>
            </w:pPr>
          </w:p>
        </w:tc>
        <w:tc>
          <w:tcPr>
            <w:tcW w:w="688" w:type="dxa"/>
            <w:vMerge w:val="continue"/>
            <w:tcBorders>
              <w:top w:val="nil"/>
              <w:left w:val="nil"/>
              <w:bottom w:val="single"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shd w:val="clear" w:color="auto" w:fill="auto"/>
              </w:rPr>
            </w:pPr>
          </w:p>
        </w:tc>
        <w:tc>
          <w:tcPr>
            <w:tcW w:w="68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商业</w:t>
            </w:r>
          </w:p>
          <w:p>
            <w:pPr>
              <w:widowControl/>
              <w:jc w:val="center"/>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企业</w:t>
            </w:r>
          </w:p>
        </w:tc>
        <w:tc>
          <w:tcPr>
            <w:tcW w:w="68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科研</w:t>
            </w:r>
          </w:p>
          <w:p>
            <w:pPr>
              <w:widowControl/>
              <w:jc w:val="center"/>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机构</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社会公益组织</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法律服务机构</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其他</w:t>
            </w:r>
          </w:p>
        </w:tc>
        <w:tc>
          <w:tcPr>
            <w:tcW w:w="688" w:type="dxa"/>
            <w:vMerge w:val="continue"/>
            <w:tcBorders>
              <w:top w:val="single" w:color="auto" w:sz="8" w:space="0"/>
              <w:left w:val="nil"/>
              <w:bottom w:val="outset"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shd w:val="clear" w:color="auto" w:fill="auto"/>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restart"/>
            <w:tcBorders>
              <w:top w:val="nil"/>
              <w:left w:val="single" w:color="auto" w:sz="8" w:space="0"/>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三、本年度办理结果</w:t>
            </w: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single" w:color="auto" w:sz="8" w:space="0"/>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shd w:val="clear" w:color="auto" w:fill="auto"/>
              </w:rPr>
            </w:pP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（二）部分公开</w:t>
            </w:r>
            <w:r>
              <w:rPr>
                <w:rFonts w:hint="eastAsia" w:ascii="楷体" w:hAnsi="楷体" w:eastAsia="楷体" w:cs="楷体"/>
                <w:color w:val="000000"/>
                <w:kern w:val="0"/>
                <w:sz w:val="20"/>
                <w:szCs w:val="20"/>
                <w:shd w:val="clear" w:color="auto" w:fill="auto"/>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both"/>
              <w:rPr>
                <w:rFonts w:hint="default" w:ascii="Calibri" w:hAnsi="Calibri" w:eastAsia="仿宋_GB2312" w:cs="Calibri"/>
                <w:color w:val="000000"/>
                <w:kern w:val="0"/>
                <w:sz w:val="20"/>
                <w:szCs w:val="20"/>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shd w:val="clear" w:color="auto" w:fill="auto"/>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（三）不予公开</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1.属于国家秘密</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single" w:color="auto" w:sz="8" w:space="0"/>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shd w:val="clear" w:color="auto" w:fill="auto"/>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shd w:val="clear" w:color="auto" w:fill="auto"/>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2.其他法律行政法规禁止公开</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shd w:val="clear" w:color="auto" w:fill="auto"/>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shd w:val="clear" w:color="auto" w:fill="auto"/>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3.危及“三安全一稳定”</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shd w:val="clear" w:color="auto" w:fill="auto"/>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shd w:val="clear" w:color="auto" w:fill="auto"/>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4.保护第三方合法权益</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shd w:val="clear" w:color="auto" w:fill="auto"/>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shd w:val="clear" w:color="auto" w:fill="auto"/>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5.属于三类内部事务信息</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shd w:val="clear" w:color="auto" w:fill="auto"/>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shd w:val="clear" w:color="auto" w:fill="auto"/>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6.属于四类过程性信息</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shd w:val="clear" w:color="auto" w:fill="auto"/>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shd w:val="clear" w:color="auto" w:fill="auto"/>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7.属于行政执法案卷</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shd w:val="clear" w:color="auto" w:fill="auto"/>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shd w:val="clear" w:color="auto" w:fill="auto"/>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8.属于行政查询事项</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shd w:val="clear" w:color="auto" w:fill="auto"/>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（四）无法提供</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1.本机关不掌握相关政府信息</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shd w:val="clear" w:color="auto" w:fill="auto"/>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shd w:val="clear" w:color="auto" w:fill="auto"/>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2.没有现成信息需要另行制作</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shd w:val="clear" w:color="auto" w:fill="auto"/>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shd w:val="clear" w:color="auto" w:fill="auto"/>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3.补正后申请内容仍不明确</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shd w:val="clear" w:color="auto" w:fill="auto"/>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（五）不予处理</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1.信访举报投诉类申请</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shd w:val="clear" w:color="auto" w:fill="auto"/>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shd w:val="clear" w:color="auto" w:fill="auto"/>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2.重复申请</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shd w:val="clear" w:color="auto" w:fill="auto"/>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shd w:val="clear" w:color="auto" w:fill="auto"/>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3.要求提供公开出版物</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shd w:val="clear" w:color="auto" w:fill="auto"/>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shd w:val="clear" w:color="auto" w:fill="auto"/>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4.无正当理由大量反复申请</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shd w:val="clear" w:color="auto" w:fill="auto"/>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shd w:val="clear" w:color="auto" w:fill="auto"/>
              </w:rPr>
            </w:pPr>
          </w:p>
        </w:tc>
        <w:tc>
          <w:tcPr>
            <w:tcW w:w="3219" w:type="dxa"/>
            <w:tcBorders>
              <w:top w:val="nil"/>
              <w:left w:val="nil"/>
              <w:bottom w:val="outset" w:color="auto" w:sz="8" w:space="0"/>
              <w:right w:val="single" w:color="auto" w:sz="8" w:space="0"/>
            </w:tcBorders>
            <w:tcMar>
              <w:left w:w="57" w:type="dxa"/>
              <w:right w:w="57" w:type="dxa"/>
            </w:tcMar>
            <w:vAlign w:val="center"/>
          </w:tcPr>
          <w:p>
            <w:pPr>
              <w:widowControl/>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outset"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outset"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outset"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outset"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outset"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outset"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shd w:val="clear" w:color="auto" w:fill="auto"/>
              </w:rPr>
            </w:pPr>
          </w:p>
        </w:tc>
        <w:tc>
          <w:tcPr>
            <w:tcW w:w="943" w:type="dxa"/>
            <w:vMerge w:val="restart"/>
            <w:tcBorders>
              <w:top w:val="outset" w:color="auto" w:sz="8" w:space="0"/>
              <w:left w:val="nil"/>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（六）其他处理</w:t>
            </w:r>
          </w:p>
        </w:tc>
        <w:tc>
          <w:tcPr>
            <w:tcW w:w="3219" w:type="dxa"/>
            <w:tcBorders>
              <w:top w:val="nil"/>
              <w:left w:val="nil"/>
              <w:bottom w:val="single" w:color="auto" w:sz="8" w:space="0"/>
              <w:right w:val="single" w:color="auto" w:sz="8" w:space="0"/>
            </w:tcBorders>
            <w:tcMar>
              <w:left w:w="57" w:type="dxa"/>
              <w:right w:w="57" w:type="dxa"/>
            </w:tcMar>
            <w:vAlign w:val="center"/>
          </w:tcPr>
          <w:p>
            <w:pPr>
              <w:widowControl/>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Calibri" w:hAnsi="Calibri" w:eastAsia="仿宋_GB2312" w:cs="Calibri"/>
                <w:color w:val="000000"/>
                <w:kern w:val="0"/>
                <w:sz w:val="20"/>
                <w:szCs w:val="20"/>
                <w:shd w:val="clear" w:color="auto" w:fill="auto"/>
                <w:lang w:val="en-US" w:eastAsia="zh-CN"/>
              </w:rPr>
            </w:pPr>
          </w:p>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shd w:val="clear" w:color="auto" w:fill="auto"/>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shd w:val="clear" w:color="auto" w:fill="auto"/>
              </w:rPr>
            </w:pPr>
          </w:p>
        </w:tc>
        <w:tc>
          <w:tcPr>
            <w:tcW w:w="3219" w:type="dxa"/>
            <w:tcBorders>
              <w:top w:val="nil"/>
              <w:left w:val="nil"/>
              <w:bottom w:val="single" w:color="auto" w:sz="8" w:space="0"/>
              <w:right w:val="single" w:color="auto" w:sz="8" w:space="0"/>
            </w:tcBorders>
            <w:tcMar>
              <w:left w:w="57" w:type="dxa"/>
              <w:right w:w="57" w:type="dxa"/>
            </w:tcMar>
            <w:vAlign w:val="center"/>
          </w:tcPr>
          <w:p>
            <w:pPr>
              <w:widowControl/>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Calibri" w:hAnsi="Calibri" w:eastAsia="仿宋_GB2312" w:cs="Calibri"/>
                <w:color w:val="000000"/>
                <w:kern w:val="0"/>
                <w:sz w:val="20"/>
                <w:szCs w:val="20"/>
                <w:shd w:val="clear" w:color="auto" w:fill="auto"/>
                <w:lang w:val="en-US" w:eastAsia="zh-CN"/>
              </w:rPr>
            </w:pPr>
          </w:p>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shd w:val="clear" w:color="auto" w:fill="auto"/>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shd w:val="clear" w:color="auto" w:fill="auto"/>
              </w:rPr>
            </w:pPr>
          </w:p>
        </w:tc>
        <w:tc>
          <w:tcPr>
            <w:tcW w:w="3219" w:type="dxa"/>
            <w:tcBorders>
              <w:top w:val="nil"/>
              <w:left w:val="nil"/>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shd w:val="clear" w:color="auto" w:fill="auto"/>
              </w:rPr>
            </w:pP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四、结转下年度继续办理</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shd w:val="clear" w:color="auto" w:fill="auto"/>
                <w:lang w:val="en-US" w:eastAsia="zh-CN"/>
              </w:rPr>
            </w:pPr>
            <w:r>
              <w:rPr>
                <w:rFonts w:hint="eastAsia" w:ascii="Calibri" w:hAnsi="Calibri" w:eastAsia="仿宋_GB2312" w:cs="Calibri"/>
                <w:color w:val="000000"/>
                <w:kern w:val="0"/>
                <w:sz w:val="20"/>
                <w:szCs w:val="20"/>
                <w:shd w:val="clear" w:color="auto" w:fill="auto"/>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jc w:val="center"/>
              <w:rPr>
                <w:rFonts w:hint="eastAsia" w:ascii="宋体" w:hAnsi="Times New Roman" w:eastAsia="仿宋_GB2312" w:cs="Times New Roman"/>
                <w:color w:val="000000"/>
                <w:sz w:val="24"/>
                <w:szCs w:val="24"/>
                <w:shd w:val="clear" w:color="auto" w:fill="auto"/>
                <w:lang w:val="en-US" w:eastAsia="zh-CN"/>
              </w:rPr>
            </w:pPr>
            <w:r>
              <w:rPr>
                <w:rFonts w:hint="eastAsia" w:ascii="宋体" w:hAnsi="Times New Roman" w:eastAsia="仿宋_GB2312" w:cs="Times New Roman"/>
                <w:color w:val="000000"/>
                <w:sz w:val="24"/>
                <w:szCs w:val="24"/>
                <w:shd w:val="clear" w:color="auto" w:fill="auto"/>
                <w:lang w:val="en-US" w:eastAsia="zh-CN"/>
              </w:rPr>
              <w:t>0</w:t>
            </w:r>
          </w:p>
        </w:tc>
      </w:tr>
    </w:tbl>
    <w:p>
      <w:pPr>
        <w:widowControl/>
        <w:shd w:val="clear" w:color="auto" w:fill="FFFFFF"/>
        <w:jc w:val="center"/>
        <w:rPr>
          <w:rFonts w:ascii="宋体" w:hAnsi="宋体" w:eastAsia="宋体" w:cs="宋体"/>
          <w:color w:val="000000"/>
          <w:sz w:val="24"/>
          <w:szCs w:val="24"/>
          <w:shd w:val="clear" w:color="auto" w:fill="auto"/>
        </w:rPr>
      </w:pPr>
    </w:p>
    <w:p>
      <w:pPr>
        <w:widowControl/>
        <w:shd w:val="clear" w:color="auto" w:fill="FFFFFF"/>
        <w:spacing w:before="0" w:beforeAutospacing="0" w:after="0" w:afterAutospacing="0"/>
        <w:ind w:firstLine="420"/>
        <w:jc w:val="both"/>
        <w:rPr>
          <w:rFonts w:hint="eastAsia" w:ascii="宋体" w:hAnsi="宋体" w:eastAsia="宋体" w:cs="宋体"/>
          <w:b/>
          <w:color w:val="000000"/>
          <w:kern w:val="0"/>
          <w:sz w:val="32"/>
          <w:szCs w:val="32"/>
          <w:shd w:val="clear" w:color="auto" w:fill="auto"/>
          <w:lang w:val="en-US" w:eastAsia="zh-CN" w:bidi="ar-SA"/>
        </w:rPr>
      </w:pPr>
      <w:r>
        <w:rPr>
          <w:rFonts w:hint="eastAsia" w:ascii="宋体" w:hAnsi="宋体" w:eastAsia="宋体" w:cs="宋体"/>
          <w:b/>
          <w:color w:val="000000"/>
          <w:kern w:val="0"/>
          <w:sz w:val="32"/>
          <w:szCs w:val="32"/>
          <w:shd w:val="clear" w:color="auto" w:fill="auto"/>
          <w:lang w:val="en-US" w:eastAsia="zh-CN" w:bidi="ar-SA"/>
        </w:rPr>
        <w:t>四、政府信息公开行政复议、行政诉讼情况</w:t>
      </w:r>
    </w:p>
    <w:p>
      <w:pPr>
        <w:widowControl/>
        <w:shd w:val="clear" w:color="auto" w:fill="FFFFFF"/>
        <w:jc w:val="center"/>
        <w:rPr>
          <w:rFonts w:ascii="宋体" w:hAnsi="宋体" w:eastAsia="宋体" w:cs="宋体"/>
          <w:color w:val="000000"/>
          <w:sz w:val="24"/>
          <w:szCs w:val="24"/>
          <w:shd w:val="clear" w:color="auto" w:fill="auto"/>
        </w:rPr>
      </w:pPr>
    </w:p>
    <w:tbl>
      <w:tblPr>
        <w:tblStyle w:val="4"/>
        <w:tblW w:w="974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行政复议</w:t>
            </w:r>
          </w:p>
        </w:tc>
        <w:tc>
          <w:tcPr>
            <w:tcW w:w="6498"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结果维持</w:t>
            </w:r>
          </w:p>
        </w:tc>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结果</w:t>
            </w:r>
            <w:r>
              <w:rPr>
                <w:rFonts w:hint="eastAsia" w:ascii="宋体" w:hAnsi="宋体" w:eastAsia="宋体" w:cs="宋体"/>
                <w:color w:val="000000"/>
                <w:kern w:val="0"/>
                <w:sz w:val="20"/>
                <w:szCs w:val="20"/>
                <w:shd w:val="clear" w:color="auto" w:fill="auto"/>
              </w:rPr>
              <w:br w:type="textWrapping"/>
            </w:r>
            <w:r>
              <w:rPr>
                <w:rFonts w:hint="eastAsia" w:ascii="宋体" w:hAnsi="宋体" w:eastAsia="宋体" w:cs="宋体"/>
                <w:color w:val="000000"/>
                <w:kern w:val="0"/>
                <w:sz w:val="20"/>
                <w:szCs w:val="20"/>
                <w:shd w:val="clear" w:color="auto" w:fill="auto"/>
              </w:rPr>
              <w:t>纠正</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其他</w:t>
            </w:r>
            <w:r>
              <w:rPr>
                <w:rFonts w:hint="eastAsia" w:ascii="宋体" w:hAnsi="宋体" w:eastAsia="宋体" w:cs="宋体"/>
                <w:color w:val="000000"/>
                <w:kern w:val="0"/>
                <w:sz w:val="20"/>
                <w:szCs w:val="20"/>
                <w:shd w:val="clear" w:color="auto" w:fill="auto"/>
              </w:rPr>
              <w:br w:type="textWrapping"/>
            </w:r>
            <w:r>
              <w:rPr>
                <w:rFonts w:hint="eastAsia" w:ascii="宋体" w:hAnsi="宋体" w:eastAsia="宋体" w:cs="宋体"/>
                <w:color w:val="000000"/>
                <w:kern w:val="0"/>
                <w:sz w:val="20"/>
                <w:szCs w:val="20"/>
                <w:shd w:val="clear" w:color="auto" w:fill="auto"/>
              </w:rPr>
              <w:t>结果</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尚未</w:t>
            </w:r>
            <w:r>
              <w:rPr>
                <w:rFonts w:hint="eastAsia" w:ascii="宋体" w:hAnsi="宋体" w:eastAsia="宋体" w:cs="宋体"/>
                <w:color w:val="000000"/>
                <w:kern w:val="0"/>
                <w:sz w:val="20"/>
                <w:szCs w:val="20"/>
                <w:shd w:val="clear" w:color="auto" w:fill="auto"/>
              </w:rPr>
              <w:br w:type="textWrapping"/>
            </w:r>
            <w:r>
              <w:rPr>
                <w:rFonts w:hint="eastAsia" w:ascii="宋体" w:hAnsi="宋体" w:eastAsia="宋体" w:cs="宋体"/>
                <w:color w:val="000000"/>
                <w:kern w:val="0"/>
                <w:sz w:val="20"/>
                <w:szCs w:val="20"/>
                <w:shd w:val="clear" w:color="auto" w:fill="auto"/>
              </w:rPr>
              <w:t>审结</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总计</w:t>
            </w:r>
          </w:p>
        </w:tc>
        <w:tc>
          <w:tcPr>
            <w:tcW w:w="324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shd w:val="clear" w:color="auto" w:fill="auto"/>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shd w:val="clear" w:color="auto" w:fill="auto"/>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shd w:val="clear" w:color="auto" w:fill="auto"/>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shd w:val="clear" w:color="auto" w:fill="auto"/>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shd w:val="clear" w:color="auto" w:fill="auto"/>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结果</w:t>
            </w:r>
            <w:r>
              <w:rPr>
                <w:rFonts w:hint="eastAsia" w:ascii="宋体" w:hAnsi="宋体" w:eastAsia="宋体" w:cs="宋体"/>
                <w:color w:val="000000"/>
                <w:kern w:val="0"/>
                <w:sz w:val="20"/>
                <w:szCs w:val="20"/>
                <w:shd w:val="clear" w:color="auto" w:fill="auto"/>
              </w:rPr>
              <w:br w:type="textWrapping"/>
            </w:r>
            <w:r>
              <w:rPr>
                <w:rFonts w:hint="eastAsia" w:ascii="宋体" w:hAnsi="宋体" w:eastAsia="宋体" w:cs="宋体"/>
                <w:color w:val="000000"/>
                <w:kern w:val="0"/>
                <w:sz w:val="20"/>
                <w:szCs w:val="20"/>
                <w:shd w:val="clear" w:color="auto" w:fill="auto"/>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结果</w:t>
            </w:r>
            <w:r>
              <w:rPr>
                <w:rFonts w:hint="eastAsia" w:ascii="宋体" w:hAnsi="宋体" w:eastAsia="宋体" w:cs="宋体"/>
                <w:color w:val="000000"/>
                <w:kern w:val="0"/>
                <w:sz w:val="20"/>
                <w:szCs w:val="20"/>
                <w:shd w:val="clear" w:color="auto" w:fill="auto"/>
              </w:rPr>
              <w:br w:type="textWrapping"/>
            </w:r>
            <w:r>
              <w:rPr>
                <w:rFonts w:hint="eastAsia" w:ascii="宋体" w:hAnsi="宋体" w:eastAsia="宋体" w:cs="宋体"/>
                <w:color w:val="000000"/>
                <w:kern w:val="0"/>
                <w:sz w:val="20"/>
                <w:szCs w:val="20"/>
                <w:shd w:val="clear" w:color="auto" w:fill="auto"/>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其他</w:t>
            </w:r>
            <w:r>
              <w:rPr>
                <w:rFonts w:hint="eastAsia" w:ascii="宋体" w:hAnsi="宋体" w:eastAsia="宋体" w:cs="宋体"/>
                <w:color w:val="000000"/>
                <w:kern w:val="0"/>
                <w:sz w:val="20"/>
                <w:szCs w:val="20"/>
                <w:shd w:val="clear" w:color="auto" w:fill="auto"/>
              </w:rPr>
              <w:br w:type="textWrapping"/>
            </w:r>
            <w:r>
              <w:rPr>
                <w:rFonts w:hint="eastAsia" w:ascii="宋体" w:hAnsi="宋体" w:eastAsia="宋体" w:cs="宋体"/>
                <w:color w:val="000000"/>
                <w:kern w:val="0"/>
                <w:sz w:val="20"/>
                <w:szCs w:val="20"/>
                <w:shd w:val="clear" w:color="auto" w:fill="auto"/>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尚未</w:t>
            </w:r>
            <w:r>
              <w:rPr>
                <w:rFonts w:hint="eastAsia" w:ascii="宋体" w:hAnsi="宋体" w:eastAsia="宋体" w:cs="宋体"/>
                <w:color w:val="000000"/>
                <w:kern w:val="0"/>
                <w:sz w:val="20"/>
                <w:szCs w:val="20"/>
                <w:shd w:val="clear" w:color="auto" w:fill="auto"/>
              </w:rPr>
              <w:br w:type="textWrapping"/>
            </w:r>
            <w:r>
              <w:rPr>
                <w:rFonts w:hint="eastAsia" w:ascii="宋体" w:hAnsi="宋体" w:eastAsia="宋体" w:cs="宋体"/>
                <w:color w:val="000000"/>
                <w:kern w:val="0"/>
                <w:sz w:val="20"/>
                <w:szCs w:val="20"/>
                <w:shd w:val="clear" w:color="auto" w:fill="auto"/>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总计</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结果</w:t>
            </w:r>
            <w:r>
              <w:rPr>
                <w:rFonts w:hint="eastAsia" w:ascii="宋体" w:hAnsi="宋体" w:eastAsia="宋体" w:cs="宋体"/>
                <w:color w:val="000000"/>
                <w:kern w:val="0"/>
                <w:sz w:val="20"/>
                <w:szCs w:val="20"/>
                <w:shd w:val="clear" w:color="auto" w:fill="auto"/>
              </w:rPr>
              <w:br w:type="textWrapping"/>
            </w:r>
            <w:r>
              <w:rPr>
                <w:rFonts w:hint="eastAsia" w:ascii="宋体" w:hAnsi="宋体" w:eastAsia="宋体" w:cs="宋体"/>
                <w:color w:val="000000"/>
                <w:kern w:val="0"/>
                <w:sz w:val="20"/>
                <w:szCs w:val="20"/>
                <w:shd w:val="clear" w:color="auto" w:fill="auto"/>
              </w:rPr>
              <w:t>维持</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结果</w:t>
            </w:r>
            <w:r>
              <w:rPr>
                <w:rFonts w:hint="eastAsia" w:ascii="宋体" w:hAnsi="宋体" w:eastAsia="宋体" w:cs="宋体"/>
                <w:color w:val="000000"/>
                <w:kern w:val="0"/>
                <w:sz w:val="20"/>
                <w:szCs w:val="20"/>
                <w:shd w:val="clear" w:color="auto" w:fill="auto"/>
              </w:rPr>
              <w:br w:type="textWrapping"/>
            </w:r>
            <w:r>
              <w:rPr>
                <w:rFonts w:hint="eastAsia" w:ascii="宋体" w:hAnsi="宋体" w:eastAsia="宋体" w:cs="宋体"/>
                <w:color w:val="000000"/>
                <w:kern w:val="0"/>
                <w:sz w:val="20"/>
                <w:szCs w:val="20"/>
                <w:shd w:val="clear" w:color="auto" w:fill="auto"/>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其他</w:t>
            </w:r>
            <w:r>
              <w:rPr>
                <w:rFonts w:hint="eastAsia" w:ascii="宋体" w:hAnsi="宋体" w:eastAsia="宋体" w:cs="宋体"/>
                <w:color w:val="000000"/>
                <w:kern w:val="0"/>
                <w:sz w:val="20"/>
                <w:szCs w:val="20"/>
                <w:shd w:val="clear" w:color="auto" w:fill="auto"/>
              </w:rPr>
              <w:br w:type="textWrapping"/>
            </w:r>
            <w:r>
              <w:rPr>
                <w:rFonts w:hint="eastAsia" w:ascii="宋体" w:hAnsi="宋体" w:eastAsia="宋体" w:cs="宋体"/>
                <w:color w:val="000000"/>
                <w:kern w:val="0"/>
                <w:sz w:val="20"/>
                <w:szCs w:val="20"/>
                <w:shd w:val="clear" w:color="auto" w:fill="auto"/>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尚未</w:t>
            </w:r>
            <w:r>
              <w:rPr>
                <w:rFonts w:hint="eastAsia" w:ascii="宋体" w:hAnsi="宋体" w:eastAsia="宋体" w:cs="宋体"/>
                <w:color w:val="000000"/>
                <w:kern w:val="0"/>
                <w:sz w:val="20"/>
                <w:szCs w:val="20"/>
                <w:shd w:val="clear" w:color="auto" w:fill="auto"/>
              </w:rPr>
              <w:br w:type="textWrapping"/>
            </w:r>
            <w:r>
              <w:rPr>
                <w:rFonts w:hint="eastAsia" w:ascii="宋体" w:hAnsi="宋体" w:eastAsia="宋体" w:cs="宋体"/>
                <w:color w:val="000000"/>
                <w:kern w:val="0"/>
                <w:sz w:val="20"/>
                <w:szCs w:val="20"/>
                <w:shd w:val="clear" w:color="auto" w:fill="auto"/>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宋体" w:hAnsi="宋体" w:eastAsia="宋体" w:cs="宋体"/>
                <w:color w:val="000000"/>
                <w:kern w:val="0"/>
                <w:sz w:val="20"/>
                <w:szCs w:val="20"/>
                <w:shd w:val="clear" w:color="auto" w:fill="auto"/>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黑体" w:hAnsi="宋体" w:eastAsia="黑体" w:cs="黑体"/>
                <w:color w:val="000000"/>
                <w:kern w:val="0"/>
                <w:sz w:val="20"/>
                <w:szCs w:val="20"/>
                <w:shd w:val="clear" w:color="auto" w:fill="auto"/>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黑体" w:hAnsi="宋体" w:eastAsia="黑体" w:cs="黑体"/>
                <w:color w:val="000000"/>
                <w:kern w:val="0"/>
                <w:sz w:val="20"/>
                <w:szCs w:val="20"/>
                <w:shd w:val="clear" w:color="auto" w:fill="auto"/>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黑体" w:hAnsi="宋体" w:eastAsia="黑体" w:cs="黑体"/>
                <w:color w:val="000000"/>
                <w:kern w:val="0"/>
                <w:sz w:val="20"/>
                <w:szCs w:val="20"/>
                <w:shd w:val="clear" w:color="auto" w:fill="auto"/>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黑体" w:hAnsi="宋体" w:eastAsia="黑体" w:cs="黑体"/>
                <w:color w:val="000000"/>
                <w:kern w:val="0"/>
                <w:sz w:val="20"/>
                <w:szCs w:val="20"/>
                <w:shd w:val="clear" w:color="auto" w:fill="auto"/>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Times New Roman" w:eastAsia="黑体" w:cs="Times New Roman"/>
                <w:color w:val="000000"/>
                <w:sz w:val="32"/>
                <w:szCs w:val="32"/>
                <w:shd w:val="clear" w:color="auto" w:fill="auto"/>
                <w:lang w:val="en-US" w:eastAsia="zh-CN"/>
              </w:rPr>
            </w:pPr>
            <w:r>
              <w:rPr>
                <w:rFonts w:hint="eastAsia" w:ascii="黑体" w:hAnsi="宋体" w:eastAsia="黑体" w:cs="黑体"/>
                <w:color w:val="000000"/>
                <w:kern w:val="0"/>
                <w:sz w:val="20"/>
                <w:szCs w:val="20"/>
                <w:shd w:val="clear" w:color="auto" w:fill="auto"/>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黑体" w:hAnsi="宋体" w:eastAsia="黑体" w:cs="黑体"/>
                <w:color w:val="000000"/>
                <w:kern w:val="0"/>
                <w:sz w:val="20"/>
                <w:szCs w:val="20"/>
                <w:shd w:val="clear" w:color="auto" w:fill="auto"/>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黑体" w:hAnsi="宋体" w:eastAsia="黑体" w:cs="黑体"/>
                <w:color w:val="000000"/>
                <w:kern w:val="0"/>
                <w:sz w:val="20"/>
                <w:szCs w:val="20"/>
                <w:shd w:val="clear" w:color="auto" w:fill="auto"/>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黑体" w:hAnsi="宋体" w:eastAsia="黑体" w:cs="黑体"/>
                <w:color w:val="000000"/>
                <w:kern w:val="0"/>
                <w:sz w:val="20"/>
                <w:szCs w:val="20"/>
                <w:shd w:val="clear" w:color="auto" w:fill="auto"/>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Times New Roman" w:eastAsia="黑体" w:cs="Times New Roman"/>
                <w:color w:val="000000"/>
                <w:sz w:val="32"/>
                <w:szCs w:val="32"/>
                <w:shd w:val="clear" w:color="auto" w:fill="auto"/>
                <w:lang w:val="en-US" w:eastAsia="zh-CN"/>
              </w:rPr>
            </w:pPr>
            <w:r>
              <w:rPr>
                <w:rFonts w:hint="eastAsia" w:ascii="黑体" w:hAnsi="宋体" w:eastAsia="黑体" w:cs="黑体"/>
                <w:color w:val="000000"/>
                <w:kern w:val="0"/>
                <w:sz w:val="20"/>
                <w:szCs w:val="20"/>
                <w:shd w:val="clear" w:color="auto" w:fill="auto"/>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Times New Roman" w:eastAsia="黑体" w:cs="Times New Roman"/>
                <w:color w:val="000000"/>
                <w:sz w:val="32"/>
                <w:szCs w:val="32"/>
                <w:shd w:val="clear" w:color="auto" w:fill="auto"/>
                <w:lang w:val="en-US" w:eastAsia="zh-CN"/>
              </w:rPr>
            </w:pPr>
            <w:r>
              <w:rPr>
                <w:rFonts w:hint="eastAsia" w:ascii="黑体" w:hAnsi="宋体" w:eastAsia="黑体" w:cs="黑体"/>
                <w:color w:val="000000"/>
                <w:kern w:val="0"/>
                <w:sz w:val="20"/>
                <w:szCs w:val="20"/>
                <w:shd w:val="clear" w:color="auto" w:fill="auto"/>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Times New Roman" w:eastAsia="黑体" w:cs="Times New Roman"/>
                <w:color w:val="000000"/>
                <w:sz w:val="32"/>
                <w:szCs w:val="32"/>
                <w:shd w:val="clear" w:color="auto" w:fill="auto"/>
                <w:lang w:val="en-US" w:eastAsia="zh-CN"/>
              </w:rPr>
            </w:pPr>
            <w:r>
              <w:rPr>
                <w:rFonts w:hint="eastAsia" w:ascii="黑体" w:hAnsi="宋体" w:eastAsia="黑体" w:cs="黑体"/>
                <w:color w:val="000000"/>
                <w:kern w:val="0"/>
                <w:sz w:val="20"/>
                <w:szCs w:val="20"/>
                <w:shd w:val="clear" w:color="auto" w:fill="auto"/>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黑体" w:hAnsi="宋体" w:eastAsia="黑体" w:cs="黑体"/>
                <w:color w:val="000000"/>
                <w:kern w:val="0"/>
                <w:sz w:val="20"/>
                <w:szCs w:val="20"/>
                <w:shd w:val="clear" w:color="auto" w:fill="auto"/>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黑体" w:hAnsi="宋体" w:eastAsia="黑体" w:cs="黑体"/>
                <w:color w:val="000000"/>
                <w:kern w:val="0"/>
                <w:sz w:val="20"/>
                <w:szCs w:val="20"/>
                <w:shd w:val="clear" w:color="auto" w:fill="auto"/>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shd w:val="clear" w:color="auto" w:fill="auto"/>
              </w:rPr>
            </w:pPr>
            <w:r>
              <w:rPr>
                <w:rFonts w:hint="eastAsia" w:ascii="黑体" w:hAnsi="宋体" w:eastAsia="黑体" w:cs="黑体"/>
                <w:color w:val="000000"/>
                <w:kern w:val="0"/>
                <w:sz w:val="20"/>
                <w:szCs w:val="20"/>
                <w:shd w:val="clear" w:color="auto" w:fill="auto"/>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hAnsi="Times New Roman" w:eastAsia="仿宋_GB2312" w:cs="Times New Roman"/>
                <w:color w:val="000000"/>
                <w:sz w:val="24"/>
                <w:szCs w:val="24"/>
                <w:shd w:val="clear" w:color="auto" w:fill="auto"/>
                <w:lang w:val="en-US" w:eastAsia="zh-CN"/>
              </w:rPr>
            </w:pPr>
            <w:r>
              <w:rPr>
                <w:rFonts w:hint="eastAsia" w:ascii="宋体" w:hAnsi="Times New Roman" w:eastAsia="仿宋_GB2312" w:cs="Times New Roman"/>
                <w:color w:val="000000"/>
                <w:sz w:val="24"/>
                <w:szCs w:val="24"/>
                <w:shd w:val="clear" w:color="auto" w:fill="auto"/>
                <w:lang w:val="en-US" w:eastAsia="zh-CN"/>
              </w:rPr>
              <w:t>0</w:t>
            </w:r>
          </w:p>
        </w:tc>
      </w:tr>
    </w:tbl>
    <w:p>
      <w:pPr>
        <w:widowControl/>
        <w:jc w:val="left"/>
        <w:rPr>
          <w:rFonts w:ascii="仿宋_GB2312" w:hAnsi="Times New Roman" w:eastAsia="仿宋_GB2312" w:cs="Times New Roman"/>
          <w:color w:val="000000"/>
          <w:sz w:val="32"/>
          <w:szCs w:val="32"/>
          <w:shd w:val="clear" w:color="auto" w:fill="auto"/>
        </w:rPr>
      </w:pPr>
    </w:p>
    <w:p>
      <w:pPr>
        <w:widowControl/>
        <w:numPr>
          <w:ilvl w:val="0"/>
          <w:numId w:val="2"/>
        </w:numPr>
        <w:shd w:val="clear" w:color="auto" w:fill="FFFFFF"/>
        <w:spacing w:before="0" w:beforeAutospacing="0" w:after="0" w:afterAutospacing="0"/>
        <w:ind w:firstLine="420"/>
        <w:jc w:val="both"/>
        <w:rPr>
          <w:rFonts w:hint="eastAsia" w:ascii="宋体" w:hAnsi="宋体" w:eastAsia="宋体" w:cs="宋体"/>
          <w:b/>
          <w:color w:val="000000"/>
          <w:kern w:val="0"/>
          <w:sz w:val="32"/>
          <w:szCs w:val="32"/>
          <w:shd w:val="clear" w:color="auto" w:fill="auto"/>
          <w:lang w:val="en-US" w:eastAsia="zh-CN" w:bidi="ar-SA"/>
        </w:rPr>
      </w:pPr>
      <w:r>
        <w:rPr>
          <w:rFonts w:hint="eastAsia" w:ascii="宋体" w:hAnsi="宋体" w:eastAsia="宋体" w:cs="宋体"/>
          <w:b/>
          <w:color w:val="000000"/>
          <w:kern w:val="0"/>
          <w:sz w:val="32"/>
          <w:szCs w:val="32"/>
          <w:shd w:val="clear" w:color="auto" w:fill="auto"/>
          <w:lang w:val="en-US" w:eastAsia="zh-CN" w:bidi="ar-SA"/>
        </w:rPr>
        <w:t>存在的主要问题及改进情况</w:t>
      </w:r>
    </w:p>
    <w:p>
      <w:pPr>
        <w:pStyle w:val="2"/>
        <w:numPr>
          <w:ilvl w:val="0"/>
          <w:numId w:val="0"/>
        </w:numPr>
        <w:ind w:firstLine="640" w:firstLineChars="200"/>
        <w:rPr>
          <w:rFonts w:hint="default" w:ascii="仿宋_GB2312" w:hAnsi="仿宋_GB2312" w:eastAsia="仿宋_GB2312" w:cs="仿宋_GB2312"/>
          <w:kern w:val="2"/>
          <w:sz w:val="32"/>
          <w:szCs w:val="32"/>
          <w:highlight w:val="none"/>
          <w:shd w:val="clear" w:color="auto" w:fill="auto"/>
          <w:lang w:val="en-US" w:eastAsia="zh-CN" w:bidi="ar-SA"/>
        </w:rPr>
      </w:pPr>
      <w:r>
        <w:rPr>
          <w:rFonts w:hint="eastAsia" w:ascii="仿宋_GB2312" w:hAnsi="仿宋_GB2312" w:eastAsia="仿宋_GB2312" w:cs="仿宋_GB2312"/>
          <w:kern w:val="2"/>
          <w:sz w:val="32"/>
          <w:szCs w:val="32"/>
          <w:highlight w:val="none"/>
          <w:shd w:val="clear" w:color="auto" w:fill="auto"/>
          <w:lang w:val="en-US" w:eastAsia="zh-CN" w:bidi="ar-SA"/>
        </w:rPr>
        <w:t>一．上年度存在问题整改情况</w:t>
      </w:r>
    </w:p>
    <w:p>
      <w:pPr>
        <w:pStyle w:val="2"/>
        <w:numPr>
          <w:ilvl w:val="0"/>
          <w:numId w:val="0"/>
        </w:numPr>
        <w:ind w:firstLine="640" w:firstLineChars="200"/>
        <w:rPr>
          <w:rFonts w:hint="default" w:ascii="仿宋_GB2312" w:hAnsi="仿宋_GB2312" w:eastAsia="仿宋_GB2312" w:cs="仿宋_GB2312"/>
          <w:kern w:val="2"/>
          <w:sz w:val="32"/>
          <w:szCs w:val="32"/>
          <w:highlight w:val="none"/>
          <w:shd w:val="clear" w:color="auto" w:fill="auto"/>
          <w:lang w:val="en-US" w:eastAsia="zh-CN" w:bidi="ar-SA"/>
        </w:rPr>
      </w:pPr>
      <w:r>
        <w:rPr>
          <w:rFonts w:hint="eastAsia" w:ascii="仿宋_GB2312" w:hAnsi="仿宋_GB2312" w:eastAsia="仿宋_GB2312" w:cs="仿宋_GB2312"/>
          <w:kern w:val="2"/>
          <w:sz w:val="32"/>
          <w:szCs w:val="32"/>
          <w:highlight w:val="none"/>
          <w:shd w:val="clear" w:color="auto" w:fill="auto"/>
          <w:lang w:val="en-US" w:eastAsia="zh-CN" w:bidi="ar-SA"/>
        </w:rPr>
        <w:t>2023年度，我局认真落实改进上一年度存在问题，一、通过图解形式，准确、形象地解读政策文件，提升政策解读质量；二、进一步提高规范性文件制发质量，注重源头把控，除依法需要保密的信息，对涉及群众切身利益或者对公民、企业和其他组织权利义务有重大影响的行政规范性文件，充分征求社会公开和利益相关方意见。</w:t>
      </w:r>
    </w:p>
    <w:p>
      <w:pPr>
        <w:pStyle w:val="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firstLineChars="200"/>
        <w:jc w:val="left"/>
        <w:rPr>
          <w:rFonts w:hint="eastAsia" w:ascii="仿宋_GB2312" w:hAnsi="仿宋_GB2312" w:eastAsia="仿宋_GB2312" w:cs="仿宋_GB2312"/>
          <w:kern w:val="2"/>
          <w:sz w:val="32"/>
          <w:szCs w:val="32"/>
          <w:highlight w:val="none"/>
          <w:shd w:val="clear" w:color="auto" w:fill="auto"/>
          <w:lang w:val="en-US" w:eastAsia="zh-CN" w:bidi="ar-SA"/>
        </w:rPr>
      </w:pPr>
      <w:r>
        <w:rPr>
          <w:rFonts w:hint="eastAsia" w:ascii="仿宋_GB2312" w:hAnsi="仿宋_GB2312" w:eastAsia="仿宋_GB2312" w:cs="仿宋_GB2312"/>
          <w:kern w:val="2"/>
          <w:sz w:val="32"/>
          <w:szCs w:val="32"/>
          <w:highlight w:val="none"/>
          <w:shd w:val="clear" w:color="auto" w:fill="auto"/>
          <w:lang w:val="en-US" w:eastAsia="zh-CN" w:bidi="ar-SA"/>
        </w:rPr>
        <w:t>存在问题：政务公开内容有待进一步深化、信息公开不及时等问题。</w:t>
      </w:r>
    </w:p>
    <w:p>
      <w:pPr>
        <w:pStyle w:val="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firstLineChars="200"/>
        <w:jc w:val="left"/>
        <w:rPr>
          <w:rFonts w:hint="default" w:ascii="仿宋_GB2312" w:hAnsi="仿宋_GB2312" w:eastAsia="仿宋_GB2312" w:cs="仿宋_GB2312"/>
          <w:kern w:val="2"/>
          <w:sz w:val="32"/>
          <w:szCs w:val="32"/>
          <w:highlight w:val="none"/>
          <w:shd w:val="clear" w:color="auto" w:fill="auto"/>
          <w:lang w:val="en-US" w:eastAsia="zh-CN" w:bidi="ar-SA"/>
        </w:rPr>
      </w:pPr>
      <w:r>
        <w:rPr>
          <w:rFonts w:hint="eastAsia" w:ascii="仿宋_GB2312" w:hAnsi="仿宋_GB2312" w:eastAsia="仿宋_GB2312" w:cs="仿宋_GB2312"/>
          <w:kern w:val="2"/>
          <w:sz w:val="32"/>
          <w:szCs w:val="32"/>
          <w:highlight w:val="none"/>
          <w:shd w:val="clear" w:color="auto" w:fill="auto"/>
          <w:lang w:val="en-US" w:eastAsia="zh-CN" w:bidi="ar-SA"/>
        </w:rPr>
        <w:t>下一步改进措施：</w:t>
      </w:r>
      <w:r>
        <w:rPr>
          <w:rFonts w:hint="eastAsia" w:ascii="仿宋_GB2312" w:hAnsi="仿宋_GB2312" w:eastAsia="仿宋_GB2312" w:cs="仿宋_GB2312"/>
          <w:sz w:val="32"/>
          <w:szCs w:val="32"/>
          <w:highlight w:val="none"/>
          <w:shd w:val="clear" w:color="auto" w:fill="auto"/>
          <w:lang w:val="en-US" w:eastAsia="zh-CN"/>
        </w:rPr>
        <w:t>一、</w:t>
      </w:r>
      <w:r>
        <w:rPr>
          <w:rFonts w:hint="eastAsia" w:ascii="仿宋_GB2312" w:hAnsi="仿宋_GB2312" w:eastAsia="仿宋_GB2312" w:cs="仿宋_GB2312"/>
          <w:kern w:val="2"/>
          <w:sz w:val="32"/>
          <w:szCs w:val="32"/>
          <w:highlight w:val="none"/>
          <w:shd w:val="clear" w:color="auto" w:fill="auto"/>
          <w:lang w:val="en-US" w:eastAsia="zh-CN" w:bidi="ar-SA"/>
        </w:rPr>
        <w:t>进一步规范政务公开的内容、方式、程序和监督保障措施，及时总结经验，不断提高我局政务公开的质量和水平。二、检查与自查相结合，</w:t>
      </w:r>
      <w:r>
        <w:rPr>
          <w:rFonts w:hint="eastAsia" w:ascii="仿宋_GB2312" w:hAnsi="仿宋_GB2312" w:eastAsia="仿宋_GB2312" w:cs="仿宋_GB2312"/>
          <w:sz w:val="32"/>
          <w:szCs w:val="32"/>
          <w:highlight w:val="none"/>
          <w:shd w:val="clear" w:color="auto" w:fill="auto"/>
          <w:lang w:val="en-US" w:eastAsia="zh-CN"/>
        </w:rPr>
        <w:t>定期更新政府信息公开网站上的信息公开目录和内容。</w:t>
      </w:r>
    </w:p>
    <w:p>
      <w:pPr>
        <w:widowControl/>
        <w:shd w:val="clear" w:color="auto" w:fill="FFFFFF"/>
        <w:spacing w:before="0" w:beforeAutospacing="0" w:after="0" w:afterAutospacing="0"/>
        <w:ind w:firstLine="420"/>
        <w:jc w:val="both"/>
        <w:rPr>
          <w:rFonts w:ascii="宋体" w:hAnsi="宋体" w:eastAsia="宋体" w:cs="宋体"/>
          <w:color w:val="000000"/>
          <w:kern w:val="0"/>
          <w:sz w:val="32"/>
          <w:szCs w:val="32"/>
          <w:shd w:val="clear" w:color="auto" w:fill="auto"/>
          <w:lang w:val="en-US" w:eastAsia="zh-CN" w:bidi="ar-SA"/>
        </w:rPr>
      </w:pPr>
      <w:r>
        <w:rPr>
          <w:rFonts w:hint="eastAsia" w:ascii="宋体" w:hAnsi="宋体" w:eastAsia="宋体" w:cs="宋体"/>
          <w:b/>
          <w:color w:val="000000"/>
          <w:kern w:val="0"/>
          <w:sz w:val="32"/>
          <w:szCs w:val="32"/>
          <w:shd w:val="clear" w:color="auto" w:fill="auto"/>
          <w:lang w:val="en-US" w:eastAsia="zh-CN" w:bidi="ar-SA"/>
        </w:rPr>
        <w:t>六、其他需要报告的事项</w:t>
      </w:r>
    </w:p>
    <w:p>
      <w:pPr>
        <w:ind w:firstLine="640" w:firstLineChars="200"/>
        <w:rPr>
          <w:rFonts w:hint="default" w:ascii="仿宋_GB2312" w:hAnsi="仿宋_GB2312" w:eastAsia="仿宋_GB2312" w:cs="仿宋_GB2312"/>
          <w:kern w:val="2"/>
          <w:sz w:val="32"/>
          <w:szCs w:val="32"/>
          <w:highlight w:val="none"/>
          <w:shd w:val="clear" w:color="auto" w:fill="auto"/>
          <w:lang w:val="en-US" w:eastAsia="zh-CN" w:bidi="ar-SA"/>
        </w:rPr>
      </w:pPr>
      <w:r>
        <w:rPr>
          <w:rFonts w:hint="eastAsia" w:ascii="仿宋_GB2312" w:hAnsi="仿宋_GB2312" w:eastAsia="仿宋_GB2312" w:cs="仿宋_GB2312"/>
          <w:kern w:val="2"/>
          <w:sz w:val="32"/>
          <w:szCs w:val="32"/>
          <w:highlight w:val="none"/>
          <w:shd w:val="clear" w:color="auto" w:fill="auto"/>
          <w:lang w:val="en-US" w:eastAsia="zh-CN" w:bidi="ar-SA"/>
        </w:rPr>
        <w:t>按照《国务院办公厅关于印发〈政府信息公开信息处理费管理办法〉 的通知》（国办函〔2020〕109号）规定的按件、按量收费标准，本年度没有产生信息公开处理费。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C4EDF8"/>
    <w:multiLevelType w:val="singleLevel"/>
    <w:tmpl w:val="87C4EDF8"/>
    <w:lvl w:ilvl="0" w:tentative="0">
      <w:start w:val="2"/>
      <w:numFmt w:val="chineseCounting"/>
      <w:suff w:val="nothing"/>
      <w:lvlText w:val="%1．"/>
      <w:lvlJc w:val="left"/>
      <w:rPr>
        <w:rFonts w:hint="eastAsia"/>
      </w:rPr>
    </w:lvl>
  </w:abstractNum>
  <w:abstractNum w:abstractNumId="1">
    <w:nsid w:val="A187835F"/>
    <w:multiLevelType w:val="singleLevel"/>
    <w:tmpl w:val="A187835F"/>
    <w:lvl w:ilvl="0" w:tentative="0">
      <w:start w:val="4"/>
      <w:numFmt w:val="chineseCounting"/>
      <w:suff w:val="nothing"/>
      <w:lvlText w:val="（%1）"/>
      <w:lvlJc w:val="left"/>
      <w:rPr>
        <w:rFonts w:hint="eastAsia"/>
      </w:rPr>
    </w:lvl>
  </w:abstractNum>
  <w:abstractNum w:abstractNumId="2">
    <w:nsid w:val="BDE4DA5E"/>
    <w:multiLevelType w:val="singleLevel"/>
    <w:tmpl w:val="BDE4DA5E"/>
    <w:lvl w:ilvl="0" w:tentative="0">
      <w:start w:val="5"/>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wY2I5NzVjMGJlMjJhMTBlYTc5MjU3MDZhNjc3YjYifQ=="/>
  </w:docVars>
  <w:rsids>
    <w:rsidRoot w:val="00000000"/>
    <w:rsid w:val="0093008B"/>
    <w:rsid w:val="045C3F91"/>
    <w:rsid w:val="09423ED2"/>
    <w:rsid w:val="0C0150B1"/>
    <w:rsid w:val="0E256FA8"/>
    <w:rsid w:val="1C2045D4"/>
    <w:rsid w:val="1F593019"/>
    <w:rsid w:val="239702A7"/>
    <w:rsid w:val="2CA75C42"/>
    <w:rsid w:val="33573861"/>
    <w:rsid w:val="43201F15"/>
    <w:rsid w:val="514031F0"/>
    <w:rsid w:val="52EA3518"/>
    <w:rsid w:val="5A90287E"/>
    <w:rsid w:val="61744FEB"/>
    <w:rsid w:val="62286F24"/>
    <w:rsid w:val="7CDD7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Normal Indent1"/>
    <w:qFormat/>
    <w:uiPriority w:val="0"/>
    <w:pPr>
      <w:widowControl w:val="0"/>
      <w:spacing w:line="480" w:lineRule="auto"/>
      <w:ind w:firstLine="420" w:firstLineChars="200"/>
      <w:jc w:val="both"/>
    </w:pPr>
    <w:rPr>
      <w:rFonts w:ascii="Times New Roman" w:hAnsi="Times New Roman" w:eastAsia="宋体" w:cs="Times New Roman"/>
      <w:kern w:val="2"/>
      <w:sz w:val="21"/>
      <w:lang w:val="en-US" w:eastAsia="zh-CN" w:bidi="ar-SA"/>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2405</Words>
  <Characters>2489</Characters>
  <Lines>0</Lines>
  <Paragraphs>0</Paragraphs>
  <TotalTime>1</TotalTime>
  <ScaleCrop>false</ScaleCrop>
  <LinksUpToDate>false</LinksUpToDate>
  <CharactersWithSpaces>2502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汐雨叶</cp:lastModifiedBy>
  <cp:lastPrinted>2024-01-22T01:17:00Z</cp:lastPrinted>
  <dcterms:modified xsi:type="dcterms:W3CDTF">2024-02-26T01:27:36Z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12E4A238C2CE489F82455B87973088B6</vt:lpwstr>
  </property>
</Properties>
</file>