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627"/>
        <w:spacing w:before="185" w:line="204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中华人民共和国海关统计条例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12" w:right="633" w:firstLine="35"/>
        <w:spacing w:before="101" w:line="344" w:lineRule="auto"/>
        <w:jc w:val="both"/>
        <w:rPr/>
      </w:pPr>
      <w:r>
        <w:rPr>
          <w:spacing w:val="-2"/>
        </w:rPr>
        <w:t>（2005</w:t>
      </w:r>
      <w:r>
        <w:rPr>
          <w:spacing w:val="-73"/>
        </w:rPr>
        <w:t xml:space="preserve"> </w:t>
      </w:r>
      <w:r>
        <w:rPr>
          <w:spacing w:val="-2"/>
        </w:rPr>
        <w:t>年</w:t>
      </w:r>
      <w:r>
        <w:rPr>
          <w:spacing w:val="-59"/>
        </w:rPr>
        <w:t xml:space="preserve"> </w:t>
      </w:r>
      <w:r>
        <w:rPr>
          <w:spacing w:val="-2"/>
        </w:rPr>
        <w:t>12</w:t>
      </w:r>
      <w:r>
        <w:rPr>
          <w:spacing w:val="-61"/>
        </w:rPr>
        <w:t xml:space="preserve"> </w:t>
      </w:r>
      <w:r>
        <w:rPr>
          <w:spacing w:val="-2"/>
        </w:rPr>
        <w:t>月</w:t>
      </w:r>
      <w:r>
        <w:rPr>
          <w:spacing w:val="-78"/>
        </w:rPr>
        <w:t xml:space="preserve"> </w:t>
      </w:r>
      <w:r>
        <w:rPr>
          <w:spacing w:val="-2"/>
        </w:rPr>
        <w:t>25</w:t>
      </w:r>
      <w:r>
        <w:rPr>
          <w:spacing w:val="-2"/>
        </w:rPr>
        <w:t xml:space="preserve"> </w:t>
      </w:r>
      <w:r>
        <w:rPr>
          <w:spacing w:val="-2"/>
        </w:rPr>
        <w:t>日中华人民共和国</w:t>
      </w:r>
      <w:r>
        <w:rPr>
          <w:spacing w:val="-3"/>
        </w:rPr>
        <w:t>国务院令第</w:t>
      </w:r>
      <w:r>
        <w:rPr>
          <w:spacing w:val="-84"/>
        </w:rPr>
        <w:t xml:space="preserve"> </w:t>
      </w:r>
      <w:r>
        <w:rPr>
          <w:spacing w:val="-3"/>
        </w:rPr>
        <w:t>454</w:t>
      </w:r>
      <w:r>
        <w:rPr>
          <w:spacing w:val="-67"/>
        </w:rPr>
        <w:t xml:space="preserve"> </w:t>
      </w:r>
      <w:r>
        <w:rPr>
          <w:spacing w:val="-3"/>
        </w:rPr>
        <w:t>号</w:t>
      </w:r>
      <w:r>
        <w:rPr/>
        <w:t xml:space="preserve"> </w:t>
      </w:r>
      <w:r>
        <w:rPr/>
        <w:t>公布</w:t>
      </w:r>
      <w:r>
        <w:rPr/>
        <w:t xml:space="preserve">  </w:t>
      </w:r>
      <w:r>
        <w:rPr/>
        <w:t>根据</w:t>
      </w:r>
      <w:r>
        <w:rPr>
          <w:spacing w:val="-55"/>
        </w:rPr>
        <w:t xml:space="preserve"> </w:t>
      </w:r>
      <w:r>
        <w:rPr/>
        <w:t>2022</w:t>
      </w:r>
      <w:r>
        <w:rPr>
          <w:spacing w:val="-61"/>
        </w:rPr>
        <w:t xml:space="preserve"> </w:t>
      </w:r>
      <w:r>
        <w:rPr/>
        <w:t>年</w:t>
      </w:r>
      <w:r>
        <w:rPr>
          <w:spacing w:val="-65"/>
        </w:rPr>
        <w:t xml:space="preserve"> </w:t>
      </w:r>
      <w:r>
        <w:rPr/>
        <w:t>3</w:t>
      </w:r>
      <w:r>
        <w:rPr>
          <w:spacing w:val="-50"/>
        </w:rPr>
        <w:t xml:space="preserve"> </w:t>
      </w:r>
      <w:r>
        <w:rPr/>
        <w:t>月</w:t>
      </w:r>
      <w:r>
        <w:rPr>
          <w:spacing w:val="-68"/>
        </w:rPr>
        <w:t xml:space="preserve"> </w:t>
      </w:r>
      <w:r>
        <w:rPr/>
        <w:t>29</w:t>
      </w:r>
      <w:r>
        <w:rPr/>
        <w:t xml:space="preserve"> </w:t>
      </w:r>
      <w:r>
        <w:rPr/>
        <w:t>日《国务院关于修改和废止</w:t>
      </w:r>
    </w:p>
    <w:p>
      <w:pPr>
        <w:pStyle w:val="BodyText"/>
        <w:ind w:left="622"/>
        <w:spacing w:before="1" w:line="229" w:lineRule="auto"/>
        <w:rPr/>
      </w:pPr>
      <w:r>
        <w:rPr>
          <w:spacing w:val="4"/>
        </w:rPr>
        <w:t>部分行政法规的决定》修订）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ind w:left="1" w:right="4" w:firstLine="630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第一条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为了科学、有效地开展海关统计工</w:t>
      </w:r>
      <w:r>
        <w:rPr>
          <w:rFonts w:ascii="FangSong" w:hAnsi="FangSong" w:eastAsia="FangSong" w:cs="FangSong"/>
          <w:sz w:val="31"/>
          <w:szCs w:val="31"/>
          <w:spacing w:val="5"/>
        </w:rPr>
        <w:t>作，保障海关统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计的准确性、及时性、完整性，根据《中华人民共和国海关</w:t>
      </w:r>
      <w:r>
        <w:rPr>
          <w:rFonts w:ascii="FangSong" w:hAnsi="FangSong" w:eastAsia="FangSong" w:cs="FangSong"/>
          <w:sz w:val="31"/>
          <w:szCs w:val="31"/>
          <w:spacing w:val="5"/>
        </w:rPr>
        <w:t>法》</w:t>
      </w:r>
    </w:p>
    <w:p>
      <w:pPr>
        <w:ind w:left="1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和《中华人民共和国统计法》的有关规定，制定本</w:t>
      </w:r>
      <w:r>
        <w:rPr>
          <w:rFonts w:ascii="FangSong" w:hAnsi="FangSong" w:eastAsia="FangSong" w:cs="FangSong"/>
          <w:sz w:val="31"/>
          <w:szCs w:val="31"/>
          <w:spacing w:val="4"/>
        </w:rPr>
        <w:t>条例。</w:t>
      </w:r>
    </w:p>
    <w:p>
      <w:pPr>
        <w:ind w:right="2"/>
        <w:spacing w:before="204" w:line="582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第二条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海关统计是海关依法对进出口货物贸易的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统计，是</w:t>
      </w:r>
    </w:p>
    <w:p>
      <w:pPr>
        <w:ind w:left="21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国民经济统计的组成部分。</w:t>
      </w:r>
    </w:p>
    <w:p>
      <w:pPr>
        <w:ind w:firstLine="639"/>
        <w:spacing w:before="209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海关统计的任务是对进出口货物贸易进行统计调查、统计分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析和统计监督，进行进出口监测预警，编制、管理和公布海关统</w:t>
      </w:r>
    </w:p>
    <w:p>
      <w:pPr>
        <w:ind w:left="1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计资料，提供统计服务。</w:t>
      </w:r>
    </w:p>
    <w:p>
      <w:pPr>
        <w:ind w:left="632"/>
        <w:spacing w:before="20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第三条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海关总署负责组织、管理全国海关统计工作。</w:t>
      </w:r>
    </w:p>
    <w:p>
      <w:pPr>
        <w:ind w:left="4" w:firstLine="634"/>
        <w:spacing w:before="205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海关统计机构、统计人员应当依照《中华人民共和国统计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法》、《中华人民共和国统计法实施条例》及本条例的规定履行职</w:t>
      </w:r>
    </w:p>
    <w:p>
      <w:pPr>
        <w:ind w:left="3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责。</w:t>
      </w:r>
    </w:p>
    <w:p>
      <w:pPr>
        <w:ind w:right="4"/>
        <w:spacing w:before="202" w:line="223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第四条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实际进出境并引起境内物质存量增加或者</w:t>
      </w:r>
      <w:r>
        <w:rPr>
          <w:rFonts w:ascii="FangSong" w:hAnsi="FangSong" w:eastAsia="FangSong" w:cs="FangSong"/>
          <w:sz w:val="31"/>
          <w:szCs w:val="31"/>
          <w:spacing w:val="17"/>
        </w:rPr>
        <w:t>减少的</w:t>
      </w:r>
    </w:p>
    <w:p>
      <w:pPr>
        <w:spacing w:line="223" w:lineRule="auto"/>
        <w:sectPr>
          <w:footerReference w:type="default" r:id="rId1"/>
          <w:pgSz w:w="11906" w:h="16839"/>
          <w:pgMar w:top="1431" w:right="1444" w:bottom="757" w:left="1607" w:header="0" w:footer="316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13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货物，列入海关统计。</w:t>
      </w:r>
    </w:p>
    <w:p>
      <w:pPr>
        <w:ind w:left="635"/>
        <w:spacing w:before="20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进出境物品超过自用、合理数量的，列入海关统计。</w:t>
      </w:r>
    </w:p>
    <w:p>
      <w:pPr>
        <w:ind w:left="635"/>
        <w:spacing w:before="205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第五条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下列进出口货物不列入海关统计：</w:t>
      </w:r>
    </w:p>
    <w:p>
      <w:pPr>
        <w:ind w:left="627"/>
        <w:spacing w:before="20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z w:val="31"/>
          <w:szCs w:val="31"/>
          <w:spacing w:val="-8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一）过境、转运和通运货物；</w:t>
      </w:r>
    </w:p>
    <w:p>
      <w:pPr>
        <w:ind w:left="627"/>
        <w:spacing w:before="21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（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二）暂时进出口货物；</w:t>
      </w:r>
    </w:p>
    <w:p>
      <w:pPr>
        <w:ind w:left="627"/>
        <w:spacing w:before="21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（三）货币及货币用黄金；</w:t>
      </w:r>
    </w:p>
    <w:p>
      <w:pPr>
        <w:ind w:left="627"/>
        <w:spacing w:before="20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（四）租赁期</w:t>
      </w:r>
      <w:r>
        <w:rPr>
          <w:rFonts w:ascii="FangSong" w:hAnsi="FangSong" w:eastAsia="FangSong" w:cs="FangSong"/>
          <w:sz w:val="31"/>
          <w:szCs w:val="31"/>
          <w:spacing w:val="-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</w:t>
      </w:r>
      <w:r>
        <w:rPr>
          <w:rFonts w:ascii="FangSong" w:hAnsi="FangSong" w:eastAsia="FangSong" w:cs="FangSong"/>
          <w:sz w:val="31"/>
          <w:szCs w:val="31"/>
          <w:spacing w:val="-6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年以下的租赁进出口货物；</w:t>
      </w:r>
    </w:p>
    <w:p>
      <w:pPr>
        <w:spacing w:before="207" w:line="578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（五）因残损、短少、品质不良或者规格不符而免费补偿或</w:t>
      </w:r>
    </w:p>
    <w:p>
      <w:pPr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者更换的进出口货物；</w:t>
      </w:r>
    </w:p>
    <w:p>
      <w:pPr>
        <w:ind w:left="627"/>
        <w:spacing w:before="21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（六）海关总署规定的不列入海关统计的其他货物。</w:t>
      </w:r>
    </w:p>
    <w:p>
      <w:pPr>
        <w:ind w:left="635"/>
        <w:spacing w:before="206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第六条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进出口货物的统计项目包括：</w:t>
      </w:r>
    </w:p>
    <w:p>
      <w:pPr>
        <w:ind w:left="627"/>
        <w:spacing w:before="20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（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一）品名及编码；</w:t>
      </w:r>
    </w:p>
    <w:p>
      <w:pPr>
        <w:ind w:left="627"/>
        <w:spacing w:before="2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（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二）数量、价格；</w:t>
      </w:r>
    </w:p>
    <w:p>
      <w:pPr>
        <w:ind w:left="627"/>
        <w:spacing w:before="20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（三）进出口货物收发货人；</w:t>
      </w:r>
    </w:p>
    <w:p>
      <w:pPr>
        <w:ind w:left="627"/>
        <w:spacing w:before="20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（四）贸易方式；</w:t>
      </w:r>
    </w:p>
    <w:p>
      <w:pPr>
        <w:ind w:left="627"/>
        <w:spacing w:before="2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（五）运输方式；</w:t>
      </w:r>
    </w:p>
    <w:p>
      <w:pPr>
        <w:spacing w:before="205" w:line="581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  <w:position w:val="20"/>
        </w:rPr>
        <w:t>（六）进口货物的原产国（地区）、启运国（地区）、境内目</w:t>
      </w:r>
    </w:p>
    <w:p>
      <w:pPr>
        <w:ind w:left="2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的地；</w:t>
      </w:r>
    </w:p>
    <w:p>
      <w:pPr>
        <w:spacing w:before="205" w:line="578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  <w:position w:val="19"/>
        </w:rPr>
        <w:t>（七）出口货物的最终目的国（地区）、运抵国（地区）、境</w:t>
      </w:r>
    </w:p>
    <w:p>
      <w:pPr>
        <w:ind w:left="42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内货源地；</w:t>
      </w:r>
    </w:p>
    <w:p>
      <w:pPr>
        <w:ind w:left="627"/>
        <w:spacing w:before="2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（八）进出口日期；</w:t>
      </w:r>
    </w:p>
    <w:p>
      <w:pPr>
        <w:ind w:left="627"/>
        <w:spacing w:before="20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（九）关别；</w:t>
      </w:r>
    </w:p>
    <w:p>
      <w:pPr>
        <w:spacing w:line="222" w:lineRule="auto"/>
        <w:sectPr>
          <w:footerReference w:type="default" r:id="rId2"/>
          <w:pgSz w:w="11906" w:h="16839"/>
          <w:pgMar w:top="1431" w:right="1449" w:bottom="757" w:left="1603" w:header="0" w:footer="316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635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（十）海关总署规定的其他统计项目。</w:t>
      </w:r>
    </w:p>
    <w:p>
      <w:pPr>
        <w:ind w:right="65"/>
        <w:spacing w:before="208" w:line="578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根据国民经济发展和海关监管需要，海关总署可以对统计项</w:t>
      </w:r>
    </w:p>
    <w:p>
      <w:pPr>
        <w:ind w:left="62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目进行调整。</w:t>
      </w:r>
    </w:p>
    <w:p>
      <w:pPr>
        <w:ind w:right="67"/>
        <w:spacing w:before="205" w:line="58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第七条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进出口货物的品名及编码，按照《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中华人民共和国</w:t>
      </w:r>
    </w:p>
    <w:p>
      <w:pPr>
        <w:ind w:left="12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海关统计商品目录》归类统计。</w:t>
      </w:r>
    </w:p>
    <w:p>
      <w:pPr>
        <w:ind w:right="67"/>
        <w:spacing w:before="207" w:line="57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进出口货物的数量，按照《中华人民共和国海关统计商品目</w:t>
      </w:r>
    </w:p>
    <w:p>
      <w:pPr>
        <w:ind w:left="18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录》规定的计量单位统计。</w:t>
      </w:r>
    </w:p>
    <w:p>
      <w:pPr>
        <w:ind w:left="635"/>
        <w:spacing w:before="207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《中华人民共和国海关统计商品目录》由海关总署公布。</w:t>
      </w:r>
    </w:p>
    <w:p>
      <w:pPr>
        <w:ind w:right="67"/>
        <w:spacing w:before="208" w:line="582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第八条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进口货物的价格，按照货价、货物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运抵中华人民共</w:t>
      </w:r>
    </w:p>
    <w:p>
      <w:pPr>
        <w:spacing w:line="221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和国境内输入地点起卸前的运输及其相关费用、保险费之和统计。</w:t>
      </w:r>
    </w:p>
    <w:p>
      <w:pPr>
        <w:ind w:left="8" w:right="62" w:firstLine="675"/>
        <w:spacing w:before="209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出口货物的价格，按照货价、货物运抵中华人民共和国境内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输出地点装卸前的运输及其相关费用、保险费之和统计，其中包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含的出口关税税额，应当予以扣除。</w:t>
      </w:r>
    </w:p>
    <w:p>
      <w:pPr>
        <w:ind w:right="67"/>
        <w:spacing w:before="206" w:line="58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第九条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进口货物，应当分别统计其原产国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（地区）、启运</w:t>
      </w:r>
    </w:p>
    <w:p>
      <w:pPr>
        <w:ind w:left="32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国（地区）和境内目的地。</w:t>
      </w:r>
    </w:p>
    <w:p>
      <w:pPr>
        <w:ind w:right="65"/>
        <w:spacing w:before="205" w:line="578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  <w:position w:val="19"/>
        </w:rPr>
        <w:t>出口货物，应当分别统计其最终目的国（地区）、运</w:t>
      </w:r>
      <w:r>
        <w:rPr>
          <w:rFonts w:ascii="FangSong" w:hAnsi="FangSong" w:eastAsia="FangSong" w:cs="FangSong"/>
          <w:sz w:val="31"/>
          <w:szCs w:val="31"/>
          <w:spacing w:val="-8"/>
          <w:position w:val="19"/>
        </w:rPr>
        <w:t>抵国（地</w:t>
      </w:r>
    </w:p>
    <w:p>
      <w:pPr>
        <w:ind w:left="48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区）和境内货源地。</w:t>
      </w:r>
    </w:p>
    <w:p>
      <w:pPr>
        <w:ind w:right="65"/>
        <w:spacing w:before="206" w:line="57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第十条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进出口货物收发货人，按照从事进出口经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营活动的</w:t>
      </w:r>
    </w:p>
    <w:p>
      <w:pPr>
        <w:ind w:left="16"/>
        <w:spacing w:before="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法人、其他组织或者个人统计。</w:t>
      </w:r>
    </w:p>
    <w:p>
      <w:pPr>
        <w:ind w:right="65"/>
        <w:spacing w:before="204" w:line="58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第十一条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进出口货物的贸易方式，按照海关监管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要求分类</w:t>
      </w:r>
    </w:p>
    <w:p>
      <w:pPr>
        <w:ind w:left="2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统计。</w:t>
      </w:r>
    </w:p>
    <w:p>
      <w:pPr>
        <w:ind w:left="643"/>
        <w:spacing w:before="206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第十二条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进出口货物的运输方式，按照货物进出</w:t>
      </w:r>
      <w:r>
        <w:rPr>
          <w:rFonts w:ascii="FangSong" w:hAnsi="FangSong" w:eastAsia="FangSong" w:cs="FangSong"/>
          <w:sz w:val="31"/>
          <w:szCs w:val="31"/>
          <w:spacing w:val="5"/>
        </w:rPr>
        <w:t>境时的运</w:t>
      </w:r>
    </w:p>
    <w:p>
      <w:pPr>
        <w:spacing w:line="225" w:lineRule="auto"/>
        <w:sectPr>
          <w:footerReference w:type="default" r:id="rId3"/>
          <w:pgSz w:w="11906" w:h="16839"/>
          <w:pgMar w:top="1431" w:right="1381" w:bottom="757" w:left="1596" w:header="0" w:footer="319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spacing w:before="101" w:line="581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20"/>
        </w:rPr>
        <w:t>输方式统计，包括水路运输、铁路运输、公路运输、航空运输及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其他运输方式。</w:t>
      </w:r>
    </w:p>
    <w:p>
      <w:pPr>
        <w:spacing w:line="139" w:lineRule="exact"/>
        <w:rPr/>
      </w:pPr>
      <w:r/>
    </w:p>
    <w:p>
      <w:pPr>
        <w:spacing w:line="139" w:lineRule="exact"/>
        <w:sectPr>
          <w:footerReference w:type="default" r:id="rId4"/>
          <w:pgSz w:w="11906" w:h="16839"/>
          <w:pgMar w:top="1431" w:right="1444" w:bottom="757" w:left="1595" w:header="0" w:footer="316" w:gutter="0"/>
          <w:cols w:equalWidth="0" w:num="1">
            <w:col w:w="8867" w:space="0"/>
          </w:cols>
        </w:sectPr>
        <w:rPr/>
      </w:pPr>
    </w:p>
    <w:p>
      <w:pPr>
        <w:ind w:left="644"/>
        <w:spacing w:before="6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第十三条</w:t>
      </w:r>
    </w:p>
    <w:p>
      <w:pPr>
        <w:ind w:left="63"/>
        <w:spacing w:before="198" w:line="345" w:lineRule="auto"/>
        <w:jc w:val="right"/>
        <w:rPr>
          <w:rFonts w:ascii="SimHei" w:hAnsi="SimHei" w:eastAsia="SimHei" w:cs="SimHe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5"/>
        </w:rPr>
        <w:t>口货物的日期，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第十四条</w:t>
      </w:r>
    </w:p>
    <w:p>
      <w:pPr>
        <w:ind w:left="644"/>
        <w:spacing w:before="1" w:line="19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</w:rPr>
        <w:t>第十五条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57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>进口货物的日期，按照海关放行的日期统计；</w:t>
      </w:r>
      <w:r>
        <w:rPr>
          <w:rFonts w:ascii="FangSong" w:hAnsi="FangSong" w:eastAsia="FangSong" w:cs="FangSong"/>
          <w:sz w:val="31"/>
          <w:szCs w:val="31"/>
          <w:spacing w:val="-76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>出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按照办结海关手续的日期统计。</w:t>
      </w:r>
    </w:p>
    <w:p>
      <w:pPr>
        <w:ind w:left="5"/>
        <w:spacing w:before="20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进出口货物由接受申报的海关负责统计。</w:t>
      </w:r>
    </w:p>
    <w:p>
      <w:pPr>
        <w:ind w:right="4"/>
        <w:spacing w:before="210" w:line="19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海关统计资料包括海关统计原始资料以及以原</w:t>
      </w:r>
    </w:p>
    <w:p>
      <w:pPr>
        <w:spacing w:line="192" w:lineRule="auto"/>
        <w:sectPr>
          <w:type w:val="continuous"/>
          <w:pgSz w:w="11906" w:h="16839"/>
          <w:pgMar w:top="1431" w:right="1444" w:bottom="757" w:left="1595" w:header="0" w:footer="316" w:gutter="0"/>
          <w:cols w:equalWidth="0" w:num="2">
            <w:col w:w="2132" w:space="86"/>
            <w:col w:w="6649" w:space="0"/>
          </w:cols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9"/>
        <w:spacing w:before="25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始资料为基础采集、整理的相关统计信息。</w:t>
      </w:r>
    </w:p>
    <w:p>
      <w:pPr>
        <w:ind w:right="2"/>
        <w:spacing w:before="208" w:line="57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前款所称海关统计原始资料，是指经海关确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认的进出口货物</w:t>
      </w:r>
    </w:p>
    <w:p>
      <w:pPr>
        <w:ind w:left="15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报关单及其他有关单证。</w:t>
      </w:r>
    </w:p>
    <w:p>
      <w:pPr>
        <w:ind w:right="2"/>
        <w:spacing w:before="208" w:line="58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第十六条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海关总署应当定期、无偿地向国务院有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关部门提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供有关综合统计资料。</w:t>
      </w:r>
    </w:p>
    <w:p>
      <w:pPr>
        <w:ind w:right="4"/>
        <w:spacing w:before="208" w:line="578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0"/>
        </w:rPr>
        <w:t>直属海关应当定期、无偿地向所在地省、</w:t>
      </w:r>
      <w:r>
        <w:rPr>
          <w:rFonts w:ascii="FangSong" w:hAnsi="FangSong" w:eastAsia="FangSong" w:cs="FangSong"/>
          <w:sz w:val="31"/>
          <w:szCs w:val="31"/>
          <w:spacing w:val="-64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0"/>
        </w:rPr>
        <w:t>自治区、直辖市人</w:t>
      </w:r>
    </w:p>
    <w:p>
      <w:pPr>
        <w:ind w:left="49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民政府有关部门提供有关综合统计资料。</w:t>
      </w:r>
    </w:p>
    <w:p>
      <w:pPr>
        <w:ind w:right="4"/>
        <w:spacing w:before="209" w:line="58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第十七条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海关应当建立统计资料定期公布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制度，向社会公</w:t>
      </w:r>
    </w:p>
    <w:p>
      <w:pPr>
        <w:ind w:left="2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布海关统计信息。</w:t>
      </w:r>
    </w:p>
    <w:p>
      <w:pPr>
        <w:ind w:left="652"/>
        <w:spacing w:before="20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海关可以根据社会公众的需要，提供统计服务。</w:t>
      </w:r>
    </w:p>
    <w:p>
      <w:pPr>
        <w:ind w:right="4"/>
        <w:spacing w:before="206" w:line="582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  <w:position w:val="19"/>
        </w:rPr>
        <w:t>第十八条</w:t>
      </w:r>
      <w:r>
        <w:rPr>
          <w:rFonts w:ascii="SimHei" w:hAnsi="SimHei" w:eastAsia="SimHei" w:cs="SimHei"/>
          <w:sz w:val="31"/>
          <w:szCs w:val="31"/>
          <w:spacing w:val="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  <w:position w:val="19"/>
        </w:rPr>
        <w:t>海关统计人员对在统计过程中知悉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的国家秘密、</w:t>
      </w:r>
    </w:p>
    <w:p>
      <w:pPr>
        <w:ind w:left="19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商业秘密负有保密义务。</w:t>
      </w:r>
    </w:p>
    <w:p>
      <w:pPr>
        <w:ind w:left="21" w:firstLine="623"/>
        <w:spacing w:before="20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第十九条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当事人有权在保存期限内查询自己申报</w:t>
      </w:r>
      <w:r>
        <w:rPr>
          <w:rFonts w:ascii="FangSong" w:hAnsi="FangSong" w:eastAsia="FangSong" w:cs="FangSong"/>
          <w:sz w:val="31"/>
          <w:szCs w:val="31"/>
          <w:spacing w:val="17"/>
        </w:rPr>
        <w:t>的海关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统计原始资料及相关信息，对查询结果有疑问的，可以</w:t>
      </w:r>
      <w:r>
        <w:rPr>
          <w:rFonts w:ascii="FangSong" w:hAnsi="FangSong" w:eastAsia="FangSong" w:cs="FangSong"/>
          <w:sz w:val="31"/>
          <w:szCs w:val="31"/>
          <w:spacing w:val="5"/>
        </w:rPr>
        <w:t>向海关申</w:t>
      </w:r>
    </w:p>
    <w:p>
      <w:pPr>
        <w:ind w:left="6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请核实，海关应当予以核实，并解答有关问题。</w:t>
      </w:r>
    </w:p>
    <w:p>
      <w:pPr>
        <w:spacing w:before="210" w:line="193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第二十条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海关对当事人依法应当申报的项目有疑</w:t>
      </w:r>
      <w:r>
        <w:rPr>
          <w:rFonts w:ascii="FangSong" w:hAnsi="FangSong" w:eastAsia="FangSong" w:cs="FangSong"/>
          <w:sz w:val="31"/>
          <w:szCs w:val="31"/>
          <w:spacing w:val="5"/>
        </w:rPr>
        <w:t>问的，可</w:t>
      </w:r>
    </w:p>
    <w:p>
      <w:pPr>
        <w:spacing w:line="193" w:lineRule="auto"/>
        <w:sectPr>
          <w:type w:val="continuous"/>
          <w:pgSz w:w="11906" w:h="16839"/>
          <w:pgMar w:top="1431" w:right="1444" w:bottom="757" w:left="1595" w:header="0" w:footer="316" w:gutter="0"/>
          <w:cols w:equalWidth="0" w:num="1">
            <w:col w:w="8867" w:space="0"/>
          </w:cols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43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以向当事人提出查询，</w:t>
      </w:r>
      <w:r>
        <w:rPr>
          <w:rFonts w:ascii="FangSong" w:hAnsi="FangSong" w:eastAsia="FangSong" w:cs="FangSong"/>
          <w:sz w:val="31"/>
          <w:szCs w:val="31"/>
          <w:spacing w:val="-87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当事人应当及时作出答复。</w:t>
      </w:r>
    </w:p>
    <w:p>
      <w:pPr>
        <w:ind w:firstLine="638"/>
        <w:spacing w:before="208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第二十一条</w:t>
      </w:r>
      <w:r>
        <w:rPr>
          <w:rFonts w:ascii="SimHei" w:hAnsi="SimHei" w:eastAsia="SimHei" w:cs="SimHei"/>
          <w:sz w:val="31"/>
          <w:szCs w:val="31"/>
          <w:spacing w:val="1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依法应当申报的项目未申报或者申报</w:t>
      </w:r>
      <w:r>
        <w:rPr>
          <w:rFonts w:ascii="FangSong" w:hAnsi="FangSong" w:eastAsia="FangSong" w:cs="FangSong"/>
          <w:sz w:val="31"/>
          <w:szCs w:val="31"/>
          <w:spacing w:val="17"/>
        </w:rPr>
        <w:t>不实影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响海关统计准确性的，海关应当责令当事人予以更正，需要予以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行政处罚的，依照《中华人民共和国海关行政处罚实施条例》的</w:t>
      </w:r>
    </w:p>
    <w:p>
      <w:pPr>
        <w:ind w:left="9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规定予以处罚。</w:t>
      </w:r>
    </w:p>
    <w:p>
      <w:pPr>
        <w:ind w:left="638"/>
        <w:spacing w:before="204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第二十二条</w:t>
      </w:r>
      <w:r>
        <w:rPr>
          <w:rFonts w:ascii="SimHei" w:hAnsi="SimHei" w:eastAsia="SimHei" w:cs="SimHei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本条例自</w:t>
      </w:r>
      <w:r>
        <w:rPr>
          <w:rFonts w:ascii="FangSong" w:hAnsi="FangSong" w:eastAsia="FangSong" w:cs="FangSong"/>
          <w:sz w:val="31"/>
          <w:szCs w:val="31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2006</w:t>
      </w:r>
      <w:r>
        <w:rPr>
          <w:rFonts w:ascii="FangSong" w:hAnsi="FangSong" w:eastAsia="FangSong" w:cs="FangSong"/>
          <w:sz w:val="31"/>
          <w:szCs w:val="31"/>
          <w:spacing w:val="-6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日起施行。</w:t>
      </w:r>
    </w:p>
    <w:sectPr>
      <w:footerReference w:type="default" r:id="rId5"/>
      <w:pgSz w:w="11906" w:h="16839"/>
      <w:pgMar w:top="1431" w:right="1444" w:bottom="757" w:left="1601" w:header="0" w:footer="31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12"/>
      <w:spacing w:line="215" w:lineRule="auto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  <w:spacing w:val="28"/>
      </w:rPr>
      <w:t>-1</w:t>
    </w:r>
    <w:r>
      <w:rPr>
        <w:rFonts w:ascii="Microsoft YaHei" w:hAnsi="Microsoft YaHei" w:eastAsia="Microsoft YaHei" w:cs="Microsoft YaHei"/>
        <w:sz w:val="28"/>
        <w:szCs w:val="28"/>
        <w:spacing w:val="-14"/>
      </w:rPr>
      <w:t xml:space="preserve"> </w:t>
    </w:r>
    <w:r>
      <w:rPr>
        <w:rFonts w:ascii="Microsoft YaHei" w:hAnsi="Microsoft YaHei" w:eastAsia="Microsoft YaHei" w:cs="Microsoft YaHei"/>
        <w:sz w:val="28"/>
        <w:szCs w:val="28"/>
        <w:spacing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2"/>
      <w:spacing w:line="215" w:lineRule="auto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  <w:spacing w:val="28"/>
      </w:rPr>
      <w:t>-2</w:t>
    </w:r>
    <w:r>
      <w:rPr>
        <w:rFonts w:ascii="Microsoft YaHei" w:hAnsi="Microsoft YaHei" w:eastAsia="Microsoft YaHei" w:cs="Microsoft YaHei"/>
        <w:sz w:val="28"/>
        <w:szCs w:val="28"/>
        <w:spacing w:val="-14"/>
      </w:rPr>
      <w:t xml:space="preserve"> </w:t>
    </w:r>
    <w:r>
      <w:rPr>
        <w:rFonts w:ascii="Microsoft YaHei" w:hAnsi="Microsoft YaHei" w:eastAsia="Microsoft YaHei" w:cs="Microsoft YaHei"/>
        <w:sz w:val="28"/>
        <w:szCs w:val="28"/>
        <w:spacing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24"/>
      <w:spacing w:before="1" w:line="213" w:lineRule="auto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  <w:spacing w:val="28"/>
      </w:rPr>
      <w:t>-3</w:t>
    </w:r>
    <w:r>
      <w:rPr>
        <w:rFonts w:ascii="Microsoft YaHei" w:hAnsi="Microsoft YaHei" w:eastAsia="Microsoft YaHei" w:cs="Microsoft YaHei"/>
        <w:sz w:val="28"/>
        <w:szCs w:val="28"/>
        <w:spacing w:val="-14"/>
      </w:rPr>
      <w:t xml:space="preserve"> </w:t>
    </w:r>
    <w:r>
      <w:rPr>
        <w:rFonts w:ascii="Microsoft YaHei" w:hAnsi="Microsoft YaHei" w:eastAsia="Microsoft YaHei" w:cs="Microsoft YaHei"/>
        <w:sz w:val="28"/>
        <w:szCs w:val="28"/>
        <w:spacing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1"/>
      <w:spacing w:line="215" w:lineRule="auto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  <w:spacing w:val="28"/>
      </w:rPr>
      <w:t>-4</w:t>
    </w:r>
    <w:r>
      <w:rPr>
        <w:rFonts w:ascii="Microsoft YaHei" w:hAnsi="Microsoft YaHei" w:eastAsia="Microsoft YaHei" w:cs="Microsoft YaHei"/>
        <w:sz w:val="28"/>
        <w:szCs w:val="28"/>
        <w:spacing w:val="-14"/>
      </w:rPr>
      <w:t xml:space="preserve"> </w:t>
    </w:r>
    <w:r>
      <w:rPr>
        <w:rFonts w:ascii="Microsoft YaHei" w:hAnsi="Microsoft YaHei" w:eastAsia="Microsoft YaHei" w:cs="Microsoft YaHei"/>
        <w:sz w:val="28"/>
        <w:szCs w:val="28"/>
        <w:spacing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19"/>
      <w:spacing w:before="1" w:line="213" w:lineRule="auto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  <w:spacing w:val="28"/>
      </w:rPr>
      <w:t>-5</w:t>
    </w:r>
    <w:r>
      <w:rPr>
        <w:rFonts w:ascii="Microsoft YaHei" w:hAnsi="Microsoft YaHei" w:eastAsia="Microsoft YaHei" w:cs="Microsoft YaHei"/>
        <w:sz w:val="28"/>
        <w:szCs w:val="28"/>
        <w:spacing w:val="-14"/>
      </w:rPr>
      <w:t xml:space="preserve"> </w:t>
    </w:r>
    <w:r>
      <w:rPr>
        <w:rFonts w:ascii="Microsoft YaHei" w:hAnsi="Microsoft YaHei" w:eastAsia="Microsoft YaHei" w:cs="Microsoft YaHei"/>
        <w:sz w:val="28"/>
        <w:szCs w:val="28"/>
        <w:spacing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KaiTi" w:hAnsi="KaiTi" w:eastAsia="KaiTi" w:cs="KaiTi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YF-INT6</dc:creator>
  <dcterms:created xsi:type="dcterms:W3CDTF">2023-08-15T14:40:21Z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2024-02-29T10:51:54</vt:filetime>
  </property>
</Properties>
</file>