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uto"/>
        <w:jc w:val="center"/>
        <w:outlineLvl w:val="9"/>
        <w:rPr>
          <w:rFonts w:hint="eastAsia" w:ascii="方正小标宋_GBK" w:eastAsia="方正小标宋_GBK" w:cs="Times New Roman"/>
          <w:bCs/>
          <w:color w:val="auto"/>
          <w:sz w:val="28"/>
          <w:szCs w:val="28"/>
          <w:highlight w:val="none"/>
        </w:rPr>
      </w:pPr>
    </w:p>
    <w:p>
      <w:pPr>
        <w:pStyle w:val="8"/>
        <w:rPr>
          <w:rFonts w:hint="eastAsia"/>
          <w:color w:val="auto"/>
          <w:highlight w:val="none"/>
        </w:rPr>
      </w:pPr>
    </w:p>
    <w:p>
      <w:pPr>
        <w:adjustRightInd w:val="0"/>
        <w:snapToGrid w:val="0"/>
        <w:spacing w:line="240" w:lineRule="auto"/>
        <w:jc w:val="center"/>
        <w:outlineLvl w:val="0"/>
        <w:rPr>
          <w:rFonts w:hint="eastAsia" w:ascii="方正小标宋_GBK" w:eastAsia="方正小标宋_GBK" w:cs="Times New Roman"/>
          <w:bCs/>
          <w:color w:val="auto"/>
          <w:sz w:val="72"/>
          <w:szCs w:val="72"/>
          <w:highlight w:val="none"/>
        </w:rPr>
      </w:pPr>
      <w:bookmarkStart w:id="0" w:name="_Toc67775549"/>
      <w:r>
        <w:rPr>
          <w:rFonts w:hint="eastAsia" w:ascii="方正小标宋_GBK" w:eastAsia="方正小标宋_GBK" w:cs="Times New Roman"/>
          <w:bCs/>
          <w:color w:val="auto"/>
          <w:sz w:val="72"/>
          <w:szCs w:val="72"/>
          <w:highlight w:val="none"/>
        </w:rPr>
        <w:t>建设项目环境影响报告表</w:t>
      </w:r>
      <w:bookmarkEnd w:id="0"/>
    </w:p>
    <w:p>
      <w:pPr>
        <w:adjustRightInd w:val="0"/>
        <w:snapToGrid w:val="0"/>
        <w:spacing w:before="192" w:beforeLines="80" w:line="240" w:lineRule="auto"/>
        <w:jc w:val="center"/>
        <w:outlineLvl w:val="9"/>
        <w:rPr>
          <w:rFonts w:hint="eastAsia" w:ascii="楷体_GB2312" w:eastAsia="楷体_GB2312" w:cs="Times New Roman"/>
          <w:bCs/>
          <w:color w:val="auto"/>
          <w:sz w:val="48"/>
          <w:szCs w:val="48"/>
          <w:highlight w:val="none"/>
        </w:rPr>
      </w:pPr>
      <w:r>
        <w:rPr>
          <w:rFonts w:hint="eastAsia" w:ascii="楷体_GB2312" w:eastAsia="楷体_GB2312" w:cs="Times New Roman"/>
          <w:bCs/>
          <w:color w:val="auto"/>
          <w:sz w:val="48"/>
          <w:szCs w:val="48"/>
          <w:highlight w:val="none"/>
        </w:rPr>
        <w:t>（污染影响类）</w:t>
      </w:r>
    </w:p>
    <w:p>
      <w:pPr>
        <w:adjustRightInd w:val="0"/>
        <w:snapToGrid w:val="0"/>
        <w:spacing w:line="288" w:lineRule="auto"/>
        <w:jc w:val="center"/>
        <w:outlineLvl w:val="9"/>
        <w:rPr>
          <w:rFonts w:hint="eastAsia" w:ascii="华文仿宋" w:hAnsi="华文仿宋" w:eastAsia="华文仿宋" w:cs="华文仿宋"/>
          <w:color w:val="auto"/>
          <w:kern w:val="44"/>
          <w:sz w:val="44"/>
          <w:szCs w:val="44"/>
          <w:highlight w:val="none"/>
          <w:lang w:eastAsia="zh-CN"/>
        </w:rPr>
      </w:pPr>
    </w:p>
    <w:p>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2746" w:hanging="2746" w:hangingChars="800"/>
        <w:textAlignment w:val="auto"/>
        <w:rPr>
          <w:rFonts w:hint="default" w:ascii="Times New Roman" w:hAnsi="Times New Roman" w:eastAsia="宋体" w:cs="Times New Roman"/>
          <w:b/>
          <w:bCs/>
          <w:color w:val="auto"/>
          <w:spacing w:val="11"/>
          <w:sz w:val="32"/>
          <w:szCs w:val="32"/>
          <w:highlight w:val="none"/>
          <w:lang w:val="en-US"/>
        </w:rPr>
      </w:pPr>
      <w:r>
        <w:rPr>
          <w:rFonts w:hint="default" w:ascii="Times New Roman" w:hAnsi="Times New Roman" w:eastAsia="宋体" w:cs="Times New Roman"/>
          <w:b/>
          <w:bCs/>
          <w:color w:val="auto"/>
          <w:spacing w:val="11"/>
          <w:sz w:val="32"/>
          <w:szCs w:val="32"/>
          <w:highlight w:val="none"/>
        </w:rPr>
        <w:t>项</w:t>
      </w:r>
      <w:r>
        <w:rPr>
          <w:rFonts w:hint="default" w:ascii="Times New Roman" w:hAnsi="Times New Roman" w:eastAsia="宋体" w:cs="Times New Roman"/>
          <w:b/>
          <w:bCs/>
          <w:color w:val="auto"/>
          <w:spacing w:val="11"/>
          <w:sz w:val="32"/>
          <w:szCs w:val="32"/>
          <w:highlight w:val="none"/>
          <w:lang w:val="en-US" w:eastAsia="zh-CN"/>
        </w:rPr>
        <w:t xml:space="preserve"> </w:t>
      </w:r>
      <w:r>
        <w:rPr>
          <w:rFonts w:hint="default" w:ascii="Times New Roman" w:hAnsi="Times New Roman" w:eastAsia="宋体" w:cs="Times New Roman"/>
          <w:b/>
          <w:bCs/>
          <w:color w:val="auto"/>
          <w:spacing w:val="11"/>
          <w:sz w:val="32"/>
          <w:szCs w:val="32"/>
          <w:highlight w:val="none"/>
        </w:rPr>
        <w:t>目</w:t>
      </w:r>
      <w:r>
        <w:rPr>
          <w:rFonts w:hint="default" w:ascii="Times New Roman" w:hAnsi="Times New Roman" w:eastAsia="宋体" w:cs="Times New Roman"/>
          <w:b/>
          <w:bCs/>
          <w:color w:val="auto"/>
          <w:spacing w:val="11"/>
          <w:sz w:val="32"/>
          <w:szCs w:val="32"/>
          <w:highlight w:val="none"/>
          <w:lang w:val="en-US" w:eastAsia="zh-CN"/>
        </w:rPr>
        <w:t xml:space="preserve"> </w:t>
      </w:r>
      <w:r>
        <w:rPr>
          <w:rFonts w:hint="default" w:ascii="Times New Roman" w:hAnsi="Times New Roman" w:eastAsia="宋体" w:cs="Times New Roman"/>
          <w:b/>
          <w:bCs/>
          <w:color w:val="auto"/>
          <w:spacing w:val="11"/>
          <w:sz w:val="32"/>
          <w:szCs w:val="32"/>
          <w:highlight w:val="none"/>
        </w:rPr>
        <w:t>名</w:t>
      </w:r>
      <w:r>
        <w:rPr>
          <w:rFonts w:hint="default" w:ascii="Times New Roman" w:hAnsi="Times New Roman" w:eastAsia="宋体" w:cs="Times New Roman"/>
          <w:b/>
          <w:bCs/>
          <w:color w:val="auto"/>
          <w:spacing w:val="11"/>
          <w:sz w:val="32"/>
          <w:szCs w:val="32"/>
          <w:highlight w:val="none"/>
          <w:lang w:val="en-US" w:eastAsia="zh-CN"/>
        </w:rPr>
        <w:t xml:space="preserve"> </w:t>
      </w:r>
      <w:r>
        <w:rPr>
          <w:rFonts w:hint="default" w:ascii="Times New Roman" w:hAnsi="Times New Roman" w:eastAsia="宋体" w:cs="Times New Roman"/>
          <w:b/>
          <w:bCs/>
          <w:color w:val="auto"/>
          <w:spacing w:val="11"/>
          <w:sz w:val="32"/>
          <w:szCs w:val="32"/>
          <w:highlight w:val="none"/>
        </w:rPr>
        <w:t>称：</w:t>
      </w:r>
      <w:r>
        <w:rPr>
          <w:rFonts w:hint="default" w:ascii="Times New Roman" w:hAnsi="Times New Roman" w:eastAsia="宋体" w:cs="Times New Roman"/>
          <w:b/>
          <w:bCs/>
          <w:color w:val="auto"/>
          <w:spacing w:val="11"/>
          <w:sz w:val="32"/>
          <w:szCs w:val="32"/>
          <w:highlight w:val="none"/>
          <w:u w:val="single"/>
          <w:lang w:val="en-US" w:eastAsia="zh-CN"/>
        </w:rPr>
        <w:t xml:space="preserve"> </w:t>
      </w:r>
      <w:r>
        <w:rPr>
          <w:rFonts w:hint="eastAsia" w:eastAsia="宋体" w:cs="Times New Roman"/>
          <w:b/>
          <w:bCs/>
          <w:color w:val="auto"/>
          <w:spacing w:val="-11"/>
          <w:sz w:val="32"/>
          <w:szCs w:val="32"/>
          <w:highlight w:val="none"/>
          <w:u w:val="single"/>
          <w:lang w:val="en-US" w:eastAsia="zh-CN"/>
        </w:rPr>
        <w:t>钰台铝合金压力铸造和模具开发产品制造项目</w:t>
      </w:r>
      <w:r>
        <w:rPr>
          <w:rFonts w:hint="default" w:ascii="Times New Roman" w:hAnsi="Times New Roman" w:eastAsia="宋体" w:cs="Times New Roman"/>
          <w:b/>
          <w:bCs/>
          <w:color w:val="auto"/>
          <w:spacing w:val="11"/>
          <w:sz w:val="32"/>
          <w:szCs w:val="32"/>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sz w:val="32"/>
          <w:szCs w:val="32"/>
          <w:highlight w:val="none"/>
          <w:u w:val="single"/>
        </w:rPr>
      </w:pPr>
      <w:r>
        <w:rPr>
          <w:rFonts w:hint="default" w:ascii="Times New Roman" w:hAnsi="Times New Roman" w:eastAsia="宋体" w:cs="Times New Roman"/>
          <w:b/>
          <w:bCs/>
          <w:color w:val="auto"/>
          <w:spacing w:val="11"/>
          <w:sz w:val="32"/>
          <w:szCs w:val="32"/>
          <w:highlight w:val="none"/>
        </w:rPr>
        <w:t>建设单位（盖章）：</w:t>
      </w:r>
      <w:r>
        <w:rPr>
          <w:rFonts w:hint="default" w:ascii="Times New Roman" w:hAnsi="Times New Roman" w:eastAsia="宋体" w:cs="Times New Roman"/>
          <w:b/>
          <w:bCs/>
          <w:color w:val="auto"/>
          <w:spacing w:val="11"/>
          <w:sz w:val="32"/>
          <w:szCs w:val="32"/>
          <w:highlight w:val="none"/>
          <w:u w:val="single"/>
          <w:lang w:val="en-US" w:eastAsia="zh-CN"/>
        </w:rPr>
        <w:t xml:space="preserve">  </w:t>
      </w:r>
      <w:r>
        <w:rPr>
          <w:rFonts w:hint="eastAsia" w:eastAsia="宋体" w:cs="Times New Roman"/>
          <w:b/>
          <w:bCs/>
          <w:color w:val="auto"/>
          <w:spacing w:val="11"/>
          <w:sz w:val="32"/>
          <w:szCs w:val="32"/>
          <w:highlight w:val="none"/>
          <w:u w:val="single"/>
          <w:lang w:val="en-US" w:eastAsia="zh-CN"/>
        </w:rPr>
        <w:t>六安钰台机电科技有限公司</w:t>
      </w:r>
      <w:r>
        <w:rPr>
          <w:rFonts w:hint="default" w:ascii="Times New Roman" w:hAnsi="Times New Roman" w:eastAsia="宋体" w:cs="Times New Roman"/>
          <w:b/>
          <w:bCs/>
          <w:color w:val="auto"/>
          <w:spacing w:val="11"/>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sz w:val="32"/>
          <w:szCs w:val="32"/>
          <w:highlight w:val="none"/>
        </w:rPr>
      </w:pPr>
      <w:r>
        <w:rPr>
          <w:rFonts w:hint="default" w:ascii="Times New Roman" w:hAnsi="Times New Roman" w:eastAsia="宋体" w:cs="Times New Roman"/>
          <w:b/>
          <w:bCs/>
          <w:color w:val="auto"/>
          <w:spacing w:val="11"/>
          <w:sz w:val="32"/>
          <w:szCs w:val="32"/>
          <w:highlight w:val="none"/>
        </w:rPr>
        <w:t>编</w:t>
      </w:r>
      <w:r>
        <w:rPr>
          <w:rFonts w:hint="default" w:ascii="Times New Roman" w:hAnsi="Times New Roman" w:eastAsia="宋体" w:cs="Times New Roman"/>
          <w:b/>
          <w:bCs/>
          <w:color w:val="auto"/>
          <w:spacing w:val="11"/>
          <w:sz w:val="32"/>
          <w:szCs w:val="32"/>
          <w:highlight w:val="none"/>
          <w:lang w:val="en-US" w:eastAsia="zh-CN"/>
        </w:rPr>
        <w:t xml:space="preserve">  </w:t>
      </w:r>
      <w:r>
        <w:rPr>
          <w:rFonts w:hint="default" w:ascii="Times New Roman" w:hAnsi="Times New Roman" w:eastAsia="宋体" w:cs="Times New Roman"/>
          <w:b/>
          <w:bCs/>
          <w:color w:val="auto"/>
          <w:spacing w:val="11"/>
          <w:sz w:val="32"/>
          <w:szCs w:val="32"/>
          <w:highlight w:val="none"/>
        </w:rPr>
        <w:t>制</w:t>
      </w:r>
      <w:r>
        <w:rPr>
          <w:rFonts w:hint="default" w:ascii="Times New Roman" w:hAnsi="Times New Roman" w:eastAsia="宋体" w:cs="Times New Roman"/>
          <w:b/>
          <w:bCs/>
          <w:color w:val="auto"/>
          <w:spacing w:val="11"/>
          <w:sz w:val="32"/>
          <w:szCs w:val="32"/>
          <w:highlight w:val="none"/>
          <w:lang w:val="en-US" w:eastAsia="zh-CN"/>
        </w:rPr>
        <w:t xml:space="preserve">  </w:t>
      </w:r>
      <w:r>
        <w:rPr>
          <w:rFonts w:hint="default" w:ascii="Times New Roman" w:hAnsi="Times New Roman" w:eastAsia="宋体" w:cs="Times New Roman"/>
          <w:b/>
          <w:bCs/>
          <w:color w:val="auto"/>
          <w:spacing w:val="11"/>
          <w:sz w:val="32"/>
          <w:szCs w:val="32"/>
          <w:highlight w:val="none"/>
        </w:rPr>
        <w:t>日</w:t>
      </w:r>
      <w:r>
        <w:rPr>
          <w:rFonts w:hint="default" w:ascii="Times New Roman" w:hAnsi="Times New Roman" w:eastAsia="宋体" w:cs="Times New Roman"/>
          <w:b/>
          <w:bCs/>
          <w:color w:val="auto"/>
          <w:spacing w:val="11"/>
          <w:sz w:val="32"/>
          <w:szCs w:val="32"/>
          <w:highlight w:val="none"/>
          <w:lang w:val="en-US" w:eastAsia="zh-CN"/>
        </w:rPr>
        <w:t xml:space="preserve">  </w:t>
      </w:r>
      <w:r>
        <w:rPr>
          <w:rFonts w:hint="default" w:ascii="Times New Roman" w:hAnsi="Times New Roman" w:eastAsia="宋体" w:cs="Times New Roman"/>
          <w:b/>
          <w:bCs/>
          <w:color w:val="auto"/>
          <w:spacing w:val="11"/>
          <w:sz w:val="32"/>
          <w:szCs w:val="32"/>
          <w:highlight w:val="none"/>
        </w:rPr>
        <w:t>期：</w:t>
      </w:r>
      <w:r>
        <w:rPr>
          <w:rFonts w:hint="default" w:ascii="Times New Roman" w:hAnsi="Times New Roman" w:eastAsia="宋体" w:cs="Times New Roman"/>
          <w:b/>
          <w:bCs/>
          <w:color w:val="auto"/>
          <w:spacing w:val="11"/>
          <w:sz w:val="32"/>
          <w:szCs w:val="32"/>
          <w:highlight w:val="none"/>
          <w:u w:val="single"/>
        </w:rPr>
        <w:t xml:space="preserve">   </w:t>
      </w:r>
      <w:r>
        <w:rPr>
          <w:rFonts w:hint="eastAsia" w:eastAsia="宋体" w:cs="Times New Roman"/>
          <w:b/>
          <w:bCs/>
          <w:color w:val="auto"/>
          <w:spacing w:val="11"/>
          <w:sz w:val="32"/>
          <w:szCs w:val="32"/>
          <w:highlight w:val="none"/>
          <w:u w:val="single"/>
          <w:lang w:val="en-US" w:eastAsia="zh-CN"/>
        </w:rPr>
        <w:t xml:space="preserve">  </w:t>
      </w:r>
      <w:r>
        <w:rPr>
          <w:rFonts w:hint="default" w:ascii="Times New Roman" w:hAnsi="Times New Roman" w:eastAsia="宋体" w:cs="Times New Roman"/>
          <w:b/>
          <w:bCs/>
          <w:color w:val="auto"/>
          <w:spacing w:val="11"/>
          <w:sz w:val="32"/>
          <w:szCs w:val="32"/>
          <w:highlight w:val="none"/>
          <w:u w:val="single"/>
        </w:rPr>
        <w:t xml:space="preserve"> </w:t>
      </w:r>
      <w:r>
        <w:rPr>
          <w:rFonts w:hint="eastAsia" w:eastAsia="宋体" w:cs="Times New Roman"/>
          <w:b/>
          <w:bCs/>
          <w:color w:val="auto"/>
          <w:spacing w:val="11"/>
          <w:sz w:val="32"/>
          <w:szCs w:val="32"/>
          <w:highlight w:val="none"/>
          <w:u w:val="single"/>
          <w:lang w:val="en-US" w:eastAsia="zh-CN"/>
        </w:rPr>
        <w:t xml:space="preserve"> </w:t>
      </w:r>
      <w:r>
        <w:rPr>
          <w:rFonts w:hint="default" w:ascii="Times New Roman" w:hAnsi="Times New Roman" w:eastAsia="宋体" w:cs="Times New Roman"/>
          <w:b/>
          <w:bCs/>
          <w:color w:val="auto"/>
          <w:spacing w:val="11"/>
          <w:sz w:val="32"/>
          <w:szCs w:val="32"/>
          <w:highlight w:val="none"/>
          <w:u w:val="single"/>
        </w:rPr>
        <w:t xml:space="preserve"> </w:t>
      </w:r>
      <w:bookmarkStart w:id="13" w:name="_GoBack"/>
      <w:bookmarkEnd w:id="13"/>
      <w:r>
        <w:rPr>
          <w:rFonts w:hint="default" w:ascii="Times New Roman" w:hAnsi="Times New Roman" w:eastAsia="宋体" w:cs="Times New Roman"/>
          <w:b/>
          <w:bCs/>
          <w:color w:val="auto"/>
          <w:spacing w:val="11"/>
          <w:sz w:val="32"/>
          <w:szCs w:val="32"/>
          <w:highlight w:val="none"/>
          <w:u w:val="single"/>
          <w:lang w:val="en-US" w:eastAsia="zh-CN"/>
        </w:rPr>
        <w:t xml:space="preserve"> 二〇二</w:t>
      </w:r>
      <w:r>
        <w:rPr>
          <w:rFonts w:hint="eastAsia" w:eastAsia="宋体" w:cs="Times New Roman"/>
          <w:b/>
          <w:bCs/>
          <w:color w:val="auto"/>
          <w:spacing w:val="11"/>
          <w:sz w:val="32"/>
          <w:szCs w:val="32"/>
          <w:highlight w:val="none"/>
          <w:u w:val="single"/>
          <w:lang w:val="en-US" w:eastAsia="zh-CN"/>
        </w:rPr>
        <w:t>四</w:t>
      </w:r>
      <w:r>
        <w:rPr>
          <w:rFonts w:hint="default" w:ascii="Times New Roman" w:hAnsi="Times New Roman" w:eastAsia="宋体" w:cs="Times New Roman"/>
          <w:b/>
          <w:bCs/>
          <w:color w:val="auto"/>
          <w:spacing w:val="11"/>
          <w:sz w:val="32"/>
          <w:szCs w:val="32"/>
          <w:highlight w:val="none"/>
          <w:u w:val="single"/>
          <w:lang w:val="en-US" w:eastAsia="zh-CN"/>
        </w:rPr>
        <w:t>年</w:t>
      </w:r>
      <w:r>
        <w:rPr>
          <w:rFonts w:hint="eastAsia" w:eastAsia="宋体" w:cs="Times New Roman"/>
          <w:b/>
          <w:bCs/>
          <w:color w:val="auto"/>
          <w:spacing w:val="11"/>
          <w:sz w:val="32"/>
          <w:szCs w:val="32"/>
          <w:highlight w:val="none"/>
          <w:u w:val="single"/>
          <w:lang w:val="en-US" w:eastAsia="zh-CN"/>
        </w:rPr>
        <w:t>三</w:t>
      </w:r>
      <w:r>
        <w:rPr>
          <w:rFonts w:hint="default" w:ascii="Times New Roman" w:hAnsi="Times New Roman" w:eastAsia="宋体" w:cs="Times New Roman"/>
          <w:b/>
          <w:bCs/>
          <w:color w:val="auto"/>
          <w:spacing w:val="11"/>
          <w:sz w:val="32"/>
          <w:szCs w:val="32"/>
          <w:highlight w:val="none"/>
          <w:u w:val="single"/>
          <w:lang w:val="en-US" w:eastAsia="zh-CN"/>
        </w:rPr>
        <w:t>月</w:t>
      </w:r>
      <w:r>
        <w:rPr>
          <w:rFonts w:hint="default" w:ascii="Times New Roman" w:hAnsi="Times New Roman" w:eastAsia="宋体" w:cs="Times New Roman"/>
          <w:b/>
          <w:bCs/>
          <w:color w:val="auto"/>
          <w:spacing w:val="11"/>
          <w:sz w:val="32"/>
          <w:szCs w:val="32"/>
          <w:highlight w:val="none"/>
          <w:u w:val="single"/>
        </w:rPr>
        <w:t xml:space="preserve">        </w:t>
      </w:r>
    </w:p>
    <w:p>
      <w:pPr>
        <w:spacing w:line="240" w:lineRule="auto"/>
        <w:rPr>
          <w:rFonts w:hint="eastAsia" w:eastAsia="仿宋" w:cs="Times New Roman"/>
          <w:color w:val="auto"/>
          <w:sz w:val="44"/>
          <w:szCs w:val="44"/>
          <w:highlight w:val="none"/>
        </w:rPr>
      </w:pPr>
      <w:bookmarkStart w:id="1" w:name="_Hlk57884087"/>
    </w:p>
    <w:p>
      <w:pPr>
        <w:spacing w:line="240" w:lineRule="auto"/>
        <w:rPr>
          <w:rFonts w:hint="eastAsia" w:eastAsia="仿宋" w:cs="Times New Roman"/>
          <w:color w:val="auto"/>
          <w:sz w:val="44"/>
          <w:szCs w:val="44"/>
          <w:highlight w:val="none"/>
        </w:rPr>
      </w:pPr>
    </w:p>
    <w:p>
      <w:pPr>
        <w:spacing w:line="240" w:lineRule="auto"/>
        <w:rPr>
          <w:rFonts w:hint="eastAsia" w:eastAsia="仿宋" w:cs="Times New Roman"/>
          <w:color w:val="auto"/>
          <w:sz w:val="44"/>
          <w:szCs w:val="44"/>
          <w:highlight w:val="none"/>
        </w:rPr>
      </w:pPr>
    </w:p>
    <w:p>
      <w:pPr>
        <w:spacing w:line="240" w:lineRule="auto"/>
        <w:rPr>
          <w:rFonts w:hint="eastAsia" w:eastAsia="仿宋" w:cs="Times New Roman"/>
          <w:color w:val="auto"/>
          <w:sz w:val="44"/>
          <w:szCs w:val="44"/>
          <w:highlight w:val="none"/>
        </w:rPr>
      </w:pPr>
    </w:p>
    <w:p>
      <w:pPr>
        <w:spacing w:line="240" w:lineRule="auto"/>
        <w:rPr>
          <w:rFonts w:hint="eastAsia" w:eastAsia="仿宋" w:cs="Times New Roman"/>
          <w:color w:val="auto"/>
          <w:sz w:val="44"/>
          <w:szCs w:val="44"/>
          <w:highlight w:val="none"/>
        </w:rPr>
      </w:pPr>
    </w:p>
    <w:p>
      <w:pPr>
        <w:spacing w:line="240" w:lineRule="auto"/>
        <w:rPr>
          <w:rFonts w:hint="eastAsia" w:ascii="Times New Roman" w:hAnsi="Times New Roman" w:eastAsia="仿宋" w:cs="Times New Roman"/>
          <w:color w:val="auto"/>
          <w:sz w:val="44"/>
          <w:szCs w:val="44"/>
          <w:highlight w:val="none"/>
        </w:rPr>
      </w:pPr>
    </w:p>
    <w:p>
      <w:pPr>
        <w:spacing w:line="240" w:lineRule="auto"/>
        <w:rPr>
          <w:rFonts w:hint="eastAsia" w:ascii="Times New Roman" w:hAnsi="Times New Roman" w:eastAsia="仿宋" w:cs="Times New Roman"/>
          <w:color w:val="auto"/>
          <w:sz w:val="44"/>
          <w:szCs w:val="44"/>
          <w:highlight w:val="none"/>
        </w:rPr>
      </w:pPr>
    </w:p>
    <w:bookmarkEnd w:id="1"/>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楷体_GB2312" w:eastAsia="楷体_GB2312" w:cs="Times New Roman"/>
          <w:color w:val="auto"/>
          <w:sz w:val="36"/>
          <w:szCs w:val="36"/>
          <w:highlight w:val="none"/>
        </w:rPr>
        <w:sectPr>
          <w:footerReference r:id="rId3" w:type="default"/>
          <w:footerReference r:id="rId4" w:type="even"/>
          <w:pgSz w:w="11906" w:h="16838"/>
          <w:pgMar w:top="1440" w:right="1803" w:bottom="1440" w:left="1803"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楷体_GB2312" w:eastAsia="楷体_GB2312" w:cs="Times New Roman"/>
          <w:color w:val="auto"/>
          <w:sz w:val="36"/>
          <w:szCs w:val="36"/>
          <w:highlight w:val="none"/>
        </w:rPr>
        <w:t>中华人民共和国生态环境部制</w:t>
      </w:r>
    </w:p>
    <w:p>
      <w:pPr>
        <w:pStyle w:val="29"/>
        <w:spacing w:before="0" w:beforeAutospacing="0" w:after="0" w:afterAutospacing="0"/>
        <w:jc w:val="center"/>
        <w:outlineLvl w:val="0"/>
        <w:rPr>
          <w:rFonts w:hint="default" w:ascii="Times New Roman" w:hAnsi="Times New Roman" w:eastAsia="宋体" w:cs="Times New Roman"/>
          <w:b/>
          <w:snapToGrid w:val="0"/>
          <w:color w:val="000000" w:themeColor="text1"/>
          <w:sz w:val="30"/>
          <w:szCs w:val="30"/>
          <w14:textFill>
            <w14:solidFill>
              <w14:schemeClr w14:val="tx1"/>
            </w14:solidFill>
          </w14:textFill>
        </w:rPr>
      </w:pPr>
      <w:r>
        <w:rPr>
          <w:rFonts w:hint="default" w:ascii="Times New Roman" w:hAnsi="Times New Roman" w:eastAsia="宋体" w:cs="Times New Roman"/>
          <w:b/>
          <w:snapToGrid w:val="0"/>
          <w:color w:val="000000" w:themeColor="text1"/>
          <w:sz w:val="30"/>
          <w:szCs w:val="30"/>
          <w14:textFill>
            <w14:solidFill>
              <w14:schemeClr w14:val="tx1"/>
            </w14:solidFill>
          </w14:textFill>
        </w:rPr>
        <w:t>一、建设项目基本情况</w:t>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88"/>
        <w:gridCol w:w="2775"/>
        <w:gridCol w:w="2173"/>
        <w:gridCol w:w="27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建设项目名称</w:t>
            </w:r>
          </w:p>
        </w:tc>
        <w:tc>
          <w:tcPr>
            <w:tcW w:w="7667" w:type="dxa"/>
            <w:gridSpan w:val="3"/>
            <w:noWrap w:val="0"/>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钰台铝合金压力铸造和模具开发产品制造项目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项目代码</w:t>
            </w:r>
          </w:p>
        </w:tc>
        <w:tc>
          <w:tcPr>
            <w:tcW w:w="7667" w:type="dxa"/>
            <w:gridSpan w:val="3"/>
            <w:noWrap w:val="0"/>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2312-341598-04-01-855840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建设单位联系人</w:t>
            </w:r>
          </w:p>
        </w:tc>
        <w:tc>
          <w:tcPr>
            <w:tcW w:w="2823" w:type="dxa"/>
            <w:noWrap w:val="0"/>
            <w:vAlign w:val="center"/>
          </w:tcPr>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张松</w:t>
            </w:r>
          </w:p>
        </w:tc>
        <w:tc>
          <w:tcPr>
            <w:tcW w:w="2208" w:type="dxa"/>
            <w:noWrap w:val="0"/>
            <w:vAlign w:val="center"/>
          </w:tcPr>
          <w:p>
            <w:pPr>
              <w:adjustRightInd w:val="0"/>
              <w:snapToGrid w:val="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联系方式</w:t>
            </w:r>
          </w:p>
        </w:tc>
        <w:tc>
          <w:tcPr>
            <w:tcW w:w="2636" w:type="dxa"/>
            <w:noWrap w:val="0"/>
            <w:vAlign w:val="center"/>
          </w:tcPr>
          <w:p>
            <w:pPr>
              <w:adjustRightInd w:val="0"/>
              <w:snapToGrid w:val="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13035090906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建设地点</w:t>
            </w:r>
          </w:p>
        </w:tc>
        <w:tc>
          <w:tcPr>
            <w:tcW w:w="7667" w:type="dxa"/>
            <w:gridSpan w:val="3"/>
            <w:noWrap w:val="0"/>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u w:val="none"/>
                <w:lang w:eastAsia="zh-CN"/>
                <w14:textFill>
                  <w14:solidFill>
                    <w14:schemeClr w14:val="tx1"/>
                  </w14:solidFill>
                </w14:textFill>
              </w:rPr>
              <w:t>安徽省六安市舒城县龙津大道光世集团院内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地理坐标</w:t>
            </w:r>
          </w:p>
        </w:tc>
        <w:tc>
          <w:tcPr>
            <w:tcW w:w="7667" w:type="dxa"/>
            <w:gridSpan w:val="3"/>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东经：</w:t>
            </w:r>
            <w:r>
              <w:rPr>
                <w:rFonts w:hint="default" w:ascii="Times New Roman" w:hAnsi="Times New Roman" w:cs="Times New Roman"/>
                <w:color w:val="000000" w:themeColor="text1"/>
                <w:sz w:val="24"/>
                <w:u w:val="none"/>
                <w:lang w:val="en-US" w:eastAsia="zh-CN"/>
                <w14:textFill>
                  <w14:solidFill>
                    <w14:schemeClr w14:val="tx1"/>
                  </w14:solidFill>
                </w14:textFill>
              </w:rPr>
              <w:t>116</w:t>
            </w:r>
            <w:r>
              <w:rPr>
                <w:rFonts w:hint="default" w:ascii="Times New Roman" w:hAnsi="Times New Roman" w:cs="Times New Roman"/>
                <w:color w:val="000000" w:themeColor="text1"/>
                <w:sz w:val="24"/>
                <w:u w:val="none"/>
                <w14:textFill>
                  <w14:solidFill>
                    <w14:schemeClr w14:val="tx1"/>
                  </w14:solidFill>
                </w14:textFill>
              </w:rPr>
              <w:t xml:space="preserve"> 度 </w:t>
            </w:r>
            <w:r>
              <w:rPr>
                <w:rFonts w:hint="default" w:ascii="Times New Roman" w:hAnsi="Times New Roman" w:cs="Times New Roman"/>
                <w:color w:val="000000" w:themeColor="text1"/>
                <w:sz w:val="24"/>
                <w:u w:val="none"/>
                <w:lang w:val="en-US" w:eastAsia="zh-CN"/>
                <w14:textFill>
                  <w14:solidFill>
                    <w14:schemeClr w14:val="tx1"/>
                  </w14:solidFill>
                </w14:textFill>
              </w:rPr>
              <w:t xml:space="preserve">58 </w:t>
            </w:r>
            <w:r>
              <w:rPr>
                <w:rFonts w:hint="default" w:ascii="Times New Roman" w:hAnsi="Times New Roman" w:cs="Times New Roman"/>
                <w:color w:val="000000" w:themeColor="text1"/>
                <w:sz w:val="24"/>
                <w:u w:val="none"/>
                <w14:textFill>
                  <w14:solidFill>
                    <w14:schemeClr w14:val="tx1"/>
                  </w14:solidFill>
                </w14:textFill>
              </w:rPr>
              <w:t xml:space="preserve">分 </w:t>
            </w:r>
            <w:r>
              <w:rPr>
                <w:rFonts w:hint="default" w:ascii="Times New Roman" w:hAnsi="Times New Roman" w:cs="Times New Roman"/>
                <w:color w:val="000000" w:themeColor="text1"/>
                <w:sz w:val="24"/>
                <w:u w:val="none"/>
                <w:lang w:val="en-US" w:eastAsia="zh-CN"/>
                <w14:textFill>
                  <w14:solidFill>
                    <w14:schemeClr w14:val="tx1"/>
                  </w14:solidFill>
                </w14:textFill>
              </w:rPr>
              <w:t>29.577</w:t>
            </w:r>
            <w:r>
              <w:rPr>
                <w:rFonts w:hint="default" w:ascii="Times New Roman" w:hAnsi="Times New Roman" w:cs="Times New Roman"/>
                <w:color w:val="000000" w:themeColor="text1"/>
                <w:sz w:val="24"/>
                <w:u w:val="none"/>
                <w14:textFill>
                  <w14:solidFill>
                    <w14:schemeClr w14:val="tx1"/>
                  </w14:solidFill>
                </w14:textFill>
              </w:rPr>
              <w:t xml:space="preserve"> 秒，</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北纬：</w:t>
            </w:r>
            <w:r>
              <w:rPr>
                <w:rFonts w:hint="default" w:ascii="Times New Roman" w:hAnsi="Times New Roman" w:cs="Times New Roman"/>
                <w:color w:val="000000" w:themeColor="text1"/>
                <w:sz w:val="24"/>
                <w:u w:val="none"/>
                <w14:textFill>
                  <w14:solidFill>
                    <w14:schemeClr w14:val="tx1"/>
                  </w14:solidFill>
                </w14:textFill>
              </w:rPr>
              <w:t xml:space="preserve"> </w:t>
            </w:r>
            <w:r>
              <w:rPr>
                <w:rFonts w:hint="default" w:ascii="Times New Roman" w:hAnsi="Times New Roman" w:cs="Times New Roman"/>
                <w:color w:val="000000" w:themeColor="text1"/>
                <w:sz w:val="24"/>
                <w:u w:val="none"/>
                <w:lang w:val="en-US" w:eastAsia="zh-CN"/>
                <w14:textFill>
                  <w14:solidFill>
                    <w14:schemeClr w14:val="tx1"/>
                  </w14:solidFill>
                </w14:textFill>
              </w:rPr>
              <w:t>31</w:t>
            </w:r>
            <w:r>
              <w:rPr>
                <w:rFonts w:hint="default" w:ascii="Times New Roman" w:hAnsi="Times New Roman" w:cs="Times New Roman"/>
                <w:color w:val="000000" w:themeColor="text1"/>
                <w:sz w:val="24"/>
                <w:u w:val="none"/>
                <w14:textFill>
                  <w14:solidFill>
                    <w14:schemeClr w14:val="tx1"/>
                  </w14:solidFill>
                </w14:textFill>
              </w:rPr>
              <w:t xml:space="preserve"> 度 </w:t>
            </w:r>
            <w:r>
              <w:rPr>
                <w:rFonts w:hint="default" w:ascii="Times New Roman" w:hAnsi="Times New Roman" w:cs="Times New Roman"/>
                <w:color w:val="000000" w:themeColor="text1"/>
                <w:sz w:val="24"/>
                <w:u w:val="none"/>
                <w:lang w:val="en-US" w:eastAsia="zh-CN"/>
                <w14:textFill>
                  <w14:solidFill>
                    <w14:schemeClr w14:val="tx1"/>
                  </w14:solidFill>
                </w14:textFill>
              </w:rPr>
              <w:t>29</w:t>
            </w:r>
            <w:r>
              <w:rPr>
                <w:rFonts w:hint="default" w:ascii="Times New Roman" w:hAnsi="Times New Roman" w:cs="Times New Roman"/>
                <w:color w:val="000000" w:themeColor="text1"/>
                <w:sz w:val="24"/>
                <w:u w:val="none"/>
                <w14:textFill>
                  <w14:solidFill>
                    <w14:schemeClr w14:val="tx1"/>
                  </w14:solidFill>
                </w14:textFill>
              </w:rPr>
              <w:t>分</w:t>
            </w:r>
            <w:r>
              <w:rPr>
                <w:rFonts w:hint="default" w:ascii="Times New Roman" w:hAnsi="Times New Roman" w:cs="Times New Roman"/>
                <w:color w:val="000000" w:themeColor="text1"/>
                <w:sz w:val="24"/>
                <w:u w:val="none"/>
                <w:lang w:val="en-US" w:eastAsia="zh-CN"/>
                <w14:textFill>
                  <w14:solidFill>
                    <w14:schemeClr w14:val="tx1"/>
                  </w14:solidFill>
                </w14:textFill>
              </w:rPr>
              <w:t>31.047</w:t>
            </w:r>
            <w:r>
              <w:rPr>
                <w:rFonts w:hint="default" w:ascii="Times New Roman" w:hAnsi="Times New Roman" w:cs="Times New Roman"/>
                <w:color w:val="000000" w:themeColor="text1"/>
                <w:sz w:val="24"/>
                <w:u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8"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国民经济</w:t>
            </w:r>
          </w:p>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行业类别</w:t>
            </w:r>
          </w:p>
        </w:tc>
        <w:tc>
          <w:tcPr>
            <w:tcW w:w="2823" w:type="dxa"/>
            <w:noWrap w:val="0"/>
            <w:vAlign w:val="center"/>
          </w:tcPr>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C3311金属结构制造</w:t>
            </w:r>
          </w:p>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lang w:val="en-US" w:eastAsia="zh-CN"/>
                <w14:textFill>
                  <w14:solidFill>
                    <w14:schemeClr w14:val="tx1"/>
                  </w14:solidFill>
                </w14:textFill>
              </w:rPr>
              <w:t>3392有色金属铸造</w:t>
            </w:r>
          </w:p>
          <w:p>
            <w:pPr>
              <w:pStyle w:val="7"/>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C3857家用电力器具专用配件制造</w:t>
            </w:r>
          </w:p>
        </w:tc>
        <w:tc>
          <w:tcPr>
            <w:tcW w:w="2208" w:type="dxa"/>
            <w:noWrap w:val="0"/>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行业类别</w:t>
            </w:r>
          </w:p>
        </w:tc>
        <w:tc>
          <w:tcPr>
            <w:tcW w:w="2636" w:type="dxa"/>
            <w:noWrap w:val="0"/>
            <w:vAlign w:val="center"/>
          </w:tcPr>
          <w:p>
            <w:pPr>
              <w:adjustRightInd w:val="0"/>
              <w:snapToGrid w:val="0"/>
              <w:jc w:val="left"/>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三十、“金属制品业33”中第66结构性金属制品制造331和第68铸造及其他金属制品制造339</w:t>
            </w:r>
          </w:p>
          <w:p>
            <w:pPr>
              <w:pStyle w:val="7"/>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三十五、“电气机械和器材制造业38”中第77家用电力器具制造385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建设性质</w:t>
            </w:r>
          </w:p>
        </w:tc>
        <w:tc>
          <w:tcPr>
            <w:tcW w:w="2823" w:type="dxa"/>
            <w:noWrap w:val="0"/>
            <w:vAlign w:val="center"/>
          </w:tcPr>
          <w:p>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新建（迁建）</w:t>
            </w:r>
          </w:p>
          <w:p>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□改建</w:t>
            </w:r>
          </w:p>
          <w:p>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□扩建</w:t>
            </w:r>
          </w:p>
          <w:p>
            <w:pPr>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□技术改造</w:t>
            </w:r>
          </w:p>
        </w:tc>
        <w:tc>
          <w:tcPr>
            <w:tcW w:w="2208" w:type="dxa"/>
            <w:noWrap w:val="0"/>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2636" w:type="dxa"/>
            <w:noWrap w:val="0"/>
            <w:vAlign w:val="center"/>
          </w:tcPr>
          <w:p>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 xml:space="preserve">首次申报项目             </w:t>
            </w:r>
          </w:p>
          <w:p>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□不予批准后再次申报项目</w:t>
            </w:r>
          </w:p>
          <w:p>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□超五年重新审核项目     </w:t>
            </w:r>
          </w:p>
          <w:p>
            <w:pPr>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w:t>
            </w:r>
          </w:p>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备案）部门（选填）</w:t>
            </w:r>
          </w:p>
        </w:tc>
        <w:tc>
          <w:tcPr>
            <w:tcW w:w="2823" w:type="dxa"/>
            <w:noWrap w:val="0"/>
            <w:vAlign w:val="center"/>
          </w:tcPr>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舒城经开</w:t>
            </w:r>
            <w:r>
              <w:rPr>
                <w:rFonts w:hint="default" w:ascii="Times New Roman" w:hAnsi="Times New Roman" w:cs="Times New Roman"/>
                <w:color w:val="000000" w:themeColor="text1"/>
                <w:sz w:val="24"/>
                <w14:textFill>
                  <w14:solidFill>
                    <w14:schemeClr w14:val="tx1"/>
                  </w14:solidFill>
                </w14:textFill>
              </w:rPr>
              <w:t>区经贸</w:t>
            </w:r>
            <w:r>
              <w:rPr>
                <w:rFonts w:hint="default" w:ascii="Times New Roman" w:hAnsi="Times New Roman" w:cs="Times New Roman"/>
                <w:color w:val="000000" w:themeColor="text1"/>
                <w:sz w:val="24"/>
                <w:lang w:val="en-US" w:eastAsia="zh-CN"/>
                <w14:textFill>
                  <w14:solidFill>
                    <w14:schemeClr w14:val="tx1"/>
                  </w14:solidFill>
                </w14:textFill>
              </w:rPr>
              <w:t>科技</w:t>
            </w:r>
            <w:r>
              <w:rPr>
                <w:rFonts w:hint="default" w:ascii="Times New Roman" w:hAnsi="Times New Roman" w:cs="Times New Roman"/>
                <w:color w:val="000000" w:themeColor="text1"/>
                <w:sz w:val="24"/>
                <w14:textFill>
                  <w14:solidFill>
                    <w14:schemeClr w14:val="tx1"/>
                  </w14:solidFill>
                </w14:textFill>
              </w:rPr>
              <w:t>发展局</w:t>
            </w:r>
          </w:p>
        </w:tc>
        <w:tc>
          <w:tcPr>
            <w:tcW w:w="2208" w:type="dxa"/>
            <w:noWrap w:val="0"/>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备案）文号（选填）</w:t>
            </w:r>
          </w:p>
        </w:tc>
        <w:tc>
          <w:tcPr>
            <w:tcW w:w="2636" w:type="dxa"/>
            <w:noWrap w:val="0"/>
            <w:vAlign w:val="center"/>
          </w:tcPr>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2312-341598-04-01-855840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总投资（万元）</w:t>
            </w:r>
          </w:p>
        </w:tc>
        <w:tc>
          <w:tcPr>
            <w:tcW w:w="2823" w:type="dxa"/>
            <w:noWrap w:val="0"/>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2408.55</w:t>
            </w:r>
          </w:p>
        </w:tc>
        <w:tc>
          <w:tcPr>
            <w:tcW w:w="220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环保投资（万元）</w:t>
            </w:r>
          </w:p>
        </w:tc>
        <w:tc>
          <w:tcPr>
            <w:tcW w:w="2636" w:type="dxa"/>
            <w:noWrap w:val="0"/>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环保投资占比（%）</w:t>
            </w:r>
          </w:p>
        </w:tc>
        <w:tc>
          <w:tcPr>
            <w:tcW w:w="2823" w:type="dxa"/>
            <w:noWrap w:val="0"/>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2.49</w:t>
            </w:r>
          </w:p>
        </w:tc>
        <w:tc>
          <w:tcPr>
            <w:tcW w:w="220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2636" w:type="dxa"/>
            <w:noWrap w:val="0"/>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404" w:type="dxa"/>
            <w:noWrap w:val="0"/>
            <w:tcMar>
              <w:top w:w="16" w:type="dxa"/>
              <w:left w:w="16" w:type="dxa"/>
              <w:right w:w="16" w:type="dxa"/>
            </w:tcMar>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是否开工建设</w:t>
            </w:r>
          </w:p>
        </w:tc>
        <w:tc>
          <w:tcPr>
            <w:tcW w:w="2823" w:type="dxa"/>
            <w:noWrap w:val="0"/>
            <w:vAlign w:val="center"/>
          </w:tcPr>
          <w:p>
            <w:pPr>
              <w:adjustRightInd w:val="0"/>
              <w:snapToGrid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否</w:t>
            </w:r>
          </w:p>
          <w:p>
            <w:pPr>
              <w:adjustRightInd w:val="0"/>
              <w:snapToGrid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是：</w:t>
            </w:r>
            <w:r>
              <w:rPr>
                <w:rFonts w:hint="default" w:ascii="Times New Roman" w:hAnsi="Times New Roman" w:cs="Times New Roman"/>
                <w:color w:val="000000" w:themeColor="text1"/>
                <w:sz w:val="24"/>
                <w:u w:val="single"/>
                <w14:textFill>
                  <w14:solidFill>
                    <w14:schemeClr w14:val="tx1"/>
                  </w14:solidFill>
                </w14:textFill>
              </w:rPr>
              <w:t xml:space="preserve">             </w:t>
            </w:r>
          </w:p>
        </w:tc>
        <w:tc>
          <w:tcPr>
            <w:tcW w:w="220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用地（用海）</w:t>
            </w:r>
          </w:p>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面积</w:t>
            </w:r>
            <w:r>
              <w:rPr>
                <w:rFonts w:hint="default" w:ascii="Times New Roman" w:hAnsi="Times New Roman" w:cs="Times New Roman"/>
                <w:color w:val="000000" w:themeColor="text1"/>
                <w:spacing w:val="-6"/>
                <w:sz w:val="24"/>
                <w14:textFill>
                  <w14:solidFill>
                    <w14:schemeClr w14:val="tx1"/>
                  </w14:solidFill>
                </w14:textFill>
              </w:rPr>
              <w:t>（m</w:t>
            </w:r>
            <w:r>
              <w:rPr>
                <w:rFonts w:hint="default" w:ascii="Times New Roman" w:hAnsi="Times New Roman" w:cs="Times New Roman"/>
                <w:color w:val="000000" w:themeColor="text1"/>
                <w:spacing w:val="-6"/>
                <w:sz w:val="24"/>
                <w:vertAlign w:val="superscript"/>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w:t>
            </w:r>
          </w:p>
        </w:tc>
        <w:tc>
          <w:tcPr>
            <w:tcW w:w="2636" w:type="dxa"/>
            <w:noWrap w:val="0"/>
            <w:vAlign w:val="center"/>
          </w:tcPr>
          <w:p>
            <w:pPr>
              <w:adjustRightInd w:val="0"/>
              <w:snapToGrid w:val="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404"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专项评价设置情况</w:t>
            </w:r>
          </w:p>
        </w:tc>
        <w:tc>
          <w:tcPr>
            <w:tcW w:w="7667"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404" w:type="dxa"/>
            <w:noWrap w:val="0"/>
            <w:tcMar>
              <w:top w:w="16" w:type="dxa"/>
              <w:left w:w="16" w:type="dxa"/>
              <w:right w:w="16" w:type="dxa"/>
            </w:tcMar>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766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规划名称：《安徽舒城经济开发区总体发展规划（2021-2035年）》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报送单位：</w:t>
            </w:r>
            <w:r>
              <w:rPr>
                <w:rFonts w:hint="default" w:ascii="Times New Roman" w:hAnsi="Times New Roman" w:cs="Times New Roman"/>
                <w:color w:val="000000" w:themeColor="text1"/>
                <w:sz w:val="24"/>
                <w:highlight w:val="none"/>
                <w14:textFill>
                  <w14:solidFill>
                    <w14:schemeClr w14:val="tx1"/>
                  </w14:solidFill>
                </w14:textFill>
              </w:rPr>
              <w:t>安徽舒城经济开发区管理委员会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审批机关：安徽省人民政府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审批文件名称及文号：《安徽省人民政府关于六安市省级以上开发区优化整合方案的批复》（皖政秘〔2018〕116号）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404" w:type="dxa"/>
            <w:noWrap w:val="0"/>
            <w:tcMar>
              <w:top w:w="16" w:type="dxa"/>
              <w:left w:w="16" w:type="dxa"/>
              <w:right w:w="16" w:type="dxa"/>
            </w:tcMar>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规划环境影响评价情况</w:t>
            </w:r>
          </w:p>
        </w:tc>
        <w:tc>
          <w:tcPr>
            <w:tcW w:w="766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规划环评名称：《安徽舒城经济开发区总体发展规划（2021-2035年）环境影响报告书》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审查机关：安徽省生态环境厅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审查文件名称及文号：关于印送《安徽舒城经济开发区总体发展规划（2021-2035年）环境影响报告书审查意见的函》（皖环函[2022]1265号）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4"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规划及规划环境影响评价符合性分析</w:t>
            </w:r>
          </w:p>
        </w:tc>
        <w:tc>
          <w:tcPr>
            <w:tcW w:w="766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1、与舒城经济开发区总体规划符合性分析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（1）用地性质符合性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项目选址于</w:t>
            </w:r>
            <w:r>
              <w:rPr>
                <w:rFonts w:hint="default" w:ascii="Times New Roman" w:hAnsi="Times New Roman" w:cs="Times New Roman"/>
                <w:color w:val="000000" w:themeColor="text1"/>
                <w:sz w:val="24"/>
                <w:lang w:eastAsia="zh-CN"/>
                <w14:textFill>
                  <w14:solidFill>
                    <w14:schemeClr w14:val="tx1"/>
                  </w14:solidFill>
                </w14:textFill>
              </w:rPr>
              <w:t>安徽省六安市舒城县龙津大道光世集团院内</w:t>
            </w:r>
            <w:r>
              <w:rPr>
                <w:rFonts w:hint="default" w:ascii="Times New Roman" w:hAnsi="Times New Roman" w:cs="Times New Roman"/>
                <w:color w:val="000000" w:themeColor="text1"/>
                <w:sz w:val="24"/>
                <w14:textFill>
                  <w14:solidFill>
                    <w14:schemeClr w14:val="tx1"/>
                  </w14:solidFill>
                </w14:textFill>
              </w:rPr>
              <w:t>，项目所在地属于舒城经济开发区</w:t>
            </w:r>
            <w:r>
              <w:rPr>
                <w:rFonts w:hint="default" w:ascii="Times New Roman" w:hAnsi="Times New Roman" w:cs="Times New Roman"/>
                <w:color w:val="000000" w:themeColor="text1"/>
                <w:sz w:val="24"/>
                <w:lang w:eastAsia="zh-CN"/>
                <w14:textFill>
                  <w14:solidFill>
                    <w14:schemeClr w14:val="tx1"/>
                  </w14:solidFill>
                </w14:textFill>
              </w:rPr>
              <w:t>城关园区</w:t>
            </w:r>
            <w:r>
              <w:rPr>
                <w:rFonts w:hint="default" w:ascii="Times New Roman" w:hAnsi="Times New Roman" w:cs="Times New Roman"/>
                <w:color w:val="000000" w:themeColor="text1"/>
                <w:sz w:val="24"/>
                <w14:textFill>
                  <w14:solidFill>
                    <w14:schemeClr w14:val="tx1"/>
                  </w14:solidFill>
                </w14:textFill>
              </w:rPr>
              <w:t>，根据建设单位提供的</w:t>
            </w:r>
            <w:r>
              <w:rPr>
                <w:rFonts w:hint="default" w:ascii="Times New Roman" w:hAnsi="Times New Roman" w:cs="Times New Roman"/>
                <w:color w:val="000000" w:themeColor="text1"/>
                <w:kern w:val="0"/>
                <w:sz w:val="24"/>
                <w:lang w:val="en-US" w:eastAsia="zh-CN"/>
                <w14:textFill>
                  <w14:solidFill>
                    <w14:schemeClr w14:val="tx1"/>
                  </w14:solidFill>
                </w14:textFill>
              </w:rPr>
              <w:t>土地房产</w:t>
            </w:r>
            <w:r>
              <w:rPr>
                <w:rFonts w:hint="default" w:ascii="Times New Roman" w:hAnsi="Times New Roman" w:cs="Times New Roman"/>
                <w:color w:val="000000" w:themeColor="text1"/>
                <w:kern w:val="0"/>
                <w:sz w:val="24"/>
                <w14:textFill>
                  <w14:solidFill>
                    <w14:schemeClr w14:val="tx1"/>
                  </w14:solidFill>
                </w14:textFill>
              </w:rPr>
              <w:t>证（</w:t>
            </w:r>
            <w:r>
              <w:rPr>
                <w:rFonts w:hint="default" w:ascii="Times New Roman" w:hAnsi="Times New Roman" w:cs="Times New Roman"/>
                <w:color w:val="000000" w:themeColor="text1"/>
                <w:kern w:val="0"/>
                <w:sz w:val="24"/>
                <w:lang w:eastAsia="zh-CN"/>
                <w14:textFill>
                  <w14:solidFill>
                    <w14:schemeClr w14:val="tx1"/>
                  </w14:solidFill>
                </w14:textFill>
              </w:rPr>
              <w:t>皖</w:t>
            </w:r>
            <w:r>
              <w:rPr>
                <w:rFonts w:hint="default" w:ascii="Times New Roman" w:hAnsi="Times New Roman" w:eastAsia="宋体" w:cs="Times New Roman"/>
                <w:color w:val="000000" w:themeColor="text1"/>
                <w:sz w:val="24"/>
                <w:lang w:eastAsia="zh-CN"/>
                <w14:textFill>
                  <w14:solidFill>
                    <w14:schemeClr w14:val="tx1"/>
                  </w14:solidFill>
                </w14:textFill>
              </w:rPr>
              <w:t>舒</w:t>
            </w:r>
            <w:r>
              <w:rPr>
                <w:rFonts w:hint="default" w:ascii="Times New Roman" w:hAnsi="Times New Roman" w:cs="Times New Roman"/>
                <w:color w:val="000000" w:themeColor="text1"/>
                <w:sz w:val="24"/>
                <w:lang w:val="en-US" w:eastAsia="zh-CN"/>
                <w14:textFill>
                  <w14:solidFill>
                    <w14:schemeClr w14:val="tx1"/>
                  </w14:solidFill>
                </w14:textFill>
              </w:rPr>
              <w:t>字</w:t>
            </w:r>
            <w:r>
              <w:rPr>
                <w:rFonts w:hint="default" w:ascii="Times New Roman" w:hAnsi="Times New Roman" w:eastAsia="宋体" w:cs="Times New Roman"/>
                <w:color w:val="000000" w:themeColor="text1"/>
                <w:sz w:val="24"/>
                <w:lang w:eastAsia="zh-CN"/>
                <w14:textFill>
                  <w14:solidFill>
                    <w14:schemeClr w14:val="tx1"/>
                  </w14:solidFill>
                </w14:textFill>
              </w:rPr>
              <w:t>第</w:t>
            </w:r>
            <w:r>
              <w:rPr>
                <w:rFonts w:hint="default" w:ascii="Times New Roman" w:hAnsi="Times New Roman" w:cs="Times New Roman"/>
                <w:color w:val="000000" w:themeColor="text1"/>
                <w:sz w:val="24"/>
                <w:lang w:val="en-US" w:eastAsia="zh-CN"/>
                <w14:textFill>
                  <w14:solidFill>
                    <w14:schemeClr w14:val="tx1"/>
                  </w14:solidFill>
                </w14:textFill>
              </w:rPr>
              <w:t>00061096</w:t>
            </w:r>
            <w:r>
              <w:rPr>
                <w:rFonts w:hint="default" w:ascii="Times New Roman" w:hAnsi="Times New Roman" w:eastAsia="宋体" w:cs="Times New Roman"/>
                <w:color w:val="000000" w:themeColor="text1"/>
                <w:sz w:val="24"/>
                <w:lang w:eastAsia="zh-CN"/>
                <w14:textFill>
                  <w14:solidFill>
                    <w14:schemeClr w14:val="tx1"/>
                  </w14:solidFill>
                </w14:textFill>
              </w:rPr>
              <w:t>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，项目选址所在</w:t>
            </w:r>
            <w:r>
              <w:rPr>
                <w:rFonts w:hint="default" w:ascii="Times New Roman" w:hAnsi="Times New Roman" w:cs="Times New Roman"/>
                <w:color w:val="000000" w:themeColor="text1"/>
                <w:kern w:val="0"/>
                <w:sz w:val="24"/>
                <w:lang w:val="en-US" w:eastAsia="zh-CN"/>
                <w14:textFill>
                  <w14:solidFill>
                    <w14:schemeClr w14:val="tx1"/>
                  </w14:solidFill>
                </w14:textFill>
              </w:rPr>
              <w:t>地</w:t>
            </w:r>
            <w:r>
              <w:rPr>
                <w:rFonts w:hint="default" w:ascii="Times New Roman" w:hAnsi="Times New Roman" w:cs="Times New Roman"/>
                <w:color w:val="000000" w:themeColor="text1"/>
                <w:kern w:val="0"/>
                <w:sz w:val="24"/>
                <w14:textFill>
                  <w14:solidFill>
                    <w14:schemeClr w14:val="tx1"/>
                  </w14:solidFill>
                </w14:textFill>
              </w:rPr>
              <w:t>用地性质为工业用地，故</w:t>
            </w:r>
            <w:r>
              <w:rPr>
                <w:rFonts w:hint="default" w:ascii="Times New Roman" w:hAnsi="Times New Roman" w:cs="Times New Roman"/>
                <w:color w:val="000000" w:themeColor="text1"/>
                <w:sz w:val="24"/>
                <w14:textFill>
                  <w14:solidFill>
                    <w14:schemeClr w14:val="tx1"/>
                  </w14:solidFill>
                </w14:textFill>
              </w:rPr>
              <w:t>本项目用地性质符合区域规划要求。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产业定位符合性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根据《安徽舒城经济开发区总体发展规划（2021-2035年）》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舒城县经济开发区主导产业为</w:t>
            </w:r>
            <w:r>
              <w:rPr>
                <w:rFonts w:hint="default" w:ascii="Times New Roman" w:hAnsi="Times New Roman" w:eastAsia="宋体" w:cs="Times New Roman"/>
                <w:color w:val="000000" w:themeColor="text1"/>
                <w:sz w:val="24"/>
                <w14:textFill>
                  <w14:solidFill>
                    <w14:schemeClr w14:val="tx1"/>
                  </w14:solidFill>
                </w14:textFill>
              </w:rPr>
              <w:t>电子信息、装备制造、农副食品加工</w:t>
            </w:r>
            <w:r>
              <w:rPr>
                <w:rFonts w:hint="default"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本项目属于</w:t>
            </w:r>
            <w:r>
              <w:rPr>
                <w:rFonts w:hint="default" w:ascii="Times New Roman" w:hAnsi="Times New Roman" w:eastAsia="宋体" w:cs="Times New Roman"/>
                <w:color w:val="000000" w:themeColor="text1"/>
                <w:sz w:val="24"/>
                <w:lang w:val="en-US" w:eastAsia="zh-CN"/>
                <w14:textFill>
                  <w14:solidFill>
                    <w14:schemeClr w14:val="tx1"/>
                  </w14:solidFill>
                </w14:textFill>
              </w:rPr>
              <w:t>C3311金属结构制造、</w:t>
            </w:r>
            <w:r>
              <w:rPr>
                <w:rFonts w:hint="default" w:ascii="Times New Roman" w:hAnsi="Times New Roman" w:eastAsia="宋体" w:cs="Times New Roman"/>
                <w:color w:val="000000" w:themeColor="text1"/>
                <w:sz w:val="24"/>
                <w14:textFill>
                  <w14:solidFill>
                    <w14:schemeClr w14:val="tx1"/>
                  </w14:solidFill>
                </w14:textFill>
              </w:rPr>
              <w:t>C</w:t>
            </w:r>
            <w:r>
              <w:rPr>
                <w:rFonts w:hint="default" w:ascii="Times New Roman" w:hAnsi="Times New Roman" w:eastAsia="宋体" w:cs="Times New Roman"/>
                <w:color w:val="000000" w:themeColor="text1"/>
                <w:sz w:val="24"/>
                <w:lang w:val="en-US" w:eastAsia="zh-CN"/>
                <w14:textFill>
                  <w14:solidFill>
                    <w14:schemeClr w14:val="tx1"/>
                  </w14:solidFill>
                </w14:textFill>
              </w:rPr>
              <w:t>3392有色金属铸造</w:t>
            </w:r>
            <w:r>
              <w:rPr>
                <w:rFonts w:hint="default" w:ascii="Times New Roman" w:hAnsi="Times New Roman" w:cs="Times New Roman"/>
                <w:color w:val="000000" w:themeColor="text1"/>
                <w:sz w:val="24"/>
                <w:lang w:val="en-US" w:eastAsia="zh-CN"/>
                <w14:textFill>
                  <w14:solidFill>
                    <w14:schemeClr w14:val="tx1"/>
                  </w14:solidFill>
                </w14:textFill>
              </w:rPr>
              <w:t>、 C3857家用电力器具专用配件制造</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其中C3311金属结构制造和C3857家用电力器具专用配件制造属于安徽舒城经济开发区主导产业，</w:t>
            </w:r>
            <w:r>
              <w:rPr>
                <w:rFonts w:hint="default" w:ascii="Times New Roman" w:hAnsi="Times New Roman" w:eastAsia="宋体" w:cs="Times New Roman"/>
                <w:color w:val="000000" w:themeColor="text1"/>
                <w:sz w:val="24"/>
                <w:lang w:eastAsia="zh-CN"/>
                <w14:textFill>
                  <w14:solidFill>
                    <w14:schemeClr w14:val="tx1"/>
                  </w14:solidFill>
                </w14:textFill>
              </w:rPr>
              <w:t>属于安徽舒城经济开发区主导产业</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“装备制造”</w:t>
            </w:r>
            <w:r>
              <w:rPr>
                <w:rFonts w:hint="default" w:ascii="Times New Roman" w:hAnsi="Times New Roman" w:cs="Times New Roman"/>
                <w:color w:val="000000" w:themeColor="text1"/>
                <w:sz w:val="24"/>
                <w:highlight w:val="none"/>
                <w:lang w:val="en-US" w:eastAsia="zh-CN"/>
                <w14:textFill>
                  <w14:solidFill>
                    <w14:schemeClr w14:val="tx1"/>
                  </w14:solidFill>
                </w14:textFill>
              </w:rPr>
              <w:t>中的C33金属制品业和</w:t>
            </w:r>
            <w:r>
              <w:rPr>
                <w:rFonts w:hint="default" w:ascii="Times New Roman" w:hAnsi="Times New Roman" w:cs="Times New Roman"/>
                <w:color w:val="000000" w:themeColor="text1"/>
                <w:sz w:val="24"/>
                <w:lang w:val="en-US" w:eastAsia="zh-CN"/>
                <w14:textFill>
                  <w14:solidFill>
                    <w14:schemeClr w14:val="tx1"/>
                  </w14:solidFill>
                </w14:textFill>
              </w:rPr>
              <w:t>C38电气机械和器材制造业</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且项目已取得舒城经开区经贸科技发展局项目备案文件，</w:t>
            </w:r>
            <w:r>
              <w:rPr>
                <w:rFonts w:hint="default" w:ascii="Times New Roman" w:hAnsi="Times New Roman" w:eastAsia="宋体" w:cs="Times New Roman"/>
                <w:color w:val="000000" w:themeColor="text1"/>
                <w:sz w:val="24"/>
                <w:lang w:val="en-US" w:eastAsia="zh-CN"/>
                <w14:textFill>
                  <w14:solidFill>
                    <w14:schemeClr w14:val="tx1"/>
                  </w14:solidFill>
                </w14:textFill>
              </w:rPr>
              <w:t>项</w:t>
            </w:r>
            <w:r>
              <w:rPr>
                <w:rFonts w:hint="default" w:ascii="Times New Roman" w:hAnsi="Times New Roman" w:eastAsia="宋体" w:cs="Times New Roman"/>
                <w:color w:val="000000" w:themeColor="text1"/>
                <w:sz w:val="24"/>
                <w:lang w:eastAsia="zh-CN"/>
                <w14:textFill>
                  <w14:solidFill>
                    <w14:schemeClr w14:val="tx1"/>
                  </w14:solidFill>
                </w14:textFill>
              </w:rPr>
              <w:t>目建设符合</w:t>
            </w:r>
            <w:r>
              <w:rPr>
                <w:rFonts w:hint="default" w:ascii="Times New Roman" w:hAnsi="Times New Roman" w:eastAsia="宋体" w:cs="Times New Roman"/>
                <w:color w:val="000000" w:themeColor="text1"/>
                <w:sz w:val="24"/>
                <w14:textFill>
                  <w14:solidFill>
                    <w14:schemeClr w14:val="tx1"/>
                  </w14:solidFill>
                </w14:textFill>
              </w:rPr>
              <w:t>《安徽舒城经济开发区总体发展规划（2021-2035年）》</w:t>
            </w:r>
            <w:r>
              <w:rPr>
                <w:rFonts w:hint="default" w:ascii="Times New Roman" w:hAnsi="Times New Roman" w:eastAsia="宋体" w:cs="Times New Roman"/>
                <w:color w:val="000000" w:themeColor="text1"/>
                <w:sz w:val="24"/>
                <w:lang w:eastAsia="zh-CN"/>
                <w14:textFill>
                  <w14:solidFill>
                    <w14:schemeClr w14:val="tx1"/>
                  </w14:solidFill>
                </w14:textFill>
              </w:rPr>
              <w:t>要求</w:t>
            </w:r>
            <w:r>
              <w:rPr>
                <w:rFonts w:hint="default" w:ascii="Times New Roman" w:hAnsi="Times New Roman" w:eastAsia="宋体" w:cs="Times New Roman"/>
                <w:color w:val="000000" w:themeColor="text1"/>
                <w:sz w:val="24"/>
                <w14:textFill>
                  <w14:solidFill>
                    <w14:schemeClr w14:val="tx1"/>
                  </w14:solidFill>
                </w14:textFill>
              </w:rPr>
              <w:t>。</w:t>
            </w:r>
          </w:p>
          <w:p>
            <w:pPr>
              <w:pStyle w:val="12"/>
              <w:spacing w:line="360" w:lineRule="auto"/>
              <w:jc w:val="both"/>
              <w:rPr>
                <w:rFonts w:hint="default" w:ascii="Times New Roman" w:hAnsi="Times New Roman" w:cs="Times New Roman"/>
                <w:b/>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2、与《安徽舒城经济开发区总体发展规划（2021-2035年）环境影响报告书》及其审查意见符合性分析</w:t>
            </w:r>
          </w:p>
          <w:p>
            <w:pPr>
              <w:spacing w:line="360" w:lineRule="auto"/>
              <w:ind w:firstLine="480" w:firstLineChars="200"/>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根据安徽省生态环境厅《关于印送&lt;安徽舒城经济开发区总体发展规划（2021-2035年）环境影响报告书审查意见&gt;的函》（皖环函[2022]1265号），本项目与规划环评</w:t>
            </w:r>
            <w:r>
              <w:rPr>
                <w:rFonts w:hint="default" w:ascii="Times New Roman" w:hAnsi="Times New Roman" w:cs="Times New Roman"/>
                <w:bCs/>
                <w:color w:val="000000" w:themeColor="text1"/>
                <w:sz w:val="24"/>
                <w:highlight w:val="none"/>
                <w:lang w:val="en-US" w:eastAsia="zh-CN"/>
                <w14:textFill>
                  <w14:solidFill>
                    <w14:schemeClr w14:val="tx1"/>
                  </w14:solidFill>
                </w14:textFill>
              </w:rPr>
              <w:t>及其</w:t>
            </w:r>
            <w:r>
              <w:rPr>
                <w:rFonts w:hint="default" w:ascii="Times New Roman" w:hAnsi="Times New Roman" w:cs="Times New Roman"/>
                <w:bCs/>
                <w:color w:val="000000" w:themeColor="text1"/>
                <w:sz w:val="24"/>
                <w:highlight w:val="none"/>
                <w14:textFill>
                  <w14:solidFill>
                    <w14:schemeClr w14:val="tx1"/>
                  </w14:solidFill>
                </w14:textFill>
              </w:rPr>
              <w:t>审查意见相符性分析见</w:t>
            </w:r>
            <w:r>
              <w:rPr>
                <w:rFonts w:hint="default" w:ascii="Times New Roman" w:hAnsi="Times New Roman" w:cs="Times New Roman"/>
                <w:bCs/>
                <w:color w:val="000000" w:themeColor="text1"/>
                <w:sz w:val="24"/>
                <w:highlight w:val="none"/>
                <w:lang w:val="en-US" w:eastAsia="zh-CN"/>
                <w14:textFill>
                  <w14:solidFill>
                    <w14:schemeClr w14:val="tx1"/>
                  </w14:solidFill>
                </w14:textFill>
              </w:rPr>
              <w:t>下</w:t>
            </w:r>
            <w:r>
              <w:rPr>
                <w:rFonts w:hint="default" w:ascii="Times New Roman" w:hAnsi="Times New Roman" w:cs="Times New Roman"/>
                <w:bCs/>
                <w:color w:val="000000" w:themeColor="text1"/>
                <w:sz w:val="24"/>
                <w:highlight w:val="none"/>
                <w14:textFill>
                  <w14:solidFill>
                    <w14:schemeClr w14:val="tx1"/>
                  </w14:solidFill>
                </w14:textFill>
              </w:rPr>
              <w:t>表</w:t>
            </w:r>
            <w:r>
              <w:rPr>
                <w:rFonts w:hint="default" w:ascii="Times New Roman" w:hAnsi="Times New Roman" w:cs="Times New Roman"/>
                <w:bCs/>
                <w:color w:val="000000" w:themeColor="text1"/>
                <w:sz w:val="24"/>
                <w:highlight w:val="none"/>
                <w:lang w:eastAsia="zh-CN"/>
                <w14:textFill>
                  <w14:solidFill>
                    <w14:schemeClr w14:val="tx1"/>
                  </w14:solidFill>
                </w14:textFill>
              </w:rPr>
              <w:t>：</w:t>
            </w:r>
          </w:p>
          <w:p>
            <w:pPr>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表1-</w:t>
            </w:r>
            <w:r>
              <w:rPr>
                <w:rFonts w:hint="default" w:ascii="Times New Roman" w:hAnsi="Times New Roman" w:cs="Times New Roman"/>
                <w:b/>
                <w:color w:val="000000" w:themeColor="text1"/>
                <w:sz w:val="24"/>
                <w:highlight w:val="none"/>
                <w:lang w:val="en-US" w:eastAsia="zh-CN"/>
                <w14:textFill>
                  <w14:solidFill>
                    <w14:schemeClr w14:val="tx1"/>
                  </w14:solidFill>
                </w14:textFill>
              </w:rPr>
              <w:t xml:space="preserve">1 </w:t>
            </w:r>
            <w:r>
              <w:rPr>
                <w:rFonts w:hint="default" w:ascii="Times New Roman" w:hAnsi="Times New Roman" w:cs="Times New Roman"/>
                <w:b/>
                <w:color w:val="000000" w:themeColor="text1"/>
                <w:sz w:val="24"/>
                <w:highlight w:val="none"/>
                <w14:textFill>
                  <w14:solidFill>
                    <w14:schemeClr w14:val="tx1"/>
                  </w14:solidFill>
                </w14:textFill>
              </w:rPr>
              <w:t>项目与规划环评及</w:t>
            </w:r>
            <w:r>
              <w:rPr>
                <w:rFonts w:hint="default" w:ascii="Times New Roman" w:hAnsi="Times New Roman" w:cs="Times New Roman"/>
                <w:b/>
                <w:color w:val="000000" w:themeColor="text1"/>
                <w:sz w:val="24"/>
                <w:highlight w:val="none"/>
                <w:lang w:val="en-US" w:eastAsia="zh-CN"/>
                <w14:textFill>
                  <w14:solidFill>
                    <w14:schemeClr w14:val="tx1"/>
                  </w14:solidFill>
                </w14:textFill>
              </w:rPr>
              <w:t>其审查意见</w:t>
            </w:r>
            <w:r>
              <w:rPr>
                <w:rFonts w:hint="default" w:ascii="Times New Roman" w:hAnsi="Times New Roman" w:cs="Times New Roman"/>
                <w:b/>
                <w:color w:val="000000" w:themeColor="text1"/>
                <w:sz w:val="24"/>
                <w:highlight w:val="none"/>
                <w14:textFill>
                  <w14:solidFill>
                    <w14:schemeClr w14:val="tx1"/>
                  </w14:solidFill>
                </w14:textFill>
              </w:rPr>
              <w:t>相符性一览表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0"/>
              <w:gridCol w:w="4298"/>
              <w:gridCol w:w="1761"/>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trPr>
              <w:tc>
                <w:tcPr>
                  <w:tcW w:w="342" w:type="pct"/>
                  <w:noWrap w:val="0"/>
                  <w:vAlign w:val="center"/>
                </w:tcPr>
                <w:p>
                  <w:pPr>
                    <w:pStyle w:val="96"/>
                    <w:spacing w:line="320" w:lineRule="exact"/>
                    <w:ind w:firstLine="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序号</w:t>
                  </w:r>
                </w:p>
              </w:tc>
              <w:tc>
                <w:tcPr>
                  <w:tcW w:w="2882" w:type="pct"/>
                  <w:noWrap w:val="0"/>
                  <w:vAlign w:val="center"/>
                </w:tcPr>
                <w:p>
                  <w:pPr>
                    <w:pStyle w:val="96"/>
                    <w:spacing w:line="320" w:lineRule="exact"/>
                    <w:ind w:firstLine="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规划环评及</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其审查意见</w:t>
                  </w:r>
                  <w:r>
                    <w:rPr>
                      <w:rFonts w:hint="default" w:ascii="Times New Roman" w:hAnsi="Times New Roman" w:eastAsia="宋体" w:cs="Times New Roman"/>
                      <w:b/>
                      <w:bCs/>
                      <w:color w:val="000000" w:themeColor="text1"/>
                      <w:szCs w:val="21"/>
                      <w:highlight w:val="none"/>
                      <w14:textFill>
                        <w14:solidFill>
                          <w14:schemeClr w14:val="tx1"/>
                        </w14:solidFill>
                      </w14:textFill>
                    </w:rPr>
                    <w:t>要求</w:t>
                  </w:r>
                </w:p>
              </w:tc>
              <w:tc>
                <w:tcPr>
                  <w:tcW w:w="1181" w:type="pct"/>
                  <w:noWrap w:val="0"/>
                  <w:vAlign w:val="center"/>
                </w:tcPr>
                <w:p>
                  <w:pPr>
                    <w:pStyle w:val="96"/>
                    <w:spacing w:line="320" w:lineRule="exact"/>
                    <w:ind w:firstLine="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本项目情况</w:t>
                  </w:r>
                </w:p>
              </w:tc>
              <w:tc>
                <w:tcPr>
                  <w:tcW w:w="593" w:type="pct"/>
                  <w:noWrap w:val="0"/>
                  <w:vAlign w:val="center"/>
                </w:tcPr>
                <w:p>
                  <w:pPr>
                    <w:pStyle w:val="96"/>
                    <w:spacing w:line="320" w:lineRule="exact"/>
                    <w:ind w:firstLine="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2882" w:type="pct"/>
                  <w:noWrap w:val="0"/>
                  <w:vAlign w:val="center"/>
                </w:tcPr>
                <w:p>
                  <w:pPr>
                    <w:keepNext w:val="0"/>
                    <w:keepLines w:val="0"/>
                    <w:widowControl/>
                    <w:suppressLineNumbers w:val="0"/>
                    <w:jc w:val="both"/>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加强《规划》引领，坚持绿色协调发展。加强《规划》与《皖江城市带承接产业转移示范区规划(修订)》及深入打好污染防治攻坚战相关要求、“三线一单”的协调衔接。统筹推进开发区整体发展和生态保护，基于环境承载力合理控制开发利用强度和建设时序，进一步提高土地利用效率，协调好产业发展与区域、园区环境保护的关系。统筹园区减污降碳协同共治、资源集约节约及循环化利用、能源智慧高效利用、环境风险防控等重大事项，引导园区生态化、低碳化、绿色化、智能化发展。落实园区近期发展规划，结合区域生态环境承载力适时启动远期发展规划，着力推进开发区产业转型升级和结构优化确保产业发展与区域生态环境保护、人居环境质量保障相协调</w:t>
                  </w:r>
                </w:p>
              </w:tc>
              <w:tc>
                <w:tcPr>
                  <w:tcW w:w="1181"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项目符合“三线一单”和区域规划用地、产业布局要求，采取的污染防治措施符合相关政策、技术要求，采用先进生产工艺、装备，自动化程度高，环保设施配套完善、布局合理</w:t>
                  </w:r>
                </w:p>
              </w:tc>
              <w:tc>
                <w:tcPr>
                  <w:tcW w:w="593"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2" w:hRule="atLeast"/>
              </w:trPr>
              <w:tc>
                <w:tcPr>
                  <w:tcW w:w="342"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882"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严守环境质量底线，落实区域环境质量管控措施。开发区位于巢湖流域水环境三级保护区，目前区域地表水环境质量改善压力大，对开发区继续开发建设形成一定的制约。开发区应坚持生态优先、高效集约发展，以生态环境质量改善、防范环境风险为核心，明确开发区发展存在的制约因素。根据国家和我省大气、水、土壤、固体污染防治相关要求，妥善解决区域生态环境问题，确保开发区建设项目污染物长期稳定达标排放，区域生态环境质量持续改善</w:t>
                  </w:r>
                </w:p>
              </w:tc>
              <w:tc>
                <w:tcPr>
                  <w:tcW w:w="1181" w:type="pct"/>
                  <w:noWrap w:val="0"/>
                  <w:vAlign w:val="center"/>
                </w:tcPr>
                <w:p>
                  <w:pPr>
                    <w:pStyle w:val="12"/>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项目选址所在地位于舒城县经济开发区污水处理厂收水范围内，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在落实污染防治和风险防治措施后，能够确保各污染物稳定达标，环境风险可控</w:t>
                  </w:r>
                </w:p>
              </w:tc>
              <w:tc>
                <w:tcPr>
                  <w:tcW w:w="593"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w:t>
                  </w:r>
                </w:p>
              </w:tc>
              <w:tc>
                <w:tcPr>
                  <w:tcW w:w="2882"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优化产业布局，加强生态空间保护。开发区应结合环境制约因素、产业定位等，进一步完善产业发展规划，明确不同规划年规划发展目标，优化电子信息功能分区和重大项目布局。合理规划不同功能区的环境保护空间，严禁不符合管控要求的各类开发建设活动，规划实施不得降低丰乐河和杭埠河等地表水体的环境质量。做好开发区建设生产与周边生态环境敏感区、居住区之间的有效隔离和管控，实现产业发展与区域生态环境保护相协调</w:t>
                  </w:r>
                </w:p>
              </w:tc>
              <w:tc>
                <w:tcPr>
                  <w:tcW w:w="1181" w:type="pct"/>
                  <w:noWrap w:val="0"/>
                  <w:vAlign w:val="center"/>
                </w:tcPr>
                <w:p>
                  <w:pPr>
                    <w:pStyle w:val="96"/>
                    <w:spacing w:line="320" w:lineRule="exact"/>
                    <w:ind w:firstLine="0"/>
                    <w:jc w:val="both"/>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项目选址符合区域用地、产业布局等规划；</w:t>
                  </w: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属于舒城县经济开发区污水处理厂收水范围内</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r>
                    <w:rPr>
                      <w:rFonts w:hint="default" w:ascii="Times New Roman" w:hAnsi="Times New Roman" w:eastAsia="宋体" w:cs="Times New Roman"/>
                      <w:color w:val="000000" w:themeColor="text1"/>
                      <w:szCs w:val="21"/>
                      <w:highlight w:val="none"/>
                      <w14:textFill>
                        <w14:solidFill>
                          <w14:schemeClr w14:val="tx1"/>
                        </w14:solidFill>
                      </w14:textFill>
                    </w:rPr>
                    <w:t>周边以</w:t>
                  </w: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工业企业和待建设工业用地为主，</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本项目各废气污染物均采取有效措施，可以实现达标排放，本项目不需要设置大气防护距离</w:t>
                  </w:r>
                  <w:r>
                    <w:rPr>
                      <w:rFonts w:hint="default" w:ascii="Times New Roman" w:hAnsi="Times New Roman" w:eastAsia="宋体" w:cs="Times New Roman"/>
                      <w:color w:val="000000" w:themeColor="text1"/>
                      <w:kern w:val="2"/>
                      <w:sz w:val="21"/>
                      <w:szCs w:val="24"/>
                      <w:lang w:val="zh-CN" w:eastAsia="zh-CN" w:bidi="ar-SA"/>
                      <w14:textFill>
                        <w14:solidFill>
                          <w14:schemeClr w14:val="tx1"/>
                        </w14:solidFill>
                      </w14:textFill>
                    </w:rPr>
                    <w:t>；同时，根据调查，距离项</w:t>
                  </w:r>
                  <w:r>
                    <w:rPr>
                      <w:rFonts w:hint="default" w:ascii="Times New Roman" w:hAnsi="Times New Roman" w:cs="Times New Roman"/>
                      <w:color w:val="000000" w:themeColor="text1"/>
                      <w:lang w:val="zh-CN" w:eastAsia="zh-CN"/>
                      <w14:textFill>
                        <w14:solidFill>
                          <w14:schemeClr w14:val="tx1"/>
                        </w14:solidFill>
                      </w14:textFill>
                    </w:rPr>
                    <w:t>目最近</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东南</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侧</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121</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m有一敏感</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保护目标</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三沟小学</w:t>
                  </w:r>
                  <w:r>
                    <w:rPr>
                      <w:rFonts w:hint="default" w:ascii="Times New Roman" w:hAnsi="Times New Roman" w:eastAsia="宋体" w:cs="Times New Roman"/>
                      <w:color w:val="000000" w:themeColor="text1"/>
                      <w:lang w:val="en-US" w:eastAsia="zh-CN"/>
                      <w14:textFill>
                        <w14:solidFill>
                          <w14:schemeClr w14:val="tx1"/>
                        </w14:solidFill>
                      </w14:textFill>
                    </w:rPr>
                    <w:t>，项目所在区域主导风向为东南风，</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三沟小学</w:t>
                  </w:r>
                  <w:r>
                    <w:rPr>
                      <w:rFonts w:hint="default" w:ascii="Times New Roman" w:hAnsi="Times New Roman" w:cs="Times New Roman"/>
                      <w:color w:val="000000" w:themeColor="text1"/>
                      <w:szCs w:val="21"/>
                      <w:lang w:val="en-US" w:eastAsia="zh-CN"/>
                      <w14:textFill>
                        <w14:solidFill>
                          <w14:schemeClr w14:val="tx1"/>
                        </w14:solidFill>
                      </w14:textFill>
                    </w:rPr>
                    <w:t>位于项目东侧，</w:t>
                  </w:r>
                  <w:r>
                    <w:rPr>
                      <w:rFonts w:hint="default" w:ascii="Times New Roman" w:hAnsi="Times New Roman" w:cs="Times New Roman"/>
                      <w:color w:val="000000" w:themeColor="text1"/>
                      <w:sz w:val="21"/>
                      <w:szCs w:val="21"/>
                      <w:lang w:val="en-US" w:eastAsia="zh-CN"/>
                      <w14:textFill>
                        <w14:solidFill>
                          <w14:schemeClr w14:val="tx1"/>
                        </w14:solidFill>
                      </w14:textFill>
                    </w:rPr>
                    <w:t>本项目在</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三沟小学</w:t>
                  </w:r>
                  <w:r>
                    <w:rPr>
                      <w:rFonts w:hint="default" w:ascii="Times New Roman" w:hAnsi="Times New Roman" w:cs="Times New Roman"/>
                      <w:color w:val="000000" w:themeColor="text1"/>
                      <w:szCs w:val="21"/>
                      <w:lang w:val="en-US" w:eastAsia="zh-CN"/>
                      <w14:textFill>
                        <w14:solidFill>
                          <w14:schemeClr w14:val="tx1"/>
                        </w14:solidFill>
                      </w14:textFill>
                    </w:rPr>
                    <w:t>主导风向侧风向。项目在落实环评提出的各项污染治理措施后，污染物实现达标排放。综上，项目对敏感目标影响程度可接受。</w:t>
                  </w:r>
                </w:p>
              </w:tc>
              <w:tc>
                <w:tcPr>
                  <w:tcW w:w="593"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342"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2882"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完善环保基础设施建设，强化环境污染防控根据开发时序和开发强度，进一步优化区域供热、排水、及中水回用等规划，完善城关园区污水管网建设。结合区域环境质量现状，细化污染防治基础设施建设、排放和运行管理要求，保障受纳水体的水环境功能及相关考核断面水质达标</w:t>
                  </w:r>
                </w:p>
              </w:tc>
              <w:tc>
                <w:tcPr>
                  <w:tcW w:w="1181" w:type="pct"/>
                  <w:noWrap w:val="0"/>
                  <w:vAlign w:val="center"/>
                </w:tcPr>
                <w:p>
                  <w:pPr>
                    <w:pStyle w:val="96"/>
                    <w:spacing w:line="320" w:lineRule="exact"/>
                    <w:ind w:firstLine="0"/>
                    <w:jc w:val="both"/>
                    <w:rPr>
                      <w:rFonts w:hint="default" w:ascii="Times New Roman" w:hAnsi="Times New Roman" w:eastAsia="宋体" w:cs="Times New Roman"/>
                      <w:color w:val="000000" w:themeColor="text1"/>
                      <w:szCs w:val="21"/>
                      <w:highlight w:val="yellow"/>
                      <w:lang w:val="en-US"/>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项目选址</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所在地</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属</w:t>
                  </w: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于舒城县经济开发区污水处理厂收水范围内，</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项目不设锅炉等集中供热设施。</w:t>
                  </w:r>
                </w:p>
              </w:tc>
              <w:tc>
                <w:tcPr>
                  <w:tcW w:w="593"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yellow"/>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trPr>
              <w:tc>
                <w:tcPr>
                  <w:tcW w:w="342"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2882"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细化生态环境准入清单，推动高质量发展。根据国家和区域发展战略，结合区域生态环境质量现状、“三线一单”成果等，严格落实《报告书》生态环境准入要求。严格执行国家产业政策，坚决遏制高耗能、高排放项目盲目发展，应在生态环境准入清单中深化“两高”项目环境准入及管控要求，限制不符合巢湖流域水污染防治条例相关要求以及与规划主导产业不相关且污染物排放量大的项目入区。现有不符合开发区发展定位和环境保护要求的企业应逐步升级改造或有序退出</w:t>
                  </w:r>
                </w:p>
              </w:tc>
              <w:tc>
                <w:tcPr>
                  <w:tcW w:w="1181" w:type="pct"/>
                  <w:noWrap w:val="0"/>
                  <w:vAlign w:val="center"/>
                </w:tcPr>
                <w:p>
                  <w:pPr>
                    <w:pStyle w:val="96"/>
                    <w:spacing w:line="320" w:lineRule="exact"/>
                    <w:ind w:firstLine="0"/>
                    <w:jc w:val="both"/>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项目不属于“两高”项目，符合现行国家产业政策和“三线一单”成果要求</w:t>
                  </w:r>
                </w:p>
              </w:tc>
              <w:tc>
                <w:tcPr>
                  <w:tcW w:w="593"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trPr>
              <w:tc>
                <w:tcPr>
                  <w:tcW w:w="342"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2882"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1"/>
                      <w:sz w:val="21"/>
                      <w:szCs w:val="21"/>
                      <w:highlight w:val="none"/>
                      <w:lang w:val="en-US" w:eastAsia="zh-CN" w:bidi="ar"/>
                      <w14:textFill>
                        <w14:solidFill>
                          <w14:schemeClr w14:val="tx1"/>
                        </w14:solidFill>
                      </w14:textFill>
                    </w:rPr>
                    <w:t>完善环境监测体系，加强生态环境风险防控。统筹考虑区域内污染物排放、水环境保护、环境风险防范、环境管理等要求，健全区域风险防范体系和生态安全保障体系，加强开发区内重要环境风险源的管控，完善环境风险防范应急措施。加强日常环境监管，落实区域环境管理要求。加强舒城电子产业园表面处理中心的监管，做好开发区重大环境风险源的识别与管控，确保事故状态下的事故废水与外环境有效隔离。在规划实施过程中，适时开展规划环境影响的跟踪评价</w:t>
                  </w:r>
                </w:p>
              </w:tc>
              <w:tc>
                <w:tcPr>
                  <w:tcW w:w="1181" w:type="pct"/>
                  <w:noWrap w:val="0"/>
                  <w:vAlign w:val="center"/>
                </w:tcPr>
                <w:p>
                  <w:pPr>
                    <w:pStyle w:val="96"/>
                    <w:spacing w:line="320" w:lineRule="exact"/>
                    <w:ind w:firstLine="0"/>
                    <w:jc w:val="both"/>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企业通过制定突发环境事件应急预案，实现与园区预案联动、衔接；项目运营后按照排污许可相关管理要求和环评要求，做好自行监测和监测质量保证与质量控制</w:t>
                  </w:r>
                </w:p>
              </w:tc>
              <w:tc>
                <w:tcPr>
                  <w:tcW w:w="593" w:type="pct"/>
                  <w:noWrap w:val="0"/>
                  <w:vAlign w:val="center"/>
                </w:tcPr>
                <w:p>
                  <w:pPr>
                    <w:pStyle w:val="96"/>
                    <w:spacing w:line="320" w:lineRule="exact"/>
                    <w:ind w:firstLine="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bl>
          <w:p>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综上分析，</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本项目建设符合</w:t>
            </w:r>
            <w:r>
              <w:rPr>
                <w:rFonts w:hint="default" w:ascii="Times New Roman" w:hAnsi="Times New Roman" w:cs="Times New Roman"/>
                <w:bCs/>
                <w:color w:val="000000" w:themeColor="text1"/>
                <w:sz w:val="24"/>
                <w:highlight w:val="none"/>
                <w14:textFill>
                  <w14:solidFill>
                    <w14:schemeClr w14:val="tx1"/>
                  </w14:solidFill>
                </w14:textFill>
              </w:rPr>
              <w:t>安徽舒城经济</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开发区规划环境影响评价及其审查意见要求。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1" w:hRule="atLeast"/>
          <w:jc w:val="center"/>
        </w:trPr>
        <w:tc>
          <w:tcPr>
            <w:tcW w:w="1404" w:type="dxa"/>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其他符合性分析</w:t>
            </w:r>
          </w:p>
        </w:tc>
        <w:tc>
          <w:tcPr>
            <w:tcW w:w="7667" w:type="dxa"/>
            <w:gridSpan w:val="3"/>
            <w:noWrap w:val="0"/>
            <w:vAlign w:val="center"/>
          </w:tcPr>
          <w:p>
            <w:pPr>
              <w:autoSpaceDE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lang w:bidi="ar"/>
                <w14:textFill>
                  <w14:solidFill>
                    <w14:schemeClr w14:val="tx1"/>
                  </w14:solidFill>
                </w14:textFill>
              </w:rPr>
              <w:t>1、项目产业政策符合性分析</w:t>
            </w:r>
          </w:p>
          <w:p>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主要生产合力叉车脚踏板、洗衣机滚筒连接法兰盘</w:t>
            </w:r>
            <w:r>
              <w:rPr>
                <w:rFonts w:hint="default" w:ascii="Times New Roman" w:hAnsi="Times New Roman" w:cs="Times New Roman"/>
                <w:color w:val="000000" w:themeColor="text1"/>
                <w:sz w:val="24"/>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4"/>
                <w:lang w:val="en-US" w:eastAsia="zh-CN"/>
                <w14:textFill>
                  <w14:solidFill>
                    <w14:schemeClr w14:val="tx1"/>
                  </w14:solidFill>
                </w14:textFill>
              </w:rPr>
              <w:t>和门业扭簧法兰，</w:t>
            </w:r>
            <w:r>
              <w:rPr>
                <w:rFonts w:hint="default" w:ascii="Times New Roman" w:hAnsi="Times New Roman" w:eastAsia="宋体" w:cs="Times New Roman"/>
                <w:color w:val="000000" w:themeColor="text1"/>
                <w:sz w:val="24"/>
                <w14:textFill>
                  <w14:solidFill>
                    <w14:schemeClr w14:val="tx1"/>
                  </w14:solidFill>
                </w14:textFill>
              </w:rPr>
              <w:t>依据《国民经济行业分类》（GB/T 4754-2017）（2019修改版），</w:t>
            </w:r>
            <w:r>
              <w:rPr>
                <w:rFonts w:hint="default" w:ascii="Times New Roman" w:hAnsi="Times New Roman" w:eastAsia="宋体" w:cs="Times New Roman"/>
                <w:color w:val="000000" w:themeColor="text1"/>
                <w:sz w:val="24"/>
                <w:szCs w:val="24"/>
                <w14:textFill>
                  <w14:solidFill>
                    <w14:schemeClr w14:val="tx1"/>
                  </w14:solidFill>
                </w14:textFill>
              </w:rPr>
              <w:t>本项</w:t>
            </w:r>
            <w:r>
              <w:rPr>
                <w:rFonts w:hint="default" w:ascii="Times New Roman" w:hAnsi="Times New Roman" w:cs="Times New Roman"/>
                <w:color w:val="000000" w:themeColor="text1"/>
                <w:sz w:val="24"/>
                <w:szCs w:val="24"/>
                <w14:textFill>
                  <w14:solidFill>
                    <w14:schemeClr w14:val="tx1"/>
                  </w14:solidFill>
                </w14:textFill>
              </w:rPr>
              <w:t>目属于</w:t>
            </w:r>
            <w:r>
              <w:rPr>
                <w:rFonts w:hint="default" w:ascii="Times New Roman" w:hAnsi="Times New Roman" w:eastAsia="宋体" w:cs="Times New Roman"/>
                <w:color w:val="000000" w:themeColor="text1"/>
                <w:sz w:val="24"/>
                <w:lang w:val="en-US" w:eastAsia="zh-CN"/>
                <w14:textFill>
                  <w14:solidFill>
                    <w14:schemeClr w14:val="tx1"/>
                  </w14:solidFill>
                </w14:textFill>
              </w:rPr>
              <w:t>C3311金属结构制造、</w:t>
            </w:r>
            <w:r>
              <w:rPr>
                <w:rFonts w:hint="default" w:ascii="Times New Roman" w:hAnsi="Times New Roman" w:eastAsia="宋体" w:cs="Times New Roman"/>
                <w:color w:val="000000" w:themeColor="text1"/>
                <w:sz w:val="24"/>
                <w14:textFill>
                  <w14:solidFill>
                    <w14:schemeClr w14:val="tx1"/>
                  </w14:solidFill>
                </w14:textFill>
              </w:rPr>
              <w:t>C</w:t>
            </w:r>
            <w:r>
              <w:rPr>
                <w:rFonts w:hint="default" w:ascii="Times New Roman" w:hAnsi="Times New Roman" w:eastAsia="宋体" w:cs="Times New Roman"/>
                <w:color w:val="000000" w:themeColor="text1"/>
                <w:sz w:val="24"/>
                <w:lang w:val="en-US" w:eastAsia="zh-CN"/>
                <w14:textFill>
                  <w14:solidFill>
                    <w14:schemeClr w14:val="tx1"/>
                  </w14:solidFill>
                </w14:textFill>
              </w:rPr>
              <w:t>3392有色金属铸造</w:t>
            </w:r>
            <w:r>
              <w:rPr>
                <w:rFonts w:hint="default" w:ascii="Times New Roman" w:hAnsi="Times New Roman" w:cs="Times New Roman"/>
                <w:color w:val="000000" w:themeColor="text1"/>
                <w:sz w:val="24"/>
                <w:lang w:val="en-US" w:eastAsia="zh-CN"/>
                <w14:textFill>
                  <w14:solidFill>
                    <w14:schemeClr w14:val="tx1"/>
                  </w14:solidFill>
                </w14:textFill>
              </w:rPr>
              <w:t>、 C3857家用电力器具专用配件制造</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C3311金属结构制造</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及</w:t>
            </w:r>
            <w:r>
              <w:rPr>
                <w:rFonts w:hint="default" w:ascii="Times New Roman" w:hAnsi="Times New Roman" w:cs="Times New Roman"/>
                <w:color w:val="000000" w:themeColor="text1"/>
                <w:sz w:val="24"/>
                <w:lang w:val="en-US" w:eastAsia="zh-CN"/>
                <w14:textFill>
                  <w14:solidFill>
                    <w14:schemeClr w14:val="tx1"/>
                  </w14:solidFill>
                </w14:textFill>
              </w:rPr>
              <w:t>C3857家用电力器具专用配件制造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产业政策符合性分析：</w:t>
            </w:r>
          </w:p>
          <w:p>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根据国家发展和改革委员会《产业结构调整指导目录（2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024</w:t>
            </w:r>
            <w:r>
              <w:rPr>
                <w:rFonts w:hint="default" w:ascii="Times New Roman" w:hAnsi="Times New Roman" w:eastAsia="宋体" w:cs="Times New Roman"/>
                <w:color w:val="000000" w:themeColor="text1"/>
                <w:sz w:val="24"/>
                <w:szCs w:val="24"/>
                <w14:textFill>
                  <w14:solidFill>
                    <w14:schemeClr w14:val="tx1"/>
                  </w14:solidFill>
                </w14:textFill>
              </w:rPr>
              <w:t>年本）》，</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C3311金属结构制造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不属于其中“</w:t>
            </w:r>
            <w:r>
              <w:rPr>
                <w:rFonts w:hint="default" w:ascii="Times New Roman" w:hAnsi="Times New Roman" w:eastAsia="宋体" w:cs="Times New Roman"/>
                <w:color w:val="000000" w:themeColor="text1"/>
                <w:sz w:val="24"/>
                <w:szCs w:val="24"/>
                <w14:textFill>
                  <w14:solidFill>
                    <w14:schemeClr w14:val="tx1"/>
                  </w14:solidFill>
                </w14:textFill>
              </w:rPr>
              <w:t>鼓励类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”、“限制类”、“淘汰类”</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属于“允许类”</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（2）C3392有色金属铸造产业政策符合性：</w:t>
            </w:r>
          </w:p>
          <w:p>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val="en-US" w:eastAsia="zh-CN"/>
                <w14:textFill>
                  <w14:solidFill>
                    <w14:schemeClr w14:val="tx1"/>
                  </w14:solidFill>
                </w14:textFill>
              </w:rPr>
              <w:t>生产合力叉车脚踏板、洗衣机滚筒连接法兰盘</w:t>
            </w:r>
            <w:r>
              <w:rPr>
                <w:rFonts w:hint="default" w:ascii="Times New Roman" w:hAnsi="Times New Roman" w:cs="Times New Roman"/>
                <w:color w:val="000000" w:themeColor="text1"/>
                <w:sz w:val="24"/>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4"/>
                <w:lang w:val="en-US" w:eastAsia="zh-CN"/>
                <w14:textFill>
                  <w14:solidFill>
                    <w14:schemeClr w14:val="tx1"/>
                  </w14:solidFill>
                </w14:textFill>
              </w:rPr>
              <w:t>和门业扭簧法兰主要采用铝合金锭铸造成型，项目与《产业结构调整指导目录（2024年本）》国家发展改革委第7号令中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铸造相关工艺及设备要求相关的条款符合性分析见下表：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表1-2 </w:t>
            </w:r>
            <w:r>
              <w:rPr>
                <w:rFonts w:hint="default" w:ascii="Times New Roman" w:hAnsi="Times New Roman" w:eastAsia="宋体" w:cs="Times New Roman"/>
                <w:b/>
                <w:color w:val="000000" w:themeColor="text1"/>
                <w:kern w:val="0"/>
                <w:sz w:val="24"/>
                <w:szCs w:val="24"/>
                <w:lang w:val="en-US" w:eastAsia="zh-CN" w:bidi="ar-SA"/>
                <w14:textFill>
                  <w14:solidFill>
                    <w14:schemeClr w14:val="tx1"/>
                  </w14:solidFill>
                </w14:textFill>
              </w:rPr>
              <w:t>与《产业结构调整指导目录（2024年本）》符合性分析</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735"/>
              <w:gridCol w:w="3464"/>
              <w:gridCol w:w="1661"/>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7"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w:t>
                  </w:r>
                </w:p>
              </w:tc>
              <w:tc>
                <w:tcPr>
                  <w:tcW w:w="232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铸造</w:t>
                  </w:r>
                  <w:r>
                    <w:rPr>
                      <w:rFonts w:hint="default" w:ascii="Times New Roman" w:hAnsi="Times New Roman" w:cs="Times New Roman"/>
                      <w:b/>
                      <w:bCs/>
                      <w:color w:val="000000" w:themeColor="text1"/>
                      <w:szCs w:val="21"/>
                      <w:lang w:val="en-US" w:eastAsia="zh-CN"/>
                      <w14:textFill>
                        <w14:solidFill>
                          <w14:schemeClr w14:val="tx1"/>
                        </w14:solidFill>
                      </w14:textFill>
                    </w:rPr>
                    <w:t>相关条款</w:t>
                  </w:r>
                </w:p>
              </w:tc>
              <w:tc>
                <w:tcPr>
                  <w:tcW w:w="111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77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是否</w:t>
                  </w:r>
                  <w:r>
                    <w:rPr>
                      <w:rFonts w:hint="default" w:ascii="Times New Roman" w:hAnsi="Times New Roman" w:cs="Times New Roman"/>
                      <w:b/>
                      <w:bCs/>
                      <w:color w:val="000000" w:themeColor="text1"/>
                      <w:szCs w:val="21"/>
                      <w:lang w:val="en-US" w:eastAsia="zh-CN"/>
                      <w14:textFill>
                        <w14:solidFill>
                          <w14:schemeClr w14:val="tx1"/>
                        </w14:solidFill>
                      </w14:textFill>
                    </w:rPr>
                    <w:t>属于该条款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鼓励类</w:t>
                  </w:r>
                </w:p>
              </w:tc>
              <w:tc>
                <w:tcPr>
                  <w:tcW w:w="49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十四、机械</w:t>
                  </w:r>
                </w:p>
              </w:tc>
              <w:tc>
                <w:tcPr>
                  <w:tcW w:w="232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铸造装备：高紧实度粘土砂铸造成套装备，高效自硬砂铸造成套设备，消失模/V法/实型铸造工艺及装备，壳型铸造、精密组芯造型、硅溶胶熔模精密铸造工艺及装备，砂型3D打印/切削快速成型工艺与装备，轻合金高压/低压/挤压/差压/半固态等铸造工艺与装备，自动化智能制芯设备，外热风水冷长炉龄大吨位(10吨/小时以上)冲天炉，高温合金真空熔炼定向凝固设备，钛合金真空感应熔化设备，金属液自动化转运及定量浇注设备，金属液(铸铁铸铝)短流程铸造工艺与设备，铸件高效自动化清理成套设备，铸造专用机器人；铸造用树脂砂、粘土砂等再生循环利用技术及设备环保树脂、无机粘结剂造型和制芯技术及设备</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本项目为铝合金压铸生产，铸造工艺为</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轻合金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高压铸造工艺。</w:t>
                  </w:r>
                </w:p>
              </w:tc>
              <w:tc>
                <w:tcPr>
                  <w:tcW w:w="773"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属于鼓励类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限制类</w:t>
                  </w:r>
                </w:p>
              </w:tc>
              <w:tc>
                <w:tcPr>
                  <w:tcW w:w="49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十一、机械</w:t>
                  </w:r>
                </w:p>
              </w:tc>
              <w:tc>
                <w:tcPr>
                  <w:tcW w:w="2324" w:type="pct"/>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34、无旧砂再生的水玻璃砂造型制芯工艺</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w:t>
                  </w:r>
                </w:p>
              </w:tc>
              <w:tc>
                <w:tcPr>
                  <w:tcW w:w="773" w:type="pct"/>
                  <w:vMerge w:val="restar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不属于限制类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324" w:type="pct"/>
                  <w:noWrap w:val="0"/>
                  <w:vAlign w:val="center"/>
                </w:tcPr>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38、铸/锻造用燃油加热炉</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项目使用燃气炉</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324" w:type="pct"/>
                  <w:noWrap w:val="0"/>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46、不采用自动化造型设备的粘土砂型铸造项目、水玻璃熔模精密铸造项目、规模小于20万吨/年的离心球墨铸铁管项目、规模小于3万吨/年的离心灰铸铁管项目</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94"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淘汰类</w:t>
                  </w:r>
                </w:p>
              </w:tc>
              <w:tc>
                <w:tcPr>
                  <w:tcW w:w="49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十</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机械</w:t>
                  </w:r>
                </w:p>
              </w:tc>
              <w:tc>
                <w:tcPr>
                  <w:tcW w:w="232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12、焦炭炉熔化有色金属</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项目使用燃气炉熔化铝合金锭</w:t>
                  </w:r>
                </w:p>
              </w:tc>
              <w:tc>
                <w:tcPr>
                  <w:tcW w:w="773" w:type="pct"/>
                  <w:vMerge w:val="restar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不属于淘汰类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32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16、燃煤火焰反射加热炉</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项目使用燃气炉</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324"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 xml:space="preserve">17、仅用于去除金属零部件表面氧化皮的酸洗工艺、酸洗项目 </w:t>
                  </w:r>
                </w:p>
                <w:p>
                  <w:pPr>
                    <w:keepNext w:val="0"/>
                    <w:keepLines w:val="0"/>
                    <w:widowControl/>
                    <w:suppressLineNumbers w:val="0"/>
                    <w:jc w:val="left"/>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（为产品制造配套项目除外）</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项目不涉及酸洗工艺</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32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23、无磁轭（≥0.25吨）铝壳中频感应电炉</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项目使用燃气炉</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32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24、无芯工频感应电炉</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项目使用燃气炉</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49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32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left"/>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26、5吨/小时及以下冲天炉</w:t>
                  </w:r>
                </w:p>
              </w:tc>
              <w:tc>
                <w:tcPr>
                  <w:tcW w:w="1114" w:type="pct"/>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项目不使用冲天炉</w:t>
                  </w:r>
                </w:p>
              </w:tc>
              <w:tc>
                <w:tcPr>
                  <w:tcW w:w="773" w:type="pct"/>
                  <w:vMerge w:val="continue"/>
                  <w:noWrap w:val="0"/>
                  <w:vAlign w:val="center"/>
                </w:tcPr>
                <w:p>
                  <w:pPr>
                    <w:pStyle w:val="95"/>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bl>
          <w:p>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综上，</w:t>
            </w:r>
            <w:r>
              <w:rPr>
                <w:rFonts w:hint="default" w:ascii="Times New Roman" w:hAnsi="Times New Roman" w:cs="Times New Roman"/>
                <w:color w:val="000000" w:themeColor="text1"/>
                <w:sz w:val="24"/>
                <w:highlight w:val="none"/>
                <w14:textFill>
                  <w14:solidFill>
                    <w14:schemeClr w14:val="tx1"/>
                  </w14:solidFill>
                </w14:textFill>
              </w:rPr>
              <w:t>本项目不属于</w:t>
            </w:r>
            <w:r>
              <w:rPr>
                <w:rFonts w:hint="default" w:ascii="Times New Roman" w:hAnsi="Times New Roman" w:eastAsia="宋体" w:cs="Times New Roman"/>
                <w:color w:val="000000" w:themeColor="text1"/>
                <w:sz w:val="24"/>
                <w:lang w:val="en-US" w:eastAsia="zh-CN"/>
                <w14:textFill>
                  <w14:solidFill>
                    <w14:schemeClr w14:val="tx1"/>
                  </w14:solidFill>
                </w14:textFill>
              </w:rPr>
              <w:t>《产业结构调整指导目录（2024年本）》国家发展改革委第7号令</w:t>
            </w:r>
            <w:r>
              <w:rPr>
                <w:rFonts w:hint="default" w:ascii="Times New Roman" w:hAnsi="Times New Roman" w:cs="Times New Roman"/>
                <w:color w:val="000000" w:themeColor="text1"/>
                <w:sz w:val="24"/>
                <w:highlight w:val="none"/>
                <w:lang w:val="en-US" w:eastAsia="zh-CN"/>
                <w14:textFill>
                  <w14:solidFill>
                    <w14:schemeClr w14:val="tx1"/>
                  </w14:solidFill>
                </w14:textFill>
              </w:rPr>
              <w:t>中的</w:t>
            </w:r>
            <w:r>
              <w:rPr>
                <w:rFonts w:hint="default" w:ascii="Times New Roman" w:hAnsi="Times New Roman" w:cs="Times New Roman"/>
                <w:color w:val="000000" w:themeColor="text1"/>
                <w:sz w:val="24"/>
                <w:highlight w:val="none"/>
                <w14:textFill>
                  <w14:solidFill>
                    <w14:schemeClr w14:val="tx1"/>
                  </w14:solidFill>
                </w14:textFill>
              </w:rPr>
              <w:t>限制类和淘汰类</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项目已经获得</w:t>
            </w:r>
            <w:r>
              <w:rPr>
                <w:rFonts w:hint="default" w:ascii="Times New Roman" w:hAnsi="Times New Roman" w:cs="Times New Roman"/>
                <w:color w:val="000000" w:themeColor="text1"/>
                <w:sz w:val="24"/>
                <w:highlight w:val="none"/>
                <w:lang w:eastAsia="zh-CN"/>
                <w14:textFill>
                  <w14:solidFill>
                    <w14:schemeClr w14:val="tx1"/>
                  </w14:solidFill>
                </w14:textFill>
              </w:rPr>
              <w:t>舒城经开区经贸科技发展局</w:t>
            </w:r>
            <w:r>
              <w:rPr>
                <w:rFonts w:hint="default" w:ascii="Times New Roman" w:hAnsi="Times New Roman" w:cs="Times New Roman"/>
                <w:color w:val="000000" w:themeColor="text1"/>
                <w:sz w:val="24"/>
                <w:highlight w:val="none"/>
                <w14:textFill>
                  <w14:solidFill>
                    <w14:schemeClr w14:val="tx1"/>
                  </w14:solidFill>
                </w14:textFill>
              </w:rPr>
              <w:t>的备案许可，项目编码为</w:t>
            </w:r>
            <w:r>
              <w:rPr>
                <w:rFonts w:hint="default" w:ascii="Times New Roman" w:hAnsi="Times New Roman" w:cs="Times New Roman"/>
                <w:color w:val="000000" w:themeColor="text1"/>
                <w:sz w:val="24"/>
                <w:highlight w:val="none"/>
                <w:lang w:val="en-US" w:eastAsia="zh-CN"/>
                <w14:textFill>
                  <w14:solidFill>
                    <w14:schemeClr w14:val="tx1"/>
                  </w14:solidFill>
                </w14:textFill>
              </w:rPr>
              <w:t>2312-341598-04-01-855840</w:t>
            </w:r>
            <w:r>
              <w:rPr>
                <w:rFonts w:hint="default" w:ascii="Times New Roman" w:hAnsi="Times New Roman" w:cs="Times New Roman"/>
                <w:color w:val="000000" w:themeColor="text1"/>
                <w:sz w:val="24"/>
                <w:highlight w:val="none"/>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因此，本项目的建设符合国家和地方产业政策要求。</w:t>
            </w:r>
          </w:p>
          <w:p>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2、项目选址合理性分析</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（1）选址可行性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项目选址于</w:t>
            </w:r>
            <w:r>
              <w:rPr>
                <w:rFonts w:hint="default" w:ascii="Times New Roman" w:hAnsi="Times New Roman" w:cs="Times New Roman"/>
                <w:color w:val="000000" w:themeColor="text1"/>
                <w:kern w:val="0"/>
                <w:sz w:val="24"/>
                <w:lang w:eastAsia="zh-CN"/>
                <w14:textFill>
                  <w14:solidFill>
                    <w14:schemeClr w14:val="tx1"/>
                  </w14:solidFill>
                </w14:textFill>
              </w:rPr>
              <w:t>安徽省六安市舒城县龙津大道光世集团院内</w:t>
            </w:r>
            <w:r>
              <w:rPr>
                <w:rFonts w:hint="default" w:ascii="Times New Roman" w:hAnsi="Times New Roman" w:cs="Times New Roman"/>
                <w:color w:val="000000" w:themeColor="text1"/>
                <w:sz w:val="24"/>
                <w14:textFill>
                  <w14:solidFill>
                    <w14:schemeClr w14:val="tx1"/>
                  </w14:solidFill>
                </w14:textFill>
              </w:rPr>
              <w:t>，项目所在地属于舒城经济开发区</w:t>
            </w:r>
            <w:r>
              <w:rPr>
                <w:rFonts w:hint="default" w:ascii="Times New Roman" w:hAnsi="Times New Roman" w:cs="Times New Roman"/>
                <w:color w:val="000000" w:themeColor="text1"/>
                <w:sz w:val="24"/>
                <w:lang w:eastAsia="zh-CN"/>
                <w14:textFill>
                  <w14:solidFill>
                    <w14:schemeClr w14:val="tx1"/>
                  </w14:solidFill>
                </w14:textFill>
              </w:rPr>
              <w:t>城关园区</w:t>
            </w:r>
            <w:r>
              <w:rPr>
                <w:rFonts w:hint="default" w:ascii="Times New Roman" w:hAnsi="Times New Roman" w:cs="Times New Roman"/>
                <w:color w:val="000000" w:themeColor="text1"/>
                <w:sz w:val="24"/>
                <w14:textFill>
                  <w14:solidFill>
                    <w14:schemeClr w14:val="tx1"/>
                  </w14:solidFill>
                </w14:textFill>
              </w:rPr>
              <w:t>，根据建设单位提供的</w:t>
            </w:r>
            <w:r>
              <w:rPr>
                <w:rFonts w:hint="default" w:ascii="Times New Roman" w:hAnsi="Times New Roman" w:cs="Times New Roman"/>
                <w:color w:val="000000" w:themeColor="text1"/>
                <w:kern w:val="0"/>
                <w:sz w:val="24"/>
                <w:lang w:val="en-US" w:eastAsia="zh-CN"/>
                <w14:textFill>
                  <w14:solidFill>
                    <w14:schemeClr w14:val="tx1"/>
                  </w14:solidFill>
                </w14:textFill>
              </w:rPr>
              <w:t>土地房产</w:t>
            </w:r>
            <w:r>
              <w:rPr>
                <w:rFonts w:hint="default" w:ascii="Times New Roman" w:hAnsi="Times New Roman" w:cs="Times New Roman"/>
                <w:color w:val="000000" w:themeColor="text1"/>
                <w:kern w:val="0"/>
                <w:sz w:val="24"/>
                <w14:textFill>
                  <w14:solidFill>
                    <w14:schemeClr w14:val="tx1"/>
                  </w14:solidFill>
                </w14:textFill>
              </w:rPr>
              <w:t>证（</w:t>
            </w:r>
            <w:r>
              <w:rPr>
                <w:rFonts w:hint="default" w:ascii="Times New Roman" w:hAnsi="Times New Roman" w:cs="Times New Roman"/>
                <w:color w:val="000000" w:themeColor="text1"/>
                <w:kern w:val="0"/>
                <w:sz w:val="24"/>
                <w:lang w:eastAsia="zh-CN"/>
                <w14:textFill>
                  <w14:solidFill>
                    <w14:schemeClr w14:val="tx1"/>
                  </w14:solidFill>
                </w14:textFill>
              </w:rPr>
              <w:t>皖</w:t>
            </w:r>
            <w:r>
              <w:rPr>
                <w:rFonts w:hint="default" w:ascii="Times New Roman" w:hAnsi="Times New Roman" w:eastAsia="宋体" w:cs="Times New Roman"/>
                <w:color w:val="000000" w:themeColor="text1"/>
                <w:sz w:val="24"/>
                <w:lang w:eastAsia="zh-CN"/>
                <w14:textFill>
                  <w14:solidFill>
                    <w14:schemeClr w14:val="tx1"/>
                  </w14:solidFill>
                </w14:textFill>
              </w:rPr>
              <w:t>舒</w:t>
            </w:r>
            <w:r>
              <w:rPr>
                <w:rFonts w:hint="default" w:ascii="Times New Roman" w:hAnsi="Times New Roman" w:cs="Times New Roman"/>
                <w:color w:val="000000" w:themeColor="text1"/>
                <w:sz w:val="24"/>
                <w:lang w:val="en-US" w:eastAsia="zh-CN"/>
                <w14:textFill>
                  <w14:solidFill>
                    <w14:schemeClr w14:val="tx1"/>
                  </w14:solidFill>
                </w14:textFill>
              </w:rPr>
              <w:t>字</w:t>
            </w:r>
            <w:r>
              <w:rPr>
                <w:rFonts w:hint="default" w:ascii="Times New Roman" w:hAnsi="Times New Roman" w:eastAsia="宋体" w:cs="Times New Roman"/>
                <w:color w:val="000000" w:themeColor="text1"/>
                <w:sz w:val="24"/>
                <w:lang w:eastAsia="zh-CN"/>
                <w14:textFill>
                  <w14:solidFill>
                    <w14:schemeClr w14:val="tx1"/>
                  </w14:solidFill>
                </w14:textFill>
              </w:rPr>
              <w:t>第</w:t>
            </w:r>
            <w:r>
              <w:rPr>
                <w:rFonts w:hint="default" w:ascii="Times New Roman" w:hAnsi="Times New Roman" w:cs="Times New Roman"/>
                <w:color w:val="000000" w:themeColor="text1"/>
                <w:sz w:val="24"/>
                <w:lang w:val="en-US" w:eastAsia="zh-CN"/>
                <w14:textFill>
                  <w14:solidFill>
                    <w14:schemeClr w14:val="tx1"/>
                  </w14:solidFill>
                </w14:textFill>
              </w:rPr>
              <w:t>00061096</w:t>
            </w:r>
            <w:r>
              <w:rPr>
                <w:rFonts w:hint="default" w:ascii="Times New Roman" w:hAnsi="Times New Roman" w:eastAsia="宋体" w:cs="Times New Roman"/>
                <w:color w:val="000000" w:themeColor="text1"/>
                <w:sz w:val="24"/>
                <w:lang w:eastAsia="zh-CN"/>
                <w14:textFill>
                  <w14:solidFill>
                    <w14:schemeClr w14:val="tx1"/>
                  </w14:solidFill>
                </w14:textFill>
              </w:rPr>
              <w:t>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，项目选址所在</w:t>
            </w:r>
            <w:r>
              <w:rPr>
                <w:rFonts w:hint="default" w:ascii="Times New Roman" w:hAnsi="Times New Roman" w:cs="Times New Roman"/>
                <w:color w:val="000000" w:themeColor="text1"/>
                <w:kern w:val="0"/>
                <w:sz w:val="24"/>
                <w:lang w:val="en-US" w:eastAsia="zh-CN"/>
                <w14:textFill>
                  <w14:solidFill>
                    <w14:schemeClr w14:val="tx1"/>
                  </w14:solidFill>
                </w14:textFill>
              </w:rPr>
              <w:t>地</w:t>
            </w:r>
            <w:r>
              <w:rPr>
                <w:rFonts w:hint="default" w:ascii="Times New Roman" w:hAnsi="Times New Roman" w:cs="Times New Roman"/>
                <w:color w:val="000000" w:themeColor="text1"/>
                <w:kern w:val="0"/>
                <w:sz w:val="24"/>
                <w14:textFill>
                  <w14:solidFill>
                    <w14:schemeClr w14:val="tx1"/>
                  </w14:solidFill>
                </w14:textFill>
              </w:rPr>
              <w:t>用地性质为工业用地，故</w:t>
            </w:r>
            <w:r>
              <w:rPr>
                <w:rFonts w:hint="default" w:ascii="Times New Roman" w:hAnsi="Times New Roman" w:cs="Times New Roman"/>
                <w:color w:val="000000" w:themeColor="text1"/>
                <w:sz w:val="24"/>
                <w14:textFill>
                  <w14:solidFill>
                    <w14:schemeClr w14:val="tx1"/>
                  </w14:solidFill>
                </w14:textFill>
              </w:rPr>
              <w:t>本项目用地性质符合区域规划要求。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（2）周边环境相容性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项目选址于</w:t>
            </w:r>
            <w:r>
              <w:rPr>
                <w:rFonts w:hint="default" w:ascii="Times New Roman" w:hAnsi="Times New Roman" w:cs="Times New Roman"/>
                <w:color w:val="000000" w:themeColor="text1"/>
                <w:kern w:val="0"/>
                <w:sz w:val="24"/>
                <w:lang w:eastAsia="zh-CN"/>
                <w14:textFill>
                  <w14:solidFill>
                    <w14:schemeClr w14:val="tx1"/>
                  </w14:solidFill>
                </w14:textFill>
              </w:rPr>
              <w:t>安徽省六安市舒城县龙津大道光世集团院内</w:t>
            </w:r>
            <w:r>
              <w:rPr>
                <w:rFonts w:hint="default" w:ascii="Times New Roman" w:hAnsi="Times New Roman" w:cs="Times New Roman"/>
                <w:color w:val="000000" w:themeColor="text1"/>
                <w:sz w:val="24"/>
                <w14:textFill>
                  <w14:solidFill>
                    <w14:schemeClr w14:val="tx1"/>
                  </w14:solidFill>
                </w14:textFill>
              </w:rPr>
              <w:t>，根据现场勘查可知，项目</w:t>
            </w:r>
            <w:r>
              <w:rPr>
                <w:rFonts w:hint="default" w:ascii="Times New Roman" w:hAnsi="Times New Roman" w:cs="Times New Roman"/>
                <w:color w:val="000000" w:themeColor="text1"/>
                <w:sz w:val="24"/>
                <w:lang w:eastAsia="zh-CN"/>
                <w14:textFill>
                  <w14:solidFill>
                    <w14:schemeClr w14:val="tx1"/>
                  </w14:solidFill>
                </w14:textFill>
              </w:rPr>
              <w:t>北</w:t>
            </w:r>
            <w:r>
              <w:rPr>
                <w:rFonts w:hint="default" w:ascii="Times New Roman" w:hAnsi="Times New Roman" w:cs="Times New Roman"/>
                <w:color w:val="000000" w:themeColor="text1"/>
                <w:sz w:val="24"/>
                <w14:textFill>
                  <w14:solidFill>
                    <w14:schemeClr w14:val="tx1"/>
                  </w14:solidFill>
                </w14:textFill>
              </w:rPr>
              <w:t>面为</w:t>
            </w:r>
            <w:r>
              <w:rPr>
                <w:rFonts w:hint="default" w:ascii="Times New Roman" w:hAnsi="Times New Roman" w:cs="Times New Roman"/>
                <w:color w:val="000000" w:themeColor="text1"/>
                <w:sz w:val="24"/>
                <w:lang w:val="en-US" w:eastAsia="zh-CN"/>
                <w14:textFill>
                  <w14:solidFill>
                    <w14:schemeClr w14:val="tx1"/>
                  </w14:solidFill>
                </w14:textFill>
              </w:rPr>
              <w:t>安徽舒凯砂浆有限公司，</w:t>
            </w:r>
            <w:r>
              <w:rPr>
                <w:rFonts w:hint="default" w:ascii="Times New Roman" w:hAnsi="Times New Roman" w:cs="Times New Roman"/>
                <w:color w:val="000000" w:themeColor="text1"/>
                <w:sz w:val="24"/>
                <w:lang w:eastAsia="zh-CN"/>
                <w14:textFill>
                  <w14:solidFill>
                    <w14:schemeClr w14:val="tx1"/>
                  </w14:solidFill>
                </w14:textFill>
              </w:rPr>
              <w:t>六安市舒城县龙津大道光世集团院内，</w:t>
            </w:r>
            <w:r>
              <w:rPr>
                <w:rFonts w:hint="default" w:ascii="Times New Roman" w:hAnsi="Times New Roman" w:cs="Times New Roman"/>
                <w:color w:val="000000" w:themeColor="text1"/>
                <w:sz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lang w:val="en-US" w:eastAsia="zh-CN"/>
                <w14:textFill>
                  <w14:solidFill>
                    <w14:schemeClr w14:val="tx1"/>
                  </w14:solidFill>
                </w14:textFill>
              </w:rPr>
              <w:t>面为</w:t>
            </w:r>
            <w:r>
              <w:rPr>
                <w:rFonts w:hint="default" w:ascii="Times New Roman" w:hAnsi="Times New Roman" w:cs="Times New Roman"/>
                <w:color w:val="000000" w:themeColor="text1"/>
                <w:sz w:val="24"/>
                <w:lang w:val="en-US" w:eastAsia="zh-CN"/>
                <w14:textFill>
                  <w14:solidFill>
                    <w14:schemeClr w14:val="tx1"/>
                  </w14:solidFill>
                </w14:textFill>
              </w:rPr>
              <w:t>安徽舒柏阳门窗制造有限公司</w:t>
            </w:r>
            <w:r>
              <w:rPr>
                <w:rFonts w:hint="default" w:ascii="Times New Roman" w:hAnsi="Times New Roman" w:eastAsia="宋体" w:cs="Times New Roman"/>
                <w:color w:val="000000" w:themeColor="text1"/>
                <w:sz w:val="24"/>
                <w:lang w:val="en-US" w:eastAsia="zh-CN"/>
                <w14:textFill>
                  <w14:solidFill>
                    <w14:schemeClr w14:val="tx1"/>
                  </w14:solidFill>
                </w14:textFill>
              </w:rPr>
              <w:t>，西面为空地，东面为光</w:t>
            </w:r>
            <w:r>
              <w:rPr>
                <w:rFonts w:hint="default" w:ascii="Times New Roman" w:hAnsi="Times New Roman" w:cs="Times New Roman"/>
                <w:color w:val="000000" w:themeColor="text1"/>
                <w:sz w:val="24"/>
                <w:lang w:eastAsia="zh-CN"/>
                <w14:textFill>
                  <w14:solidFill>
                    <w14:schemeClr w14:val="tx1"/>
                  </w14:solidFill>
                </w14:textFill>
              </w:rPr>
              <w:t>世集团办公楼，</w:t>
            </w:r>
            <w:r>
              <w:rPr>
                <w:rFonts w:hint="default" w:ascii="Times New Roman" w:hAnsi="Times New Roman" w:cs="Times New Roman"/>
                <w:color w:val="000000" w:themeColor="text1"/>
                <w:sz w:val="24"/>
                <w:highlight w:val="none"/>
                <w:lang w:val="en-US" w:eastAsia="zh-CN"/>
                <w14:textFill>
                  <w14:solidFill>
                    <w14:schemeClr w14:val="tx1"/>
                  </w14:solidFill>
                </w14:textFill>
              </w:rPr>
              <w:t>再以东</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隔龙津大</w:t>
            </w:r>
            <w:r>
              <w:rPr>
                <w:rFonts w:hint="default" w:ascii="Times New Roman" w:hAnsi="Times New Roman" w:eastAsia="宋体" w:cs="Times New Roman"/>
                <w:color w:val="000000" w:themeColor="text1"/>
                <w:sz w:val="24"/>
                <w:lang w:val="en-US" w:eastAsia="zh-CN"/>
                <w14:textFill>
                  <w14:solidFill>
                    <w14:schemeClr w14:val="tx1"/>
                  </w14:solidFill>
                </w14:textFill>
              </w:rPr>
              <w:t>道以东有三沟小学（距离本项目厂界121m）。</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建设项目大气污染物浓度未超过环境质量浓度限值，不需设置大气环境防护距离。本项目各废气污染物均采取有效措施，可以实现达标排放，本项目不需要设置大气防护距离</w:t>
            </w:r>
            <w:r>
              <w:rPr>
                <w:rFonts w:hint="default" w:ascii="Times New Roman" w:hAnsi="Times New Roman" w:cs="Times New Roman"/>
                <w:color w:val="000000" w:themeColor="text1"/>
                <w:sz w:val="24"/>
                <w:szCs w:val="24"/>
                <w:lang w:val="zh-CN" w:eastAsia="zh-CN"/>
                <w14:textFill>
                  <w14:solidFill>
                    <w14:schemeClr w14:val="tx1"/>
                  </w14:solidFill>
                </w14:textFill>
              </w:rPr>
              <w:t>；同时，根据调查，距离项目最近</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东南</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侧</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121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m有一敏感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保护目标</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三沟小学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，项目所在区域主导风向为东南风，</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三沟小学</w:t>
            </w:r>
            <w:r>
              <w:rPr>
                <w:rFonts w:hint="default" w:ascii="Times New Roman" w:hAnsi="Times New Roman" w:cs="Times New Roman"/>
                <w:color w:val="000000" w:themeColor="text1"/>
                <w:sz w:val="24"/>
                <w:szCs w:val="24"/>
                <w:lang w:val="en-US" w:eastAsia="zh-CN"/>
                <w14:textFill>
                  <w14:solidFill>
                    <w14:schemeClr w14:val="tx1"/>
                  </w14:solidFill>
                </w14:textFill>
              </w:rPr>
              <w:t>位于项目东侧，本项目在</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三沟小学</w:t>
            </w:r>
            <w:r>
              <w:rPr>
                <w:rFonts w:hint="default" w:ascii="Times New Roman" w:hAnsi="Times New Roman" w:cs="Times New Roman"/>
                <w:color w:val="000000" w:themeColor="text1"/>
                <w:sz w:val="24"/>
                <w:szCs w:val="24"/>
                <w:lang w:val="en-US" w:eastAsia="zh-CN"/>
                <w14:textFill>
                  <w14:solidFill>
                    <w14:schemeClr w14:val="tx1"/>
                  </w14:solidFill>
                </w14:textFill>
              </w:rPr>
              <w:t>主导风向侧风向。项目在落实环评提出的各项污染治理措施后，污染物实现达标排放。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项目周边无自然保护区、风景名胜区、文物古迹等需要特殊保护的环境敏感对象，外环境关系相对较为单纯，本项目主要</w:t>
            </w:r>
            <w:r>
              <w:rPr>
                <w:rFonts w:hint="default" w:ascii="Times New Roman" w:hAnsi="Times New Roman" w:cs="Times New Roman"/>
                <w:color w:val="000000" w:themeColor="text1"/>
                <w:sz w:val="24"/>
                <w:highlight w:val="none"/>
                <w14:textFill>
                  <w14:solidFill>
                    <w14:schemeClr w14:val="tx1"/>
                  </w14:solidFill>
                </w14:textFill>
              </w:rPr>
              <w:t>从事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合力叉车脚踏板、洗衣机滚筒连接法兰盘</w:t>
            </w:r>
            <w:r>
              <w:rPr>
                <w:rFonts w:hint="default" w:ascii="Times New Roman" w:hAnsi="Times New Roman" w:cs="Times New Roman"/>
                <w:color w:val="000000" w:themeColor="text1"/>
                <w:sz w:val="24"/>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和门业扭簧法兰生产</w:t>
            </w:r>
            <w:r>
              <w:rPr>
                <w:rFonts w:hint="default" w:ascii="Times New Roman" w:hAnsi="Times New Roman" w:cs="Times New Roman"/>
                <w:color w:val="000000" w:themeColor="text1"/>
                <w:sz w:val="24"/>
                <w:highlight w:val="none"/>
                <w14:textFill>
                  <w14:solidFill>
                    <w14:schemeClr w14:val="tx1"/>
                  </w14:solidFill>
                </w14:textFill>
              </w:rPr>
              <w:t>，本项目非周边企业的防护目标。综上所述，本项目与周边环境是相容的。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kern w:val="1"/>
                <w:sz w:val="24"/>
                <w14:textFill>
                  <w14:solidFill>
                    <w14:schemeClr w14:val="tx1"/>
                  </w14:solidFill>
                </w14:textFill>
              </w:rPr>
            </w:pPr>
            <w:r>
              <w:rPr>
                <w:rFonts w:hint="default" w:ascii="Times New Roman" w:hAnsi="Times New Roman" w:cs="Times New Roman"/>
                <w:b/>
                <w:bCs/>
                <w:color w:val="000000" w:themeColor="text1"/>
                <w:kern w:val="1"/>
                <w:sz w:val="24"/>
                <w14:textFill>
                  <w14:solidFill>
                    <w14:schemeClr w14:val="tx1"/>
                  </w14:solidFill>
                </w14:textFill>
              </w:rPr>
              <w:t>3、“三</w:t>
            </w:r>
            <w:r>
              <w:rPr>
                <w:rFonts w:hint="default" w:ascii="Times New Roman" w:hAnsi="Times New Roman" w:cs="Times New Roman"/>
                <w:b/>
                <w:bCs/>
                <w:color w:val="000000" w:themeColor="text1"/>
                <w:kern w:val="1"/>
                <w:sz w:val="24"/>
                <w:lang w:val="en-US" w:eastAsia="zh-CN"/>
                <w14:textFill>
                  <w14:solidFill>
                    <w14:schemeClr w14:val="tx1"/>
                  </w14:solidFill>
                </w14:textFill>
              </w:rPr>
              <w:t>区三线</w:t>
            </w:r>
            <w:r>
              <w:rPr>
                <w:rFonts w:hint="default" w:ascii="Times New Roman" w:hAnsi="Times New Roman" w:cs="Times New Roman"/>
                <w:b/>
                <w:bCs/>
                <w:color w:val="000000" w:themeColor="text1"/>
                <w:kern w:val="1"/>
                <w:sz w:val="24"/>
                <w14:textFill>
                  <w14:solidFill>
                    <w14:schemeClr w14:val="tx1"/>
                  </w14:solidFill>
                </w14:textFill>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中共中央国务院关于建立国土空间规划体系并监督实施的若干意见》（中发〔2019〕18号）、自然资源部关于在全国开展“三区三线”划定工作的函（自然资函〔2022〕47号），“三区”是指城镇空间、农业空间和生态空间，“三线”是指生态保护红线、永久基本农田保护红线和城镇开发边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安徽省六安市舒城县龙津大道光世集团院内</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项目所在地属于舒城经济开发区</w:t>
            </w:r>
            <w:r>
              <w:rPr>
                <w:rFonts w:hint="default" w:ascii="Times New Roman" w:hAnsi="Times New Roman" w:cs="Times New Roman"/>
                <w:color w:val="000000" w:themeColor="text1"/>
                <w:sz w:val="24"/>
                <w:lang w:eastAsia="zh-CN"/>
                <w14:textFill>
                  <w14:solidFill>
                    <w14:schemeClr w14:val="tx1"/>
                  </w14:solidFill>
                </w14:textFill>
              </w:rPr>
              <w:t>城关园区</w:t>
            </w:r>
            <w:r>
              <w:rPr>
                <w:rFonts w:hint="default" w:ascii="Times New Roman" w:hAnsi="Times New Roman" w:cs="Times New Roman"/>
                <w:color w:val="000000" w:themeColor="text1"/>
                <w:sz w:val="24"/>
                <w14:textFill>
                  <w14:solidFill>
                    <w14:schemeClr w14:val="tx1"/>
                  </w14:solidFill>
                </w14:textFill>
              </w:rPr>
              <w:t>，根据建设单位提供的</w:t>
            </w:r>
            <w:r>
              <w:rPr>
                <w:rFonts w:hint="default" w:ascii="Times New Roman" w:hAnsi="Times New Roman" w:cs="Times New Roman"/>
                <w:color w:val="000000" w:themeColor="text1"/>
                <w:kern w:val="0"/>
                <w:sz w:val="24"/>
                <w:lang w:val="en-US" w:eastAsia="zh-CN"/>
                <w14:textFill>
                  <w14:solidFill>
                    <w14:schemeClr w14:val="tx1"/>
                  </w14:solidFill>
                </w14:textFill>
              </w:rPr>
              <w:t>土地房产</w:t>
            </w:r>
            <w:r>
              <w:rPr>
                <w:rFonts w:hint="default" w:ascii="Times New Roman" w:hAnsi="Times New Roman" w:cs="Times New Roman"/>
                <w:color w:val="000000" w:themeColor="text1"/>
                <w:kern w:val="0"/>
                <w:sz w:val="24"/>
                <w14:textFill>
                  <w14:solidFill>
                    <w14:schemeClr w14:val="tx1"/>
                  </w14:solidFill>
                </w14:textFill>
              </w:rPr>
              <w:t>证（</w:t>
            </w:r>
            <w:r>
              <w:rPr>
                <w:rFonts w:hint="default" w:ascii="Times New Roman" w:hAnsi="Times New Roman" w:cs="Times New Roman"/>
                <w:color w:val="000000" w:themeColor="text1"/>
                <w:kern w:val="0"/>
                <w:sz w:val="24"/>
                <w:lang w:eastAsia="zh-CN"/>
                <w14:textFill>
                  <w14:solidFill>
                    <w14:schemeClr w14:val="tx1"/>
                  </w14:solidFill>
                </w14:textFill>
              </w:rPr>
              <w:t>皖</w:t>
            </w:r>
            <w:r>
              <w:rPr>
                <w:rFonts w:hint="default" w:ascii="Times New Roman" w:hAnsi="Times New Roman" w:eastAsia="宋体" w:cs="Times New Roman"/>
                <w:color w:val="000000" w:themeColor="text1"/>
                <w:sz w:val="24"/>
                <w:lang w:eastAsia="zh-CN"/>
                <w14:textFill>
                  <w14:solidFill>
                    <w14:schemeClr w14:val="tx1"/>
                  </w14:solidFill>
                </w14:textFill>
              </w:rPr>
              <w:t>舒</w:t>
            </w:r>
            <w:r>
              <w:rPr>
                <w:rFonts w:hint="default" w:ascii="Times New Roman" w:hAnsi="Times New Roman" w:cs="Times New Roman"/>
                <w:color w:val="000000" w:themeColor="text1"/>
                <w:sz w:val="24"/>
                <w:lang w:val="en-US" w:eastAsia="zh-CN"/>
                <w14:textFill>
                  <w14:solidFill>
                    <w14:schemeClr w14:val="tx1"/>
                  </w14:solidFill>
                </w14:textFill>
              </w:rPr>
              <w:t>字</w:t>
            </w:r>
            <w:r>
              <w:rPr>
                <w:rFonts w:hint="default" w:ascii="Times New Roman" w:hAnsi="Times New Roman" w:eastAsia="宋体" w:cs="Times New Roman"/>
                <w:color w:val="000000" w:themeColor="text1"/>
                <w:sz w:val="24"/>
                <w:lang w:eastAsia="zh-CN"/>
                <w14:textFill>
                  <w14:solidFill>
                    <w14:schemeClr w14:val="tx1"/>
                  </w14:solidFill>
                </w14:textFill>
              </w:rPr>
              <w:t>第</w:t>
            </w:r>
            <w:r>
              <w:rPr>
                <w:rFonts w:hint="default" w:ascii="Times New Roman" w:hAnsi="Times New Roman" w:cs="Times New Roman"/>
                <w:color w:val="000000" w:themeColor="text1"/>
                <w:sz w:val="24"/>
                <w:lang w:val="en-US" w:eastAsia="zh-CN"/>
                <w14:textFill>
                  <w14:solidFill>
                    <w14:schemeClr w14:val="tx1"/>
                  </w14:solidFill>
                </w14:textFill>
              </w:rPr>
              <w:t>00061096</w:t>
            </w:r>
            <w:r>
              <w:rPr>
                <w:rFonts w:hint="default" w:ascii="Times New Roman" w:hAnsi="Times New Roman" w:eastAsia="宋体" w:cs="Times New Roman"/>
                <w:color w:val="000000" w:themeColor="text1"/>
                <w:sz w:val="24"/>
                <w:lang w:eastAsia="zh-CN"/>
                <w14:textFill>
                  <w14:solidFill>
                    <w14:schemeClr w14:val="tx1"/>
                  </w14:solidFill>
                </w14:textFill>
              </w:rPr>
              <w:t>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，项目选址所在</w:t>
            </w:r>
            <w:r>
              <w:rPr>
                <w:rFonts w:hint="default" w:ascii="Times New Roman" w:hAnsi="Times New Roman" w:cs="Times New Roman"/>
                <w:color w:val="000000" w:themeColor="text1"/>
                <w:kern w:val="0"/>
                <w:sz w:val="24"/>
                <w:lang w:val="en-US" w:eastAsia="zh-CN"/>
                <w14:textFill>
                  <w14:solidFill>
                    <w14:schemeClr w14:val="tx1"/>
                  </w14:solidFill>
                </w14:textFill>
              </w:rPr>
              <w:t>地</w:t>
            </w:r>
            <w:r>
              <w:rPr>
                <w:rFonts w:hint="default" w:ascii="Times New Roman" w:hAnsi="Times New Roman" w:cs="Times New Roman"/>
                <w:color w:val="000000" w:themeColor="text1"/>
                <w:kern w:val="0"/>
                <w:sz w:val="24"/>
                <w14:textFill>
                  <w14:solidFill>
                    <w14:schemeClr w14:val="tx1"/>
                  </w14:solidFill>
                </w14:textFill>
              </w:rPr>
              <w:t>用地性质为工业用地，故</w:t>
            </w:r>
            <w:r>
              <w:rPr>
                <w:rFonts w:hint="default" w:ascii="Times New Roman" w:hAnsi="Times New Roman" w:cs="Times New Roman"/>
                <w:color w:val="000000" w:themeColor="text1"/>
                <w:sz w:val="24"/>
                <w14:textFill>
                  <w14:solidFill>
                    <w14:schemeClr w14:val="tx1"/>
                  </w14:solidFill>
                </w14:textFill>
              </w:rPr>
              <w:t>本项目用地性质符合区域规划要求。</w:t>
            </w:r>
            <w:r>
              <w:rPr>
                <w:rFonts w:hint="default" w:ascii="Times New Roman" w:hAnsi="Times New Roman" w:cs="Times New Roman"/>
                <w:color w:val="000000" w:themeColor="text1"/>
                <w:sz w:val="24"/>
                <w:lang w:eastAsia="zh-CN"/>
                <w14:textFill>
                  <w14:solidFill>
                    <w14:schemeClr w14:val="tx1"/>
                  </w14:solidFill>
                </w14:textFill>
              </w:rPr>
              <w:t>项目用地不在生态保护红</w:t>
            </w:r>
            <w:r>
              <w:rPr>
                <w:rFonts w:hint="default" w:ascii="Times New Roman" w:hAnsi="Times New Roman" w:eastAsia="宋体" w:cs="Times New Roman"/>
                <w:color w:val="000000" w:themeColor="text1"/>
                <w:sz w:val="24"/>
                <w14:textFill>
                  <w14:solidFill>
                    <w14:schemeClr w14:val="tx1"/>
                  </w14:solidFill>
                </w14:textFill>
              </w:rPr>
              <w:t>线范围内，不属于永久基本农田保护红线，项目选址位于舒城经济开发区</w:t>
            </w:r>
            <w:r>
              <w:rPr>
                <w:rFonts w:hint="default" w:ascii="Times New Roman" w:hAnsi="Times New Roman" w:eastAsia="宋体" w:cs="Times New Roman"/>
                <w:color w:val="000000" w:themeColor="text1"/>
                <w:sz w:val="24"/>
                <w:lang w:eastAsia="zh-CN"/>
                <w14:textFill>
                  <w14:solidFill>
                    <w14:schemeClr w14:val="tx1"/>
                  </w14:solidFill>
                </w14:textFill>
              </w:rPr>
              <w:t>城关</w:t>
            </w:r>
            <w:r>
              <w:rPr>
                <w:rFonts w:hint="default" w:ascii="Times New Roman" w:hAnsi="Times New Roman" w:eastAsia="宋体" w:cs="Times New Roman"/>
                <w:color w:val="000000" w:themeColor="text1"/>
                <w:sz w:val="24"/>
                <w14:textFill>
                  <w14:solidFill>
                    <w14:schemeClr w14:val="tx1"/>
                  </w14:solidFill>
                </w14:textFill>
              </w:rPr>
              <w:t>园区划定边界以内，因此，本项目符合“三区三线”要求。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kern w:val="1"/>
                <w:sz w:val="24"/>
                <w14:textFill>
                  <w14:solidFill>
                    <w14:schemeClr w14:val="tx1"/>
                  </w14:solidFill>
                </w14:textFill>
              </w:rPr>
            </w:pPr>
            <w:r>
              <w:rPr>
                <w:rFonts w:hint="default" w:ascii="Times New Roman" w:hAnsi="Times New Roman" w:cs="Times New Roman"/>
                <w:b/>
                <w:bCs/>
                <w:color w:val="000000" w:themeColor="text1"/>
                <w:kern w:val="1"/>
                <w:sz w:val="24"/>
                <w:lang w:val="en-US" w:eastAsia="zh-CN"/>
                <w14:textFill>
                  <w14:solidFill>
                    <w14:schemeClr w14:val="tx1"/>
                  </w14:solidFill>
                </w14:textFill>
              </w:rPr>
              <w:t>4</w:t>
            </w:r>
            <w:r>
              <w:rPr>
                <w:rFonts w:hint="default" w:ascii="Times New Roman" w:hAnsi="Times New Roman" w:cs="Times New Roman"/>
                <w:b/>
                <w:bCs/>
                <w:color w:val="000000" w:themeColor="text1"/>
                <w:kern w:val="1"/>
                <w:sz w:val="24"/>
                <w14:textFill>
                  <w14:solidFill>
                    <w14:schemeClr w14:val="tx1"/>
                  </w14:solidFill>
                </w14:textFill>
              </w:rPr>
              <w:t>、“三线一单”相符性分析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安徽省六安市舒城县龙津大道光世集团院内</w:t>
            </w:r>
            <w:r>
              <w:rPr>
                <w:rFonts w:hint="default" w:ascii="Times New Roman" w:hAnsi="Times New Roman" w:cs="Times New Roman"/>
                <w:color w:val="000000" w:themeColor="text1"/>
                <w:sz w:val="24"/>
                <w14:textFill>
                  <w14:solidFill>
                    <w14:schemeClr w14:val="tx1"/>
                  </w14:solidFill>
                </w14:textFill>
              </w:rPr>
              <w:t>，根据《长江经济带战略环境评价安徽省六安市“三线一单”文本》，项目与“三线一单”控制要求符合性分析如下所示。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（1）生态保护红线及生态分区管控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①生态保护红线及生态分区管控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安徽省六安市舒城县龙津大道光世集团院内，</w:t>
            </w:r>
            <w:r>
              <w:rPr>
                <w:rFonts w:hint="default" w:ascii="Times New Roman" w:hAnsi="Times New Roman" w:cs="Times New Roman"/>
                <w:color w:val="000000" w:themeColor="text1"/>
                <w:sz w:val="24"/>
                <w14:textFill>
                  <w14:solidFill>
                    <w14:schemeClr w14:val="tx1"/>
                  </w14:solidFill>
                </w14:textFill>
              </w:rPr>
              <w:t>项目所在地属于舒城经济开发区</w:t>
            </w:r>
            <w:r>
              <w:rPr>
                <w:rFonts w:hint="default" w:ascii="Times New Roman" w:hAnsi="Times New Roman" w:cs="Times New Roman"/>
                <w:color w:val="000000" w:themeColor="text1"/>
                <w:sz w:val="24"/>
                <w:lang w:eastAsia="zh-CN"/>
                <w14:textFill>
                  <w14:solidFill>
                    <w14:schemeClr w14:val="tx1"/>
                  </w14:solidFill>
                </w14:textFill>
              </w:rPr>
              <w:t>城关园区</w:t>
            </w:r>
            <w:r>
              <w:rPr>
                <w:rFonts w:hint="default" w:ascii="Times New Roman" w:hAnsi="Times New Roman" w:cs="Times New Roman"/>
                <w:color w:val="000000" w:themeColor="text1"/>
                <w:sz w:val="24"/>
                <w14:textFill>
                  <w14:solidFill>
                    <w14:schemeClr w14:val="tx1"/>
                  </w14:solidFill>
                </w14:textFill>
              </w:rPr>
              <w:t>，根据建设单位提供的</w:t>
            </w:r>
            <w:r>
              <w:rPr>
                <w:rFonts w:hint="default" w:ascii="Times New Roman" w:hAnsi="Times New Roman" w:cs="Times New Roman"/>
                <w:color w:val="000000" w:themeColor="text1"/>
                <w:kern w:val="0"/>
                <w:sz w:val="24"/>
                <w:lang w:val="en-US" w:eastAsia="zh-CN"/>
                <w14:textFill>
                  <w14:solidFill>
                    <w14:schemeClr w14:val="tx1"/>
                  </w14:solidFill>
                </w14:textFill>
              </w:rPr>
              <w:t>土地房产</w:t>
            </w:r>
            <w:r>
              <w:rPr>
                <w:rFonts w:hint="default" w:ascii="Times New Roman" w:hAnsi="Times New Roman" w:cs="Times New Roman"/>
                <w:color w:val="000000" w:themeColor="text1"/>
                <w:kern w:val="0"/>
                <w:sz w:val="24"/>
                <w14:textFill>
                  <w14:solidFill>
                    <w14:schemeClr w14:val="tx1"/>
                  </w14:solidFill>
                </w14:textFill>
              </w:rPr>
              <w:t>证（</w:t>
            </w:r>
            <w:r>
              <w:rPr>
                <w:rFonts w:hint="default" w:ascii="Times New Roman" w:hAnsi="Times New Roman" w:cs="Times New Roman"/>
                <w:color w:val="000000" w:themeColor="text1"/>
                <w:kern w:val="0"/>
                <w:sz w:val="24"/>
                <w:lang w:eastAsia="zh-CN"/>
                <w14:textFill>
                  <w14:solidFill>
                    <w14:schemeClr w14:val="tx1"/>
                  </w14:solidFill>
                </w14:textFill>
              </w:rPr>
              <w:t>皖</w:t>
            </w:r>
            <w:r>
              <w:rPr>
                <w:rFonts w:hint="default" w:ascii="Times New Roman" w:hAnsi="Times New Roman" w:eastAsia="宋体" w:cs="Times New Roman"/>
                <w:color w:val="000000" w:themeColor="text1"/>
                <w:sz w:val="24"/>
                <w:lang w:eastAsia="zh-CN"/>
                <w14:textFill>
                  <w14:solidFill>
                    <w14:schemeClr w14:val="tx1"/>
                  </w14:solidFill>
                </w14:textFill>
              </w:rPr>
              <w:t>舒</w:t>
            </w:r>
            <w:r>
              <w:rPr>
                <w:rFonts w:hint="default" w:ascii="Times New Roman" w:hAnsi="Times New Roman" w:cs="Times New Roman"/>
                <w:color w:val="000000" w:themeColor="text1"/>
                <w:sz w:val="24"/>
                <w:lang w:val="en-US" w:eastAsia="zh-CN"/>
                <w14:textFill>
                  <w14:solidFill>
                    <w14:schemeClr w14:val="tx1"/>
                  </w14:solidFill>
                </w14:textFill>
              </w:rPr>
              <w:t>字</w:t>
            </w:r>
            <w:r>
              <w:rPr>
                <w:rFonts w:hint="default" w:ascii="Times New Roman" w:hAnsi="Times New Roman" w:eastAsia="宋体" w:cs="Times New Roman"/>
                <w:color w:val="000000" w:themeColor="text1"/>
                <w:sz w:val="24"/>
                <w:lang w:eastAsia="zh-CN"/>
                <w14:textFill>
                  <w14:solidFill>
                    <w14:schemeClr w14:val="tx1"/>
                  </w14:solidFill>
                </w14:textFill>
              </w:rPr>
              <w:t>第</w:t>
            </w:r>
            <w:r>
              <w:rPr>
                <w:rFonts w:hint="default" w:ascii="Times New Roman" w:hAnsi="Times New Roman" w:cs="Times New Roman"/>
                <w:color w:val="000000" w:themeColor="text1"/>
                <w:sz w:val="24"/>
                <w:lang w:val="en-US" w:eastAsia="zh-CN"/>
                <w14:textFill>
                  <w14:solidFill>
                    <w14:schemeClr w14:val="tx1"/>
                  </w14:solidFill>
                </w14:textFill>
              </w:rPr>
              <w:t>00061096</w:t>
            </w:r>
            <w:r>
              <w:rPr>
                <w:rFonts w:hint="default" w:ascii="Times New Roman" w:hAnsi="Times New Roman" w:eastAsia="宋体" w:cs="Times New Roman"/>
                <w:color w:val="000000" w:themeColor="text1"/>
                <w:sz w:val="24"/>
                <w:lang w:eastAsia="zh-CN"/>
                <w14:textFill>
                  <w14:solidFill>
                    <w14:schemeClr w14:val="tx1"/>
                  </w14:solidFill>
                </w14:textFill>
              </w:rPr>
              <w:t>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，项目选址所在</w:t>
            </w:r>
            <w:r>
              <w:rPr>
                <w:rFonts w:hint="default" w:ascii="Times New Roman" w:hAnsi="Times New Roman" w:cs="Times New Roman"/>
                <w:color w:val="000000" w:themeColor="text1"/>
                <w:kern w:val="0"/>
                <w:sz w:val="24"/>
                <w:lang w:val="en-US" w:eastAsia="zh-CN"/>
                <w14:textFill>
                  <w14:solidFill>
                    <w14:schemeClr w14:val="tx1"/>
                  </w14:solidFill>
                </w14:textFill>
              </w:rPr>
              <w:t>地</w:t>
            </w:r>
            <w:r>
              <w:rPr>
                <w:rFonts w:hint="default" w:ascii="Times New Roman" w:hAnsi="Times New Roman" w:cs="Times New Roman"/>
                <w:color w:val="000000" w:themeColor="text1"/>
                <w:kern w:val="0"/>
                <w:sz w:val="24"/>
                <w14:textFill>
                  <w14:solidFill>
                    <w14:schemeClr w14:val="tx1"/>
                  </w14:solidFill>
                </w14:textFill>
              </w:rPr>
              <w:t>用地性质为工业用地，故</w:t>
            </w:r>
            <w:r>
              <w:rPr>
                <w:rFonts w:hint="default" w:ascii="Times New Roman" w:hAnsi="Times New Roman" w:cs="Times New Roman"/>
                <w:color w:val="000000" w:themeColor="text1"/>
                <w:sz w:val="24"/>
                <w14:textFill>
                  <w14:solidFill>
                    <w14:schemeClr w14:val="tx1"/>
                  </w14:solidFill>
                </w14:textFill>
              </w:rPr>
              <w:t>本项目用地性质符合区域规划要求。对照《六安市生态保护红线图》、《六安市生态空间图》可知，本项目所在区域不属于生态保护红线及一般生态空间范围内，符合生态保护红线要求及生态分区管控要求。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highlight w:val="yellow"/>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根据《长江经济带战略环境评价安徽省六安市“三线一单”文本》，</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本项目选址所在地属于水环境工业污染重点管控区、大气环境高排放重点管控区、土壤风险防控一般管控区。</w:t>
            </w:r>
            <w:r>
              <w:rPr>
                <w:rFonts w:hint="default" w:ascii="Times New Roman" w:hAnsi="Times New Roman" w:cs="Times New Roman"/>
                <w:color w:val="000000" w:themeColor="text1"/>
                <w:sz w:val="24"/>
                <w14:textFill>
                  <w14:solidFill>
                    <w14:schemeClr w14:val="tx1"/>
                  </w14:solidFill>
                </w14:textFill>
              </w:rPr>
              <w:t>本项目符合性对比分析见下表。</w:t>
            </w:r>
          </w:p>
          <w:p>
            <w:pPr>
              <w:pStyle w:val="94"/>
              <w:widowControl w:val="0"/>
              <w:autoSpaceDE w:val="0"/>
              <w:autoSpaceDN w:val="0"/>
              <w:adjustRightInd w:val="0"/>
              <w:spacing w:before="0" w:after="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表1-3  与六安市“三线一单”中环境质量底线</w:t>
            </w:r>
            <w:r>
              <w:rPr>
                <w:rFonts w:hint="default" w:ascii="Times New Roman" w:hAnsi="Times New Roman" w:eastAsia="宋体" w:cs="Times New Roman"/>
                <w:b/>
                <w:color w:val="000000" w:themeColor="text1"/>
                <w:sz w:val="24"/>
                <w:szCs w:val="24"/>
                <w:lang w:eastAsia="zh-CN"/>
                <w14:textFill>
                  <w14:solidFill>
                    <w14:schemeClr w14:val="tx1"/>
                  </w14:solidFill>
                </w14:textFill>
              </w:rPr>
              <w:t>符合性分析</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748"/>
              <w:gridCol w:w="3150"/>
              <w:gridCol w:w="2349"/>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6" w:type="pct"/>
                  <w:gridSpan w:val="2"/>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w:t>
                  </w:r>
                </w:p>
              </w:tc>
              <w:tc>
                <w:tcPr>
                  <w:tcW w:w="2114" w:type="pct"/>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《长江经济带战略环境评价六安市“三线一单”文本》</w:t>
                  </w:r>
                </w:p>
              </w:tc>
              <w:tc>
                <w:tcPr>
                  <w:tcW w:w="1576" w:type="pct"/>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493" w:type="pct"/>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14"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水环境</w:t>
                  </w:r>
                </w:p>
              </w:tc>
              <w:tc>
                <w:tcPr>
                  <w:tcW w:w="50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环境质量底线</w:t>
                  </w:r>
                </w:p>
              </w:tc>
              <w:tc>
                <w:tcPr>
                  <w:tcW w:w="2114" w:type="pct"/>
                  <w:noWrap w:val="0"/>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六安市2020年水环境质量底线以安徽省《水十条》中明确的六安市所涉9个国考断面水质目标为准；2025年质量底线暂时参考《重点流域水生态环境保护“十四五”规划》阶段性成果中确定的23个国考断面水质目标，最终以“十四五”规划确定的水质目标为准；2035年质量底线目标暂定为参考2025年目标，最终以“十六五”生态环境保护规划确定的目标为准。</w:t>
                  </w:r>
                </w:p>
              </w:tc>
              <w:tc>
                <w:tcPr>
                  <w:tcW w:w="1576" w:type="pct"/>
                  <w:noWrap w:val="0"/>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项目所在区域地表水为三里河，根据监测数据可知三里河水质能够达到《地表水环境质量标准》（GB3838-2002）</w:t>
                  </w:r>
                  <w:r>
                    <w:rPr>
                      <w:rFonts w:hint="default" w:ascii="Times New Roman" w:hAnsi="Times New Roman" w:eastAsia="宋体" w:cs="Times New Roman"/>
                      <w:color w:val="000000" w:themeColor="text1"/>
                      <w:sz w:val="21"/>
                      <w:szCs w:val="21"/>
                      <w14:textFill>
                        <w14:solidFill>
                          <w14:schemeClr w14:val="tx1"/>
                        </w14:solidFill>
                      </w14:textFill>
                    </w:rPr>
                    <w:t>中Ⅳ</w:t>
                  </w:r>
                  <w:r>
                    <w:rPr>
                      <w:rFonts w:hint="default" w:ascii="Times New Roman" w:hAnsi="Times New Roman" w:cs="Times New Roman"/>
                      <w:color w:val="000000" w:themeColor="text1"/>
                      <w:sz w:val="21"/>
                      <w:szCs w:val="21"/>
                      <w14:textFill>
                        <w14:solidFill>
                          <w14:schemeClr w14:val="tx1"/>
                        </w14:solidFill>
                      </w14:textFill>
                    </w:rPr>
                    <w:t>类水体功能要求。</w:t>
                  </w:r>
                </w:p>
              </w:tc>
              <w:tc>
                <w:tcPr>
                  <w:tcW w:w="493"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14" w:type="pct"/>
                  <w:vMerge w:val="continue"/>
                  <w:noWrap w:val="0"/>
                  <w:vAlign w:val="center"/>
                </w:tcPr>
                <w:p>
                  <w:pPr>
                    <w:jc w:val="center"/>
                    <w:rPr>
                      <w:rFonts w:hint="default" w:ascii="Times New Roman" w:hAnsi="Times New Roman" w:cs="Times New Roman"/>
                      <w:color w:val="000000" w:themeColor="text1"/>
                      <w:szCs w:val="21"/>
                      <w:highlight w:val="yellow"/>
                      <w14:textFill>
                        <w14:solidFill>
                          <w14:schemeClr w14:val="tx1"/>
                        </w14:solidFill>
                      </w14:textFill>
                    </w:rPr>
                  </w:pPr>
                </w:p>
              </w:tc>
              <w:tc>
                <w:tcPr>
                  <w:tcW w:w="50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水环境工业污染重点管控区管控要求</w:t>
                  </w:r>
                </w:p>
              </w:tc>
              <w:tc>
                <w:tcPr>
                  <w:tcW w:w="2114" w:type="pct"/>
                  <w:noWrap w:val="0"/>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六安市“十三五”节能减排实施方案》等要求，新建、改建和扩建项目水污染物实施“等量替代”。</w:t>
                  </w:r>
                </w:p>
              </w:tc>
              <w:tc>
                <w:tcPr>
                  <w:tcW w:w="1576" w:type="pct"/>
                  <w:noWrap w:val="0"/>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项目脱模剂配比水、切削液配比水蒸发损耗不外排；光饰废水经自建污水处理设施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理后回用，不外排；湿式除尘废水经过滤装置过滤后循环使用，不外排。</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p>
              </w:tc>
              <w:tc>
                <w:tcPr>
                  <w:tcW w:w="493" w:type="pct"/>
                  <w:vMerge w:val="continue"/>
                  <w:noWrap w:val="0"/>
                  <w:vAlign w:val="center"/>
                </w:tcPr>
                <w:p>
                  <w:pPr>
                    <w:jc w:val="center"/>
                    <w:rPr>
                      <w:rFonts w:hint="default" w:ascii="Times New Roman" w:hAnsi="Times New Roman" w:cs="Times New Roman"/>
                      <w:color w:val="000000" w:themeColor="text1"/>
                      <w:szCs w:val="21"/>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4"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50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环境质量底线</w:t>
                  </w:r>
                </w:p>
              </w:tc>
              <w:tc>
                <w:tcPr>
                  <w:tcW w:w="2114" w:type="pct"/>
                  <w:noWrap w:val="0"/>
                  <w:vAlign w:val="center"/>
                </w:tcPr>
                <w:p>
                  <w:pPr>
                    <w:pStyle w:val="95"/>
                    <w:jc w:val="both"/>
                    <w:rPr>
                      <w:rFonts w:hint="default" w:ascii="Times New Roman" w:hAnsi="Times New Roman" w:cs="Times New Roman"/>
                      <w:color w:val="000000" w:themeColor="text1"/>
                      <w:lang w:bidi="ar-SA"/>
                      <w14:textFill>
                        <w14:solidFill>
                          <w14:schemeClr w14:val="tx1"/>
                        </w14:solidFill>
                      </w14:textFill>
                    </w:rPr>
                  </w:pPr>
                  <w:r>
                    <w:rPr>
                      <w:rFonts w:hint="default" w:ascii="Times New Roman" w:hAnsi="Times New Roman" w:cs="Times New Roman"/>
                      <w:color w:val="000000" w:themeColor="text1"/>
                      <w:lang w:bidi="ar-SA"/>
                      <w14:textFill>
                        <w14:solidFill>
                          <w14:schemeClr w14:val="tx1"/>
                        </w14:solidFill>
                      </w14:textFill>
                    </w:rPr>
                    <w:t>根据《安徽省“十三五”环境保护规划》中大气环境约束性指标要求和测算，到2020年，六安市PM</w:t>
                  </w:r>
                  <w:r>
                    <w:rPr>
                      <w:rFonts w:hint="default" w:ascii="Times New Roman" w:hAnsi="Times New Roman" w:cs="Times New Roman"/>
                      <w:color w:val="000000" w:themeColor="text1"/>
                      <w:vertAlign w:val="subscript"/>
                      <w:lang w:bidi="ar-SA"/>
                      <w14:textFill>
                        <w14:solidFill>
                          <w14:schemeClr w14:val="tx1"/>
                        </w14:solidFill>
                      </w14:textFill>
                    </w:rPr>
                    <w:t>2.5</w:t>
                  </w:r>
                  <w:r>
                    <w:rPr>
                      <w:rFonts w:hint="default" w:ascii="Times New Roman" w:hAnsi="Times New Roman" w:cs="Times New Roman"/>
                      <w:color w:val="000000" w:themeColor="text1"/>
                      <w:lang w:bidi="ar-SA"/>
                      <w14:textFill>
                        <w14:solidFill>
                          <w14:schemeClr w14:val="tx1"/>
                        </w14:solidFill>
                      </w14:textFill>
                    </w:rPr>
                    <w:t>平均浓度需达到41微克/立方米（实况，“十三五”目标47微克/立方米标况）；到2025年，在2020年目标的基础上，六安市PM</w:t>
                  </w:r>
                  <w:r>
                    <w:rPr>
                      <w:rFonts w:hint="default" w:ascii="Times New Roman" w:hAnsi="Times New Roman" w:cs="Times New Roman"/>
                      <w:color w:val="000000" w:themeColor="text1"/>
                      <w:vertAlign w:val="subscript"/>
                      <w:lang w:bidi="ar-SA"/>
                      <w14:textFill>
                        <w14:solidFill>
                          <w14:schemeClr w14:val="tx1"/>
                        </w14:solidFill>
                      </w14:textFill>
                    </w:rPr>
                    <w:t>2.5</w:t>
                  </w:r>
                  <w:r>
                    <w:rPr>
                      <w:rFonts w:hint="default" w:ascii="Times New Roman" w:hAnsi="Times New Roman" w:cs="Times New Roman"/>
                      <w:color w:val="000000" w:themeColor="text1"/>
                      <w:lang w:bidi="ar-SA"/>
                      <w14:textFill>
                        <w14:solidFill>
                          <w14:schemeClr w14:val="tx1"/>
                        </w14:solidFill>
                      </w14:textFill>
                    </w:rPr>
                    <w:t>平均浓度暂定为下降至35微克/立方米；到2035年，六安市PM</w:t>
                  </w:r>
                  <w:r>
                    <w:rPr>
                      <w:rFonts w:hint="default" w:ascii="Times New Roman" w:hAnsi="Times New Roman" w:cs="Times New Roman"/>
                      <w:color w:val="000000" w:themeColor="text1"/>
                      <w:vertAlign w:val="subscript"/>
                      <w:lang w:bidi="ar-SA"/>
                      <w14:textFill>
                        <w14:solidFill>
                          <w14:schemeClr w14:val="tx1"/>
                        </w14:solidFill>
                      </w14:textFill>
                    </w:rPr>
                    <w:t>2.5</w:t>
                  </w:r>
                  <w:r>
                    <w:rPr>
                      <w:rFonts w:hint="default" w:ascii="Times New Roman" w:hAnsi="Times New Roman" w:cs="Times New Roman"/>
                      <w:color w:val="000000" w:themeColor="text1"/>
                      <w:lang w:bidi="ar-SA"/>
                      <w14:textFill>
                        <w14:solidFill>
                          <w14:schemeClr w14:val="tx1"/>
                        </w14:solidFill>
                      </w14:textFill>
                    </w:rPr>
                    <w:t>平均浓度目标暂定为35微克/立方米。2025年、2035年目标值均为暂定，最终以“十四五”、“十六五”生态环境保护规划确定的目标为准。</w:t>
                  </w:r>
                </w:p>
              </w:tc>
              <w:tc>
                <w:tcPr>
                  <w:tcW w:w="1576" w:type="pct"/>
                  <w:noWrap w:val="0"/>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根据空气质量监测舒城县站点202</w:t>
                  </w: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年全年年均值监测数据可知，项目所在区域环境空气质量符合《环境空气质量标准》（GB3095-2012）中二级标准要求。</w:t>
                  </w:r>
                </w:p>
              </w:tc>
              <w:tc>
                <w:tcPr>
                  <w:tcW w:w="493"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4" w:type="pct"/>
                  <w:vMerge w:val="continue"/>
                  <w:noWrap w:val="0"/>
                  <w:vAlign w:val="center"/>
                </w:tcPr>
                <w:p>
                  <w:pPr>
                    <w:jc w:val="center"/>
                    <w:rPr>
                      <w:rFonts w:hint="default" w:ascii="Times New Roman" w:hAnsi="Times New Roman" w:cs="Times New Roman"/>
                      <w:color w:val="000000" w:themeColor="text1"/>
                      <w:szCs w:val="21"/>
                      <w:highlight w:val="yellow"/>
                      <w14:textFill>
                        <w14:solidFill>
                          <w14:schemeClr w14:val="tx1"/>
                        </w14:solidFill>
                      </w14:textFill>
                    </w:rPr>
                  </w:pPr>
                </w:p>
              </w:tc>
              <w:tc>
                <w:tcPr>
                  <w:tcW w:w="50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大气环境高排放重点管控区管控要求</w:t>
                  </w:r>
                </w:p>
              </w:tc>
              <w:tc>
                <w:tcPr>
                  <w:tcW w:w="2114" w:type="pct"/>
                  <w:noWrap w:val="0"/>
                  <w:vAlign w:val="center"/>
                </w:tcPr>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落实《安徽省大气污染防治条例》《“十三五”生态环境保护规划》《安徽省“十三五”环境保护规划》《打赢蓝天保卫战三年行动计划》《安徽省打赢蓝天保卫战三年行动计划实施方案》《重点行业挥发性有机物综合治理方案》《六安市“十三五”环境保护规划》《六安市打赢蓝天保卫战三年行动计划实施方案》等要求，严格目标实施计划，加强环境监管，促进生态环境质量好转。上年度PM</w:t>
                  </w:r>
                  <w:r>
                    <w:rPr>
                      <w:rFonts w:hint="default" w:ascii="Times New Roman" w:hAnsi="Times New Roman" w:cs="Times New Roman"/>
                      <w:color w:val="000000" w:themeColor="text1"/>
                      <w:szCs w:val="21"/>
                      <w:highlight w:val="none"/>
                      <w:vertAlign w:val="subscript"/>
                      <w14:textFill>
                        <w14:solidFill>
                          <w14:schemeClr w14:val="tx1"/>
                        </w14:solidFill>
                      </w14:textFill>
                    </w:rPr>
                    <w:t>2.5</w:t>
                  </w:r>
                  <w:r>
                    <w:rPr>
                      <w:rFonts w:hint="default" w:ascii="Times New Roman" w:hAnsi="Times New Roman" w:cs="Times New Roman"/>
                      <w:color w:val="000000" w:themeColor="text1"/>
                      <w:szCs w:val="21"/>
                      <w:highlight w:val="none"/>
                      <w14:textFill>
                        <w14:solidFill>
                          <w14:schemeClr w14:val="tx1"/>
                        </w14:solidFill>
                      </w14:textFill>
                    </w:rPr>
                    <w:t>不达标城市新建、改建和扩建项目大气污染物实施“倍量替代”，执行特别排放标准的行业实施提标升级改造。</w:t>
                  </w:r>
                </w:p>
              </w:tc>
              <w:tc>
                <w:tcPr>
                  <w:tcW w:w="1576" w:type="pct"/>
                  <w:noWrap w:val="0"/>
                  <w:vAlign w:val="center"/>
                </w:tcPr>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本项目所在区域大气基本污染物满足《环境空气质量标准》（GB3095-2012）中二级标准要求，项目所在区域为达标区。</w:t>
                  </w:r>
                </w:p>
                <w:p>
                  <w:pP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w:t>
                  </w:r>
                  <w:r>
                    <w:rPr>
                      <w:rFonts w:hint="default" w:ascii="Times New Roman" w:hAnsi="Times New Roman" w:cs="Times New Roman"/>
                      <w:color w:val="000000" w:themeColor="text1"/>
                      <w:szCs w:val="21"/>
                      <w:lang w:eastAsia="zh-CN"/>
                      <w14:textFill>
                        <w14:solidFill>
                          <w14:schemeClr w14:val="tx1"/>
                        </w14:solidFill>
                      </w14:textFill>
                    </w:rPr>
                    <w:t>工序的废气：</w:t>
                  </w:r>
                  <w:r>
                    <w:rPr>
                      <w:rFonts w:hint="default" w:ascii="Times New Roman" w:hAnsi="Times New Roman" w:cs="Times New Roman"/>
                      <w:color w:val="000000" w:themeColor="text1"/>
                      <w:szCs w:val="21"/>
                      <w:lang w:val="en-US" w:eastAsia="zh-CN"/>
                      <w14:textFill>
                        <w14:solidFill>
                          <w14:schemeClr w14:val="tx1"/>
                        </w14:solidFill>
                      </w14:textFill>
                    </w:rPr>
                    <w:t>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w:t>
                  </w:r>
                  <w:r>
                    <w:rPr>
                      <w:rFonts w:hint="default" w:ascii="Times New Roman" w:hAnsi="Times New Roman" w:cs="Times New Roman"/>
                      <w:color w:val="000000" w:themeColor="text1"/>
                      <w:szCs w:val="21"/>
                      <w:lang w:eastAsia="zh-CN"/>
                      <w14:textFill>
                        <w14:solidFill>
                          <w14:schemeClr w14:val="tx1"/>
                        </w14:solidFill>
                      </w14:textFill>
                    </w:rPr>
                    <w:t>由</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lang w:eastAsia="zh-CN"/>
                      <w14:textFill>
                        <w14:solidFill>
                          <w14:schemeClr w14:val="tx1"/>
                        </w14:solidFill>
                      </w14:textFill>
                    </w:rPr>
                    <w:t>m高</w:t>
                  </w:r>
                  <w:r>
                    <w:rPr>
                      <w:rFonts w:hint="default" w:ascii="Times New Roman" w:hAnsi="Times New Roman" w:cs="Times New Roman"/>
                      <w:color w:val="000000" w:themeColor="text1"/>
                      <w:szCs w:val="21"/>
                      <w14:textFill>
                        <w14:solidFill>
                          <w14:schemeClr w14:val="tx1"/>
                        </w14:solidFill>
                      </w14:textFill>
                    </w:rPr>
                    <w:t>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14:textFill>
                        <w14:solidFill>
                          <w14:schemeClr w14:val="tx1"/>
                        </w14:solidFill>
                      </w14:textFill>
                    </w:rPr>
                    <w:t>排放</w:t>
                  </w:r>
                  <w:r>
                    <w:rPr>
                      <w:rFonts w:hint="default" w:ascii="Times New Roman" w:hAnsi="Times New Roman" w:cs="Times New Roman"/>
                      <w:color w:val="000000" w:themeColor="text1"/>
                      <w:szCs w:val="21"/>
                      <w:lang w:eastAsia="zh-CN"/>
                      <w14:textFill>
                        <w14:solidFill>
                          <w14:schemeClr w14:val="tx1"/>
                        </w14:solidFill>
                      </w14:textFill>
                    </w:rPr>
                    <w:t>；抛丸粉尘：</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抛丸机密闭，设置抽风管道，废气收集后经设备自带的布袋除尘装置处理，</w:t>
                  </w:r>
                  <w:r>
                    <w:rPr>
                      <w:rFonts w:hint="default" w:ascii="Times New Roman" w:hAnsi="Times New Roman" w:cs="Times New Roman"/>
                      <w:color w:val="000000" w:themeColor="text1"/>
                      <w:sz w:val="21"/>
                      <w:szCs w:val="24"/>
                      <w:lang w:val="en-US" w:eastAsia="zh-CN"/>
                      <w14:textFill>
                        <w14:solidFill>
                          <w14:schemeClr w14:val="tx1"/>
                        </w14:solidFill>
                      </w14:textFill>
                    </w:rPr>
                    <w:t>抛光粉尘</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：经</w:t>
                  </w:r>
                  <w:r>
                    <w:rPr>
                      <w:rFonts w:hint="default" w:ascii="Times New Roman" w:hAnsi="Times New Roman" w:cs="Times New Roman"/>
                      <w:bCs/>
                      <w:color w:val="000000" w:themeColor="text1"/>
                      <w:szCs w:val="18"/>
                      <w:lang w:val="en-US" w:eastAsia="zh-CN"/>
                      <w14:textFill>
                        <w14:solidFill>
                          <w14:schemeClr w14:val="tx1"/>
                        </w14:solidFill>
                      </w14:textFill>
                    </w:rPr>
                    <w:t>侧吸三面封闭集气罩</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收集后经自带的湿式除尘器处理后和抛丸粉尘一起经15m高的排气筒（DA002）排放</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危废暂存库废气</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危废库密闭，设置抽排风系统，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收集后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r>
                    <w:rPr>
                      <w:rFonts w:hint="default" w:ascii="Times New Roman" w:hAnsi="Times New Roman" w:cs="Times New Roman"/>
                      <w:color w:val="000000" w:themeColor="text1"/>
                      <w:szCs w:val="21"/>
                      <w14:textFill>
                        <w14:solidFill>
                          <w14:schemeClr w14:val="tx1"/>
                        </w14:solidFill>
                      </w14:textFill>
                    </w:rPr>
                    <w:t>处理</w:t>
                  </w:r>
                  <w:r>
                    <w:rPr>
                      <w:rFonts w:hint="default" w:ascii="Times New Roman" w:hAnsi="Times New Roman" w:cs="Times New Roman"/>
                      <w:color w:val="000000" w:themeColor="text1"/>
                      <w:szCs w:val="21"/>
                      <w:lang w:eastAsia="zh-CN"/>
                      <w14:textFill>
                        <w14:solidFill>
                          <w14:schemeClr w14:val="tx1"/>
                        </w14:solidFill>
                      </w14:textFill>
                    </w:rPr>
                    <w:t>后由</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高的排气筒</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（DA00</w:t>
                  </w:r>
                  <w:r>
                    <w:rPr>
                      <w:rFonts w:hint="default" w:ascii="Times New Roman" w:hAnsi="Times New Roman" w:cs="Times New Roman"/>
                      <w:color w:val="000000" w:themeColor="text1"/>
                      <w:sz w:val="21"/>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排放</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食堂油烟：经油烟净化器处理后经过烟道排放。</w:t>
                  </w:r>
                </w:p>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经预测项目废气排放可满足相应标准限值要求。</w:t>
                  </w:r>
                </w:p>
              </w:tc>
              <w:tc>
                <w:tcPr>
                  <w:tcW w:w="493" w:type="pct"/>
                  <w:vMerge w:val="continue"/>
                  <w:noWrap w:val="0"/>
                  <w:vAlign w:val="center"/>
                </w:tcPr>
                <w:p>
                  <w:pPr>
                    <w:jc w:val="center"/>
                    <w:rPr>
                      <w:rFonts w:hint="default" w:ascii="Times New Roman" w:hAnsi="Times New Roman"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4"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土壤环境</w:t>
                  </w:r>
                </w:p>
              </w:tc>
              <w:tc>
                <w:tcPr>
                  <w:tcW w:w="50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土壤环境风险防控底线</w:t>
                  </w:r>
                </w:p>
              </w:tc>
              <w:tc>
                <w:tcPr>
                  <w:tcW w:w="2114" w:type="pct"/>
                  <w:noWrap w:val="0"/>
                  <w:vAlign w:val="center"/>
                </w:tcPr>
                <w:p>
                  <w:pPr>
                    <w:pStyle w:val="95"/>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到2020年，全市土壤污染趋势得到初步遏制，土壤环境质量总体保持稳定，农用地和建设用地土壤环境安全得到基本保障，受污染耕地安全利用率达到94%左右，污染地块安全利用率达到90%以上；到2030年，全市土壤环境质量稳中向好，农用地和建设用地土壤环境安全得到有效保障，受污染耕地安全利用率达到95%以上，污染地块安全利用率达到95%以上。</w:t>
                  </w:r>
                </w:p>
              </w:tc>
              <w:tc>
                <w:tcPr>
                  <w:tcW w:w="1576" w:type="pct"/>
                  <w:vMerge w:val="restart"/>
                  <w:noWrap w:val="0"/>
                  <w:vAlign w:val="center"/>
                </w:tcPr>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项目使用的原辅材料不含有重金属，无重金属污染物的排放。</w:t>
                  </w:r>
                </w:p>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本项目按重点污染防治区、一般污染防治区和简单防渗区采取分区防渗措施，在严格落实分区防渗措施前提下，项目正常运行对土壤的基本不造成污染影响。</w:t>
                  </w:r>
                </w:p>
              </w:tc>
              <w:tc>
                <w:tcPr>
                  <w:tcW w:w="493" w:type="pct"/>
                  <w:vMerge w:val="restart"/>
                  <w:noWrap w:val="0"/>
                  <w:vAlign w:val="center"/>
                </w:tcPr>
                <w:p>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4" w:type="pct"/>
                  <w:vMerge w:val="continue"/>
                  <w:noWrap w:val="0"/>
                  <w:vAlign w:val="center"/>
                </w:tcPr>
                <w:p>
                  <w:pPr>
                    <w:jc w:val="center"/>
                    <w:rPr>
                      <w:rFonts w:hint="default" w:ascii="Times New Roman" w:hAnsi="Times New Roman" w:cs="Times New Roman"/>
                      <w:color w:val="000000" w:themeColor="text1"/>
                      <w:szCs w:val="21"/>
                      <w:highlight w:val="yellow"/>
                      <w14:textFill>
                        <w14:solidFill>
                          <w14:schemeClr w14:val="tx1"/>
                        </w14:solidFill>
                      </w14:textFill>
                    </w:rPr>
                  </w:pPr>
                </w:p>
              </w:tc>
              <w:tc>
                <w:tcPr>
                  <w:tcW w:w="50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土壤风险防控一般管控区防控要求</w:t>
                  </w:r>
                </w:p>
              </w:tc>
              <w:tc>
                <w:tcPr>
                  <w:tcW w:w="2114" w:type="pct"/>
                  <w:noWrap w:val="0"/>
                  <w:vAlign w:val="center"/>
                </w:tcPr>
                <w:p>
                  <w:pPr>
                    <w:pStyle w:val="95"/>
                    <w:jc w:val="left"/>
                    <w:rPr>
                      <w:rFonts w:hint="default" w:ascii="Times New Roman" w:hAnsi="Times New Roman" w:cs="Times New Roman"/>
                      <w:color w:val="000000" w:themeColor="text1"/>
                      <w:lang w:bidi="ar-SA"/>
                      <w14:textFill>
                        <w14:solidFill>
                          <w14:schemeClr w14:val="tx1"/>
                        </w14:solidFill>
                      </w14:textFill>
                    </w:rPr>
                  </w:pPr>
                  <w:r>
                    <w:rPr>
                      <w:rFonts w:hint="default" w:ascii="Times New Roman" w:hAnsi="Times New Roman" w:cs="Times New Roman"/>
                      <w:color w:val="000000" w:themeColor="text1"/>
                      <w:lang w:bidi="ar-SA"/>
                      <w14:textFill>
                        <w14:solidFill>
                          <w14:schemeClr w14:val="tx1"/>
                        </w14:solidFill>
                      </w14:textFill>
                    </w:rPr>
                    <w:t>依据《中华人民共和国土壤污染防治法》《土壤污染防治行动计划》《安徽省土壤污染防治工作方案》《安徽省“十三五”环境保护规划》《六安市土壤污染防治工作方案》等要求及各市土壤污染防治工作方案对一般管控区实施管控。</w:t>
                  </w:r>
                </w:p>
              </w:tc>
              <w:tc>
                <w:tcPr>
                  <w:tcW w:w="1576" w:type="pct"/>
                  <w:vMerge w:val="continue"/>
                  <w:noWrap w:val="0"/>
                  <w:vAlign w:val="center"/>
                </w:tcPr>
                <w:p>
                  <w:pPr>
                    <w:jc w:val="center"/>
                    <w:rPr>
                      <w:rFonts w:hint="default" w:ascii="Times New Roman" w:hAnsi="Times New Roman" w:cs="Times New Roman"/>
                      <w:color w:val="000000" w:themeColor="text1"/>
                      <w:szCs w:val="21"/>
                      <w:highlight w:val="yellow"/>
                      <w14:textFill>
                        <w14:solidFill>
                          <w14:schemeClr w14:val="tx1"/>
                        </w14:solidFill>
                      </w14:textFill>
                    </w:rPr>
                  </w:pPr>
                </w:p>
              </w:tc>
              <w:tc>
                <w:tcPr>
                  <w:tcW w:w="493" w:type="pct"/>
                  <w:vMerge w:val="continue"/>
                  <w:noWrap w:val="0"/>
                  <w:vAlign w:val="center"/>
                </w:tcPr>
                <w:p>
                  <w:pPr>
                    <w:jc w:val="center"/>
                    <w:rPr>
                      <w:rFonts w:hint="default" w:ascii="Times New Roman" w:hAnsi="Times New Roman" w:cs="Times New Roman"/>
                      <w:color w:val="000000" w:themeColor="text1"/>
                      <w:szCs w:val="21"/>
                      <w:highlight w:val="yellow"/>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因此，本项目建设符合环境质量底线及分区管控要求。</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（3）资源利用上线及分区管控</w:t>
            </w:r>
          </w:p>
          <w:p>
            <w:pPr>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根据《长江经济带战略环境评价安徽省六安市“三线一单”文本》，本项目选址所在地属于高污染燃料禁燃区、水资源一般管控区、土地资源一般管控区，本项目符合性对比分析见下表。</w:t>
            </w:r>
          </w:p>
          <w:p>
            <w:pPr>
              <w:pStyle w:val="94"/>
              <w:keepNext w:val="0"/>
              <w:keepLines w:val="0"/>
              <w:pageBreakBefore w:val="0"/>
              <w:widowControl w:val="0"/>
              <w:kinsoku/>
              <w:wordWrap/>
              <w:overflowPunct/>
              <w:topLinePunct w:val="0"/>
              <w:autoSpaceDE w:val="0"/>
              <w:autoSpaceDN w:val="0"/>
              <w:bidi w:val="0"/>
              <w:adjustRightInd w:val="0"/>
              <w:snapToGrid/>
              <w:spacing w:before="313" w:beforeLines="100" w:after="0"/>
              <w:jc w:val="center"/>
              <w:textAlignment w:val="auto"/>
              <w:rPr>
                <w:rFonts w:hint="default" w:ascii="Times New Roman" w:hAnsi="Times New Roman" w:eastAsia="宋体" w:cs="Times New Roman"/>
                <w:b/>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SA"/>
                <w14:textFill>
                  <w14:solidFill>
                    <w14:schemeClr w14:val="tx1"/>
                  </w14:solidFill>
                </w14:textFill>
              </w:rPr>
              <w:t>表1-4 与六安市“三线一单”中资源利用上线符合性分析</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733"/>
              <w:gridCol w:w="3961"/>
              <w:gridCol w:w="1599"/>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8" w:type="pct"/>
                  <w:gridSpan w:val="2"/>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2658" w:type="pct"/>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《长江经济带战略环境评价六安市“三线一单”文本》</w:t>
                  </w:r>
                </w:p>
              </w:tc>
              <w:tc>
                <w:tcPr>
                  <w:tcW w:w="1073" w:type="pct"/>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480" w:type="pct"/>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96"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煤炭资源</w:t>
                  </w:r>
                </w:p>
              </w:tc>
              <w:tc>
                <w:tcPr>
                  <w:tcW w:w="4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一般管控区</w:t>
                  </w:r>
                </w:p>
              </w:tc>
              <w:tc>
                <w:tcPr>
                  <w:tcW w:w="2658" w:type="pct"/>
                  <w:noWrap w:val="0"/>
                  <w:vAlign w:val="center"/>
                </w:tcPr>
                <w:p>
                  <w:pPr>
                    <w:pStyle w:val="95"/>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落实国务院《“十三五”节能减排综合工作方案》《安徽省煤炭消费减量替代工作方案（2018-2020 年）》要求。</w:t>
                  </w:r>
                </w:p>
              </w:tc>
              <w:tc>
                <w:tcPr>
                  <w:tcW w:w="1073" w:type="pct"/>
                  <w:noWrap w:val="0"/>
                  <w:vAlign w:val="center"/>
                </w:tcPr>
                <w:p>
                  <w:pPr>
                    <w:pStyle w:val="95"/>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属于高污染燃料禁燃区；本项目不使用高污染燃料。</w:t>
                  </w:r>
                </w:p>
              </w:tc>
              <w:tc>
                <w:tcPr>
                  <w:tcW w:w="480" w:type="pct"/>
                  <w:noWrap w:val="0"/>
                  <w:vAlign w:val="center"/>
                </w:tcPr>
                <w:p>
                  <w:pPr>
                    <w:pStyle w:val="95"/>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96"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水资源</w:t>
                  </w:r>
                </w:p>
              </w:tc>
              <w:tc>
                <w:tcPr>
                  <w:tcW w:w="491" w:type="pct"/>
                  <w:noWrap w:val="0"/>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水资源利用上线目标指标</w:t>
                  </w:r>
                </w:p>
              </w:tc>
              <w:tc>
                <w:tcPr>
                  <w:tcW w:w="2658" w:type="pct"/>
                  <w:noWrap w:val="0"/>
                  <w:vAlign w:val="center"/>
                </w:tcPr>
                <w:p>
                  <w:pPr>
                    <w:pStyle w:val="95"/>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据《安徽省人民政府办公厅关于印发安徽省实行最严格水资源管理制度考核办法的通知》（皖政办〔2013〕49号）、安徽省水利厅安徽省发展改革委《安徽省“十三五”水资源消耗总量和强度双控工作方案》（皖水资源〔2016〕145号）、《六安市人民政府关于实行最严格水资源管理制度的意见》（六政〔2014〕10 号）以及《六安市“十三五”水资源消耗总量和强度双控工作方案》（六水源〔2017〕18号）等文件要求，至2020年六安市用水总量控制在24.96亿m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；2020年万元国内生产总值用水量比2015年下降33%、万元工业增加值用水量比2015年下降25%、农田灌溉水有效利用系数达到0.515。</w:t>
                  </w:r>
                </w:p>
              </w:tc>
              <w:tc>
                <w:tcPr>
                  <w:tcW w:w="1073" w:type="pct"/>
                  <w:vMerge w:val="restart"/>
                  <w:noWrap w:val="0"/>
                  <w:vAlign w:val="center"/>
                </w:tcPr>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项目用水来自市政给水管网，用水量为</w:t>
                  </w:r>
                  <w:r>
                    <w:rPr>
                      <w:rFonts w:hint="default" w:ascii="Times New Roman" w:hAnsi="Times New Roman" w:cs="Times New Roman"/>
                      <w:color w:val="000000" w:themeColor="text1"/>
                      <w:szCs w:val="21"/>
                      <w:highlight w:val="none"/>
                      <w:lang w:val="en-US" w:eastAsia="zh-CN"/>
                      <w14:textFill>
                        <w14:solidFill>
                          <w14:schemeClr w14:val="tx1"/>
                        </w14:solidFill>
                      </w14:textFill>
                    </w:rPr>
                    <w:t>2.562</w:t>
                  </w:r>
                  <w:r>
                    <w:rPr>
                      <w:rFonts w:hint="default" w:ascii="Times New Roman" w:hAnsi="Times New Roman" w:cs="Times New Roman"/>
                      <w:color w:val="000000" w:themeColor="text1"/>
                      <w:szCs w:val="21"/>
                      <w:highlight w:val="none"/>
                      <w14:textFill>
                        <w14:solidFill>
                          <w14:schemeClr w14:val="tx1"/>
                        </w14:solidFill>
                      </w14:textFill>
                    </w:rPr>
                    <w:t>t/d，水资源消耗量较小。</w:t>
                  </w:r>
                </w:p>
              </w:tc>
              <w:tc>
                <w:tcPr>
                  <w:tcW w:w="480" w:type="pct"/>
                  <w:vMerge w:val="restart"/>
                  <w:noWrap w:val="0"/>
                  <w:vAlign w:val="center"/>
                </w:tcPr>
                <w:p>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96"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水资源一般管控区管控要求</w:t>
                  </w:r>
                </w:p>
              </w:tc>
              <w:tc>
                <w:tcPr>
                  <w:tcW w:w="2658" w:type="pct"/>
                  <w:noWrap w:val="0"/>
                  <w:vAlign w:val="center"/>
                </w:tcPr>
                <w:p>
                  <w:pPr>
                    <w:pStyle w:val="95"/>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落实《国务院办公厅关于印发实行最严格水资源管理制度考核办法的通知》《“十三五”水资源消耗总量和强度双控行动方案》《安徽省“十三五”水资源消耗总量和强度双控工作方案》《六安市“十三五”水资源消耗总量和强度双控工作方案》等要求。</w:t>
                  </w:r>
                </w:p>
              </w:tc>
              <w:tc>
                <w:tcPr>
                  <w:tcW w:w="1073" w:type="pct"/>
                  <w:vMerge w:val="continue"/>
                  <w:noWrap w:val="0"/>
                  <w:vAlign w:val="center"/>
                </w:tcPr>
                <w:p>
                  <w:pPr>
                    <w:rPr>
                      <w:rFonts w:hint="default" w:ascii="Times New Roman" w:hAnsi="Times New Roman" w:cs="Times New Roman"/>
                      <w:color w:val="000000" w:themeColor="text1"/>
                      <w:szCs w:val="21"/>
                      <w:highlight w:val="yellow"/>
                      <w14:textFill>
                        <w14:solidFill>
                          <w14:schemeClr w14:val="tx1"/>
                        </w14:solidFill>
                      </w14:textFill>
                    </w:rPr>
                  </w:pPr>
                </w:p>
              </w:tc>
              <w:tc>
                <w:tcPr>
                  <w:tcW w:w="480"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96"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土地资源</w:t>
                  </w:r>
                </w:p>
              </w:tc>
              <w:tc>
                <w:tcPr>
                  <w:tcW w:w="4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土地资源利用上线</w:t>
                  </w:r>
                </w:p>
              </w:tc>
              <w:tc>
                <w:tcPr>
                  <w:tcW w:w="2658" w:type="pct"/>
                  <w:noWrap w:val="0"/>
                  <w:vAlign w:val="center"/>
                </w:tcPr>
                <w:p>
                  <w:pPr>
                    <w:pStyle w:val="95"/>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土资源部关于安徽省土地利用总体规划（2006-2020年）有关指标调整的函》（国土资函〔2017〕355号）和《安徽省国土资源厅安徽省发展和改革委员会转发&lt;关于落实“十三五”单位国内生产总值建设用地使用面积下降目标的指导意见&gt;的通知》（皖国土资函〔2017〕126 号），到规划目标年（2020年），六安市土地利用将继续实施最严格的耕地保护制度，维护国家粮食安全；认真落实土地节约集约利用的各项政策，提高土地节约集约利用水平，保障经济社会发展的必要用地；明确差别化的土地利用政策，统筹区域土地利用，推进城乡经济社会发展一体化；协调土地利用与生态建设的关系，促进全市生态环境良性发展。</w:t>
                  </w:r>
                </w:p>
              </w:tc>
              <w:tc>
                <w:tcPr>
                  <w:tcW w:w="10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项目所在地属于舒城经济开发区</w:t>
                  </w:r>
                  <w:r>
                    <w:rPr>
                      <w:rFonts w:hint="default" w:ascii="Times New Roman" w:hAnsi="Times New Roman" w:cs="Times New Roman"/>
                      <w:color w:val="000000" w:themeColor="text1"/>
                      <w:sz w:val="21"/>
                      <w:szCs w:val="21"/>
                      <w:lang w:eastAsia="zh-CN"/>
                      <w14:textFill>
                        <w14:solidFill>
                          <w14:schemeClr w14:val="tx1"/>
                        </w14:solidFill>
                      </w14:textFill>
                    </w:rPr>
                    <w:t>城关园区</w:t>
                  </w:r>
                  <w:r>
                    <w:rPr>
                      <w:rFonts w:hint="default" w:ascii="Times New Roman" w:hAnsi="Times New Roman" w:cs="Times New Roman"/>
                      <w:color w:val="000000" w:themeColor="text1"/>
                      <w:sz w:val="21"/>
                      <w:szCs w:val="21"/>
                      <w14:textFill>
                        <w14:solidFill>
                          <w14:schemeClr w14:val="tx1"/>
                        </w14:solidFill>
                      </w14:textFill>
                    </w:rPr>
                    <w:t>，根据建设单位提供的</w:t>
                  </w:r>
                  <w:r>
                    <w:rPr>
                      <w:rFonts w:hint="default" w:ascii="Times New Roman" w:hAnsi="Times New Roman" w:cs="Times New Roman"/>
                      <w:color w:val="000000" w:themeColor="text1"/>
                      <w:kern w:val="0"/>
                      <w:sz w:val="21"/>
                      <w:szCs w:val="21"/>
                      <w:lang w:val="en-US" w:eastAsia="zh-CN"/>
                      <w14:textFill>
                        <w14:solidFill>
                          <w14:schemeClr w14:val="tx1"/>
                        </w14:solidFill>
                      </w14:textFill>
                    </w:rPr>
                    <w:t>土地房产</w:t>
                  </w:r>
                  <w:r>
                    <w:rPr>
                      <w:rFonts w:hint="default" w:ascii="Times New Roman" w:hAnsi="Times New Roman" w:cs="Times New Roman"/>
                      <w:color w:val="000000" w:themeColor="text1"/>
                      <w:kern w:val="0"/>
                      <w:sz w:val="21"/>
                      <w:szCs w:val="21"/>
                      <w14:textFill>
                        <w14:solidFill>
                          <w14:schemeClr w14:val="tx1"/>
                        </w14:solidFill>
                      </w14:textFill>
                    </w:rPr>
                    <w:t>证（</w:t>
                  </w:r>
                  <w:r>
                    <w:rPr>
                      <w:rFonts w:hint="default" w:ascii="Times New Roman" w:hAnsi="Times New Roman" w:cs="Times New Roman"/>
                      <w:color w:val="000000" w:themeColor="text1"/>
                      <w:kern w:val="0"/>
                      <w:sz w:val="21"/>
                      <w:szCs w:val="21"/>
                      <w:lang w:eastAsia="zh-CN"/>
                      <w14:textFill>
                        <w14:solidFill>
                          <w14:schemeClr w14:val="tx1"/>
                        </w14:solidFill>
                      </w14:textFill>
                    </w:rPr>
                    <w:t>皖</w:t>
                  </w:r>
                  <w:r>
                    <w:rPr>
                      <w:rFonts w:hint="default" w:ascii="Times New Roman" w:hAnsi="Times New Roman" w:eastAsia="宋体" w:cs="Times New Roman"/>
                      <w:color w:val="000000" w:themeColor="text1"/>
                      <w:sz w:val="21"/>
                      <w:szCs w:val="21"/>
                      <w:lang w:eastAsia="zh-CN"/>
                      <w14:textFill>
                        <w14:solidFill>
                          <w14:schemeClr w14:val="tx1"/>
                        </w14:solidFill>
                      </w14:textFill>
                    </w:rPr>
                    <w:t>舒</w:t>
                  </w:r>
                  <w:r>
                    <w:rPr>
                      <w:rFonts w:hint="default" w:ascii="Times New Roman" w:hAnsi="Times New Roman" w:cs="Times New Roman"/>
                      <w:color w:val="000000" w:themeColor="text1"/>
                      <w:sz w:val="21"/>
                      <w:szCs w:val="21"/>
                      <w:lang w:val="en-US" w:eastAsia="zh-CN"/>
                      <w14:textFill>
                        <w14:solidFill>
                          <w14:schemeClr w14:val="tx1"/>
                        </w14:solidFill>
                      </w14:textFill>
                    </w:rPr>
                    <w:t>字</w:t>
                  </w:r>
                  <w:r>
                    <w:rPr>
                      <w:rFonts w:hint="default" w:ascii="Times New Roman" w:hAnsi="Times New Roman" w:eastAsia="宋体" w:cs="Times New Roman"/>
                      <w:color w:val="000000" w:themeColor="text1"/>
                      <w:sz w:val="21"/>
                      <w:szCs w:val="21"/>
                      <w:lang w:eastAsia="zh-CN"/>
                      <w14:textFill>
                        <w14:solidFill>
                          <w14:schemeClr w14:val="tx1"/>
                        </w14:solidFill>
                      </w14:textFill>
                    </w:rPr>
                    <w:t>第</w:t>
                  </w:r>
                  <w:r>
                    <w:rPr>
                      <w:rFonts w:hint="default" w:ascii="Times New Roman" w:hAnsi="Times New Roman" w:cs="Times New Roman"/>
                      <w:color w:val="000000" w:themeColor="text1"/>
                      <w:sz w:val="21"/>
                      <w:szCs w:val="21"/>
                      <w:lang w:val="en-US" w:eastAsia="zh-CN"/>
                      <w14:textFill>
                        <w14:solidFill>
                          <w14:schemeClr w14:val="tx1"/>
                        </w14:solidFill>
                      </w14:textFill>
                    </w:rPr>
                    <w:t>00061096</w:t>
                  </w:r>
                  <w:r>
                    <w:rPr>
                      <w:rFonts w:hint="default" w:ascii="Times New Roman" w:hAnsi="Times New Roman" w:eastAsia="宋体" w:cs="Times New Roman"/>
                      <w:color w:val="000000" w:themeColor="text1"/>
                      <w:sz w:val="21"/>
                      <w:szCs w:val="21"/>
                      <w:lang w:eastAsia="zh-CN"/>
                      <w14:textFill>
                        <w14:solidFill>
                          <w14:schemeClr w14:val="tx1"/>
                        </w14:solidFill>
                      </w14:textFill>
                    </w:rPr>
                    <w:t>号</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，项目选址所在</w:t>
                  </w:r>
                  <w:r>
                    <w:rPr>
                      <w:rFonts w:hint="default" w:ascii="Times New Roman" w:hAnsi="Times New Roman" w:cs="Times New Roman"/>
                      <w:color w:val="000000" w:themeColor="text1"/>
                      <w:kern w:val="0"/>
                      <w:sz w:val="21"/>
                      <w:szCs w:val="21"/>
                      <w:lang w:val="en-US" w:eastAsia="zh-CN"/>
                      <w14:textFill>
                        <w14:solidFill>
                          <w14:schemeClr w14:val="tx1"/>
                        </w14:solidFill>
                      </w14:textFill>
                    </w:rPr>
                    <w:t>地</w:t>
                  </w:r>
                  <w:r>
                    <w:rPr>
                      <w:rFonts w:hint="default" w:ascii="Times New Roman" w:hAnsi="Times New Roman" w:cs="Times New Roman"/>
                      <w:color w:val="000000" w:themeColor="text1"/>
                      <w:kern w:val="0"/>
                      <w:sz w:val="21"/>
                      <w:szCs w:val="21"/>
                      <w14:textFill>
                        <w14:solidFill>
                          <w14:schemeClr w14:val="tx1"/>
                        </w14:solidFill>
                      </w14:textFill>
                    </w:rPr>
                    <w:t>用地性质为工业用地，故</w:t>
                  </w:r>
                  <w:r>
                    <w:rPr>
                      <w:rFonts w:hint="default" w:ascii="Times New Roman" w:hAnsi="Times New Roman" w:cs="Times New Roman"/>
                      <w:color w:val="000000" w:themeColor="text1"/>
                      <w:sz w:val="21"/>
                      <w:szCs w:val="21"/>
                      <w14:textFill>
                        <w14:solidFill>
                          <w14:schemeClr w14:val="tx1"/>
                        </w14:solidFill>
                      </w14:textFill>
                    </w:rPr>
                    <w:t>本项目用地性质符合区域规划要求。</w:t>
                  </w:r>
                </w:p>
                <w:p>
                  <w:pPr>
                    <w:spacing w:line="24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项目建设不新增工业用地，符合管控要求。</w:t>
                  </w:r>
                </w:p>
              </w:tc>
              <w:tc>
                <w:tcPr>
                  <w:tcW w:w="480"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96"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土地资源一般管控区管控要求</w:t>
                  </w:r>
                </w:p>
              </w:tc>
              <w:tc>
                <w:tcPr>
                  <w:tcW w:w="2658" w:type="pct"/>
                  <w:noWrap w:val="0"/>
                  <w:vAlign w:val="center"/>
                </w:tcPr>
                <w:p>
                  <w:pPr>
                    <w:pStyle w:val="95"/>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落实《安徽省土地利用总体规划（2006-2020年）调整方案》《关于落实“十三五”单位国内生产总值建设用地使用面积下降目标的指导意见的通知》《国土资源“十三五”规划纲要》《安徽省国土资源“十三五”规划》调整方案》等要求。</w:t>
                  </w:r>
                </w:p>
              </w:tc>
              <w:tc>
                <w:tcPr>
                  <w:tcW w:w="1073" w:type="pct"/>
                  <w:vMerge w:val="continue"/>
                  <w:noWrap w:val="0"/>
                  <w:vAlign w:val="center"/>
                </w:tcPr>
                <w:p>
                  <w:pPr>
                    <w:rPr>
                      <w:rFonts w:hint="default" w:ascii="Times New Roman" w:hAnsi="Times New Roman" w:cs="Times New Roman"/>
                      <w:color w:val="000000" w:themeColor="text1"/>
                      <w:szCs w:val="21"/>
                      <w14:textFill>
                        <w14:solidFill>
                          <w14:schemeClr w14:val="tx1"/>
                        </w14:solidFill>
                      </w14:textFill>
                    </w:rPr>
                  </w:pPr>
                </w:p>
              </w:tc>
              <w:tc>
                <w:tcPr>
                  <w:tcW w:w="480"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生态环境</w:t>
            </w:r>
            <w:r>
              <w:rPr>
                <w:rFonts w:hint="default" w:ascii="Times New Roman" w:hAnsi="Times New Roman" w:cs="Times New Roman"/>
                <w:color w:val="000000" w:themeColor="text1"/>
                <w:sz w:val="24"/>
                <w14:textFill>
                  <w14:solidFill>
                    <w14:schemeClr w14:val="tx1"/>
                  </w14:solidFill>
                </w14:textFill>
              </w:rPr>
              <w:t>准入清单</w:t>
            </w:r>
          </w:p>
          <w:p>
            <w:pPr>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根据《长江经济带战略环境评价安徽省六安市“三线一单”文本》，本项目选址所在地属于生态环境重点管控单元，根据</w:t>
            </w:r>
            <w:r>
              <w:rPr>
                <w:rFonts w:hint="default" w:ascii="Times New Roman" w:hAnsi="Times New Roman" w:eastAsia="宋体" w:cs="Times New Roman"/>
                <w:color w:val="000000" w:themeColor="text1"/>
                <w:kern w:val="0"/>
                <w:sz w:val="24"/>
                <w:szCs w:val="24"/>
                <w14:textFill>
                  <w14:solidFill>
                    <w14:schemeClr w14:val="tx1"/>
                  </w14:solidFill>
                </w14:textFill>
              </w:rPr>
              <w:t>《安徽舒城经济开发区总体发展规划（2021-2035年）环境影响报告书》</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与舒城县经济开发区生态</w:t>
            </w:r>
            <w:r>
              <w:rPr>
                <w:rFonts w:hint="default" w:ascii="Times New Roman" w:hAnsi="Times New Roman" w:eastAsia="宋体" w:cs="Times New Roman"/>
                <w:color w:val="000000" w:themeColor="text1"/>
                <w:sz w:val="24"/>
                <w:szCs w:val="24"/>
                <w14:textFill>
                  <w14:solidFill>
                    <w14:schemeClr w14:val="tx1"/>
                  </w14:solidFill>
                </w14:textFill>
              </w:rPr>
              <w:t>环境准入清单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符合性分析见下表</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2"/>
              <w:spacing w:line="240" w:lineRule="auto"/>
              <w:rPr>
                <w:rFonts w:hint="default" w:ascii="Times New Roman" w:hAnsi="Times New Roman" w:cs="Times New Roman"/>
                <w:bCs/>
                <w:color w:val="000000" w:themeColor="text1"/>
                <w:sz w:val="24"/>
                <w:highlight w:val="none"/>
                <w:lang w:val="zh-CN"/>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表1-</w:t>
            </w:r>
            <w:r>
              <w:rPr>
                <w:rFonts w:hint="default" w:ascii="Times New Roman" w:hAnsi="Times New Roman"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highlight w:val="none"/>
                <w14:textFill>
                  <w14:solidFill>
                    <w14:schemeClr w14:val="tx1"/>
                  </w14:solidFill>
                </w14:textFill>
              </w:rPr>
              <w:t xml:space="preserve"> </w:t>
            </w:r>
            <w:r>
              <w:rPr>
                <w:rFonts w:hint="default" w:ascii="Times New Roman" w:hAnsi="Times New Roman" w:cs="Times New Roman"/>
                <w:bCs/>
                <w:color w:val="000000" w:themeColor="text1"/>
                <w:sz w:val="24"/>
                <w:highlight w:val="none"/>
                <w:lang w:val="zh-CN"/>
                <w14:textFill>
                  <w14:solidFill>
                    <w14:schemeClr w14:val="tx1"/>
                  </w14:solidFill>
                </w14:textFill>
              </w:rPr>
              <w:t>舒城经开区生态环境准入清单</w:t>
            </w:r>
          </w:p>
          <w:tbl>
            <w:tblPr>
              <w:tblStyle w:val="31"/>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91"/>
              <w:gridCol w:w="739"/>
              <w:gridCol w:w="2301"/>
              <w:gridCol w:w="1967"/>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blHeader/>
              </w:trPr>
              <w:tc>
                <w:tcPr>
                  <w:tcW w:w="397"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管控类别</w:t>
                  </w:r>
                </w:p>
              </w:tc>
              <w:tc>
                <w:tcPr>
                  <w:tcW w:w="49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主导产业</w:t>
                  </w: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行业类别</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c>
                <w:tcPr>
                  <w:tcW w:w="12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本项目情况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正面清单</w:t>
                  </w:r>
                </w:p>
              </w:tc>
              <w:tc>
                <w:tcPr>
                  <w:tcW w:w="4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装备制造</w:t>
                  </w:r>
                </w:p>
              </w:tc>
              <w:tc>
                <w:tcPr>
                  <w:tcW w:w="15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31黑色金属冶炼和压延加工业</w:t>
                  </w: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313钢压延加工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32有色金属冶炼和压延加工业</w:t>
                  </w: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324有色金属合金制造</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325有色金属压延加工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33金属制品业</w:t>
                  </w: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项目属于C3311金属结构制造、</w:t>
                  </w:r>
                  <w:r>
                    <w:rPr>
                      <w:rFonts w:hint="default" w:ascii="Times New Roman" w:hAnsi="Times New Roman" w:eastAsia="宋体" w:cs="Times New Roman"/>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3392有色金属铸造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34通用设备制造业</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35专用设备制造业</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36汽车制造业</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38电气机械和器材制造业</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C3857家用电力器具专用配件制造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40仪器仪表制造业</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农副产品加工业</w:t>
                  </w:r>
                </w:p>
              </w:tc>
              <w:tc>
                <w:tcPr>
                  <w:tcW w:w="15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r>
                    <w:rPr>
                      <w:rFonts w:hint="default" w:ascii="Times New Roman" w:hAnsi="Times New Roman" w:cs="Times New Roman"/>
                      <w:bCs/>
                      <w:color w:val="000000" w:themeColor="text1"/>
                      <w:sz w:val="21"/>
                      <w:szCs w:val="21"/>
                      <w14:textFill>
                        <w14:solidFill>
                          <w14:schemeClr w14:val="tx1"/>
                        </w14:solidFill>
                      </w14:textFill>
                    </w:rPr>
                    <w:t>农副产品加工业</w:t>
                  </w: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131谷物磨制</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132饲料加工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133植物油加工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134制糖业</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1353肉制品及副产品加工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136水产品加工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137蔬菜、菌类、水果和坚果加工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 w:hRule="atLeast"/>
              </w:trPr>
              <w:tc>
                <w:tcPr>
                  <w:tcW w:w="397"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545"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139其他农副食品加工</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电子信息</w:t>
                  </w:r>
                </w:p>
              </w:tc>
              <w:tc>
                <w:tcPr>
                  <w:tcW w:w="154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39电子信息业</w:t>
                  </w:r>
                </w:p>
              </w:tc>
              <w:tc>
                <w:tcPr>
                  <w:tcW w:w="132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其他</w:t>
                  </w:r>
                </w:p>
              </w:tc>
              <w:tc>
                <w:tcPr>
                  <w:tcW w:w="15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17纺织业</w:t>
                  </w:r>
                </w:p>
              </w:tc>
              <w:tc>
                <w:tcPr>
                  <w:tcW w:w="13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全部（有染色、印花工序的除外）</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8" w:hRule="atLeast"/>
              </w:trPr>
              <w:tc>
                <w:tcPr>
                  <w:tcW w:w="397" w:type="pct"/>
                  <w:vMerge w:val="continue"/>
                  <w:tcBorders>
                    <w:bottom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495" w:type="pct"/>
                  <w:vMerge w:val="continue"/>
                  <w:tcBorders>
                    <w:bottom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p>
              </w:tc>
              <w:tc>
                <w:tcPr>
                  <w:tcW w:w="1545" w:type="pct"/>
                  <w:tcBorders>
                    <w:bottom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18纺织服装、服饰业</w:t>
                  </w:r>
                </w:p>
              </w:tc>
              <w:tc>
                <w:tcPr>
                  <w:tcW w:w="1321" w:type="pct"/>
                  <w:vMerge w:val="continue"/>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240" w:type="pct"/>
                  <w:tcBorders>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893" w:type="pct"/>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w:t>
                  </w:r>
                </w:p>
              </w:tc>
              <w:tc>
                <w:tcPr>
                  <w:tcW w:w="286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禁止引入列入《产业结构调整指导目录（20</w:t>
                  </w:r>
                  <w:r>
                    <w:rPr>
                      <w:rFonts w:hint="default"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cs="Times New Roman"/>
                      <w:color w:val="000000" w:themeColor="text1"/>
                      <w:sz w:val="21"/>
                      <w:szCs w:val="21"/>
                      <w14:textFill>
                        <w14:solidFill>
                          <w14:schemeClr w14:val="tx1"/>
                        </w14:solidFill>
                      </w14:textFill>
                    </w:rPr>
                    <w:t>年本）》、《市场准入负面清单（2022年版）》、《外商投资准入特别管理措施（负面清单）（2021年版）》、《长江经济带发展负面清单指南》（试行，2022年版）、《巢湖流域禁止和限制的产业、产品目录》等相关产业政策中禁止或淘汰类项目、产品、工艺和设备。</w:t>
                  </w:r>
                </w:p>
              </w:tc>
              <w:tc>
                <w:tcPr>
                  <w:tcW w:w="12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本项目不属于《产业结构调整指导目录（20</w:t>
                  </w:r>
                  <w:r>
                    <w:rPr>
                      <w:rFonts w:hint="default"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cs="Times New Roman"/>
                      <w:color w:val="000000" w:themeColor="text1"/>
                      <w:sz w:val="21"/>
                      <w:szCs w:val="21"/>
                      <w14:textFill>
                        <w14:solidFill>
                          <w14:schemeClr w14:val="tx1"/>
                        </w14:solidFill>
                      </w14:textFill>
                    </w:rPr>
                    <w:t>年本）》等相关产业政策中禁止或淘汰类项目、产品、工艺和设备。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6" w:hRule="atLeast"/>
              </w:trPr>
              <w:tc>
                <w:tcPr>
                  <w:tcW w:w="893"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86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禁止新建、扩建不符合国家产能置换要求的严重过剩产能行业的项目。</w:t>
                  </w:r>
                </w:p>
              </w:tc>
              <w:tc>
                <w:tcPr>
                  <w:tcW w:w="12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项目不属于</w:t>
                  </w:r>
                  <w:r>
                    <w:rPr>
                      <w:rFonts w:hint="default" w:ascii="Times New Roman" w:hAnsi="Times New Roman" w:cs="Times New Roman"/>
                      <w:color w:val="000000" w:themeColor="text1"/>
                      <w:sz w:val="21"/>
                      <w:szCs w:val="21"/>
                      <w14:textFill>
                        <w14:solidFill>
                          <w14:schemeClr w14:val="tx1"/>
                        </w14:solidFill>
                      </w14:textFill>
                    </w:rPr>
                    <w:t>严重过剩产能行业</w:t>
                  </w: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893"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86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限制发展能源、资源消耗量或排污量较大但效益相对较好的企业，主要为除经开区规划主导产业外、非负面清单中的项目，具体项目引入需经充分环境影响论证。</w:t>
                  </w:r>
                </w:p>
              </w:tc>
              <w:tc>
                <w:tcPr>
                  <w:tcW w:w="12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14:textFill>
                        <w14:solidFill>
                          <w14:schemeClr w14:val="tx1"/>
                        </w14:solidFill>
                      </w14:textFill>
                    </w:rPr>
                    <w:t>属</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于C3311金属结构制造、C3392有色金属铸造</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C3857家用电力器具专用配件制造，</w:t>
                  </w:r>
                  <w:r>
                    <w:rPr>
                      <w:rFonts w:hint="default" w:ascii="Times New Roman" w:hAnsi="Times New Roman" w:cs="Times New Roman"/>
                      <w:color w:val="000000" w:themeColor="text1"/>
                      <w:sz w:val="21"/>
                      <w:szCs w:val="21"/>
                      <w:lang w:val="en-US" w:eastAsia="zh-CN"/>
                      <w14:textFill>
                        <w14:solidFill>
                          <w14:schemeClr w14:val="tx1"/>
                        </w14:solidFill>
                      </w14:textFill>
                    </w:rPr>
                    <w:t>属于</w:t>
                  </w:r>
                  <w:r>
                    <w:rPr>
                      <w:rFonts w:hint="default" w:ascii="Times New Roman" w:hAnsi="Times New Roman" w:cs="Times New Roman"/>
                      <w:color w:val="000000" w:themeColor="text1"/>
                      <w:sz w:val="21"/>
                      <w:szCs w:val="21"/>
                      <w14:textFill>
                        <w14:solidFill>
                          <w14:schemeClr w14:val="tx1"/>
                        </w14:solidFill>
                      </w14:textFill>
                    </w:rPr>
                    <w:t>经开区规划主导产业</w:t>
                  </w: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893"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86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排放含氮、磷等污染物的项目，按照不低于该项目氮、磷等重点水污染物年排放总量指标，实行减量替代。</w:t>
                  </w:r>
                </w:p>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与主导产业相关的“两高”类项目需按照国家及安徽省相关政策要求严格控制引入，并经过环境影响充分论证。</w:t>
                  </w:r>
                </w:p>
              </w:tc>
              <w:tc>
                <w:tcPr>
                  <w:tcW w:w="12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项目无生产废水外排，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r>
                    <w:rPr>
                      <w:rFonts w:hint="default" w:ascii="Times New Roman" w:hAnsi="Times New Roman" w:cs="Times New Roman"/>
                      <w:color w:val="000000" w:themeColor="text1"/>
                      <w:sz w:val="21"/>
                      <w:szCs w:val="21"/>
                      <w:lang w:val="en-US" w:eastAsia="zh-CN"/>
                      <w14:textFill>
                        <w14:solidFill>
                          <w14:schemeClr w14:val="tx1"/>
                        </w14:solidFill>
                      </w14:textFill>
                    </w:rPr>
                    <w:t>项目不属于</w:t>
                  </w:r>
                  <w:r>
                    <w:rPr>
                      <w:rFonts w:hint="default" w:ascii="Times New Roman" w:hAnsi="Times New Roman" w:cs="Times New Roman"/>
                      <w:color w:val="000000" w:themeColor="text1"/>
                      <w:sz w:val="21"/>
                      <w:szCs w:val="21"/>
                      <w14:textFill>
                        <w14:solidFill>
                          <w14:schemeClr w14:val="tx1"/>
                        </w14:solidFill>
                      </w14:textFill>
                    </w:rPr>
                    <w:t>“两高”类项目</w:t>
                  </w:r>
                  <w:r>
                    <w:rPr>
                      <w:rFonts w:hint="default" w:ascii="Times New Roman" w:hAnsi="Times New Roman" w:cs="Times New Roman"/>
                      <w:color w:val="000000" w:themeColor="text1"/>
                      <w:sz w:val="21"/>
                      <w:szCs w:val="21"/>
                      <w:lang w:eastAsia="zh-CN"/>
                      <w14:textFill>
                        <w14:solidFill>
                          <w14:schemeClr w14:val="tx1"/>
                        </w14:solidFill>
                      </w14:textFill>
                    </w:rPr>
                    <w:t>。</w:t>
                  </w:r>
                </w:p>
              </w:tc>
            </w:tr>
          </w:tbl>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由上表可知，本项目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4"/>
                <w:highlight w:val="none"/>
                <w14:textFill>
                  <w14:solidFill>
                    <w14:schemeClr w14:val="tx1"/>
                  </w14:solidFill>
                </w14:textFill>
              </w:rPr>
              <w:t>舒城经开区生态环境准入清单</w:t>
            </w:r>
            <w:r>
              <w:rPr>
                <w:rFonts w:hint="default" w:ascii="Times New Roman" w:hAnsi="Times New Roman" w:cs="Times New Roman"/>
                <w:color w:val="000000" w:themeColor="text1"/>
                <w:sz w:val="24"/>
                <w:highlight w:val="none"/>
                <w:lang w:val="en-US" w:eastAsia="zh-CN"/>
                <w14:textFill>
                  <w14:solidFill>
                    <w14:schemeClr w14:val="tx1"/>
                  </w14:solidFill>
                </w14:textFill>
              </w:rPr>
              <w:t>要求。</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综上所述，建设单位在落实“报告表”提出的各项污染防治措施及环境管理要求的前提下，本项目建设符合“三线一单”（即生态保护红线、环境质量底线、资源利用上线和</w:t>
            </w:r>
            <w:r>
              <w:rPr>
                <w:rFonts w:hint="default" w:ascii="Times New Roman" w:hAnsi="Times New Roman" w:cs="Times New Roman"/>
                <w:color w:val="000000" w:themeColor="text1"/>
                <w:sz w:val="24"/>
                <w:highlight w:val="none"/>
                <w:lang w:val="en-US" w:eastAsia="zh-CN"/>
                <w14:textFill>
                  <w14:solidFill>
                    <w14:schemeClr w14:val="tx1"/>
                  </w14:solidFill>
                </w14:textFill>
              </w:rPr>
              <w:t>生态环境</w:t>
            </w:r>
            <w:r>
              <w:rPr>
                <w:rFonts w:hint="default" w:ascii="Times New Roman" w:hAnsi="Times New Roman" w:cs="Times New Roman"/>
                <w:color w:val="000000" w:themeColor="text1"/>
                <w:sz w:val="24"/>
                <w:highlight w:val="none"/>
                <w14:textFill>
                  <w14:solidFill>
                    <w14:schemeClr w14:val="tx1"/>
                  </w14:solidFill>
                </w14:textFill>
              </w:rPr>
              <w:t>准入清单）的要求。</w:t>
            </w:r>
          </w:p>
          <w:p>
            <w:pPr>
              <w:pStyle w:val="81"/>
              <w:spacing w:line="360" w:lineRule="auto"/>
              <w:ind w:left="0" w:leftChars="0" w:firstLine="0" w:firstLineChars="0"/>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Cs w:val="24"/>
                <w:highlight w:val="none"/>
                <w14:textFill>
                  <w14:solidFill>
                    <w14:schemeClr w14:val="tx1"/>
                  </w14:solidFill>
                </w14:textFill>
              </w:rPr>
              <w:t>、</w:t>
            </w:r>
            <w:r>
              <w:rPr>
                <w:rFonts w:hint="default" w:ascii="Times New Roman" w:hAnsi="Times New Roman" w:cs="Times New Roman"/>
                <w:b/>
                <w:bCs/>
                <w:color w:val="000000" w:themeColor="text1"/>
                <w:szCs w:val="24"/>
                <w:highlight w:val="none"/>
                <w:lang w:eastAsia="zh-CN"/>
                <w14:textFill>
                  <w14:solidFill>
                    <w14:schemeClr w14:val="tx1"/>
                  </w14:solidFill>
                </w14:textFill>
              </w:rPr>
              <w:t>与</w:t>
            </w:r>
            <w:r>
              <w:rPr>
                <w:rFonts w:hint="default" w:ascii="Times New Roman" w:hAnsi="Times New Roman" w:cs="Times New Roman"/>
                <w:b/>
                <w:bCs/>
                <w:color w:val="000000" w:themeColor="text1"/>
                <w:szCs w:val="24"/>
                <w:highlight w:val="none"/>
                <w14:textFill>
                  <w14:solidFill>
                    <w14:schemeClr w14:val="tx1"/>
                  </w14:solidFill>
                </w14:textFill>
              </w:rPr>
              <w:t>《重点行业挥发性有机物综合治理方案》（环大气〔2019〕53号）符合性分析</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根据生态环境部2019年6月26日发布的关于印发《重点行业挥发性有机物综合治理方案》的通知，对照本项目，相符性分析如下表：</w:t>
            </w:r>
          </w:p>
          <w:p>
            <w:pPr>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表1-</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kern w:val="0"/>
                <w:sz w:val="24"/>
                <w:highlight w:val="none"/>
                <w14:textFill>
                  <w14:solidFill>
                    <w14:schemeClr w14:val="tx1"/>
                  </w14:solidFill>
                </w14:textFill>
              </w:rPr>
              <w:t xml:space="preserve"> 《重点行业挥发性有机物综合治理方案》符合性分析</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2"/>
              <w:gridCol w:w="231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7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文件要求</w:t>
                  </w:r>
                </w:p>
              </w:tc>
              <w:tc>
                <w:tcPr>
                  <w:tcW w:w="155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相符性</w:t>
                  </w:r>
                </w:p>
              </w:tc>
              <w:tc>
                <w:tcPr>
                  <w:tcW w:w="474"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bidi="ar"/>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7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鼓励加快低VOCs 含量涂料、油墨、胶粘剂等研发和生产。</w:t>
                  </w:r>
                </w:p>
              </w:tc>
              <w:tc>
                <w:tcPr>
                  <w:tcW w:w="155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项目运营期不使用含VOCs的溶剂型涂料、油墨、粘合剂等。</w:t>
                  </w:r>
                </w:p>
              </w:tc>
              <w:tc>
                <w:tcPr>
                  <w:tcW w:w="474"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71" w:type="pct"/>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p>
                  <w:pPr>
                    <w:keepNext w:val="0"/>
                    <w:keepLines w:val="0"/>
                    <w:pageBreakBefore w:val="0"/>
                    <w:widowControl/>
                    <w:kinsoku/>
                    <w:wordWrap/>
                    <w:overflowPunct/>
                    <w:topLinePunct w:val="0"/>
                    <w:autoSpaceDE/>
                    <w:autoSpaceDN/>
                    <w:bidi w:val="0"/>
                    <w:adjustRightInd w:val="0"/>
                    <w:snapToGrid w:val="0"/>
                    <w:spacing w:line="300" w:lineRule="exact"/>
                    <w:ind w:firstLine="42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规范工程设计。采用吸附处理工艺的，应满足《吸附法工业有机废气治理工程技术规范》要求。</w:t>
                  </w:r>
                </w:p>
              </w:tc>
              <w:tc>
                <w:tcPr>
                  <w:tcW w:w="1553" w:type="pct"/>
                  <w:noWrap w:val="0"/>
                  <w:vAlign w:val="center"/>
                </w:tcPr>
                <w:p>
                  <w:pP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项目运营期</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、压铸和脱膜工序的废气：车间密闭，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+两级活性炭装置处理后由15m高排气筒（DA001）排放；抛丸粉尘：抛丸机密闭，设置抽风管道，废气收集后经设备自带的布袋除尘装置处理，抛光粉尘：</w:t>
                  </w:r>
                  <w:r>
                    <w:rPr>
                      <w:rFonts w:hint="default" w:ascii="Times New Roman" w:hAnsi="Times New Roman" w:cs="Times New Roman"/>
                      <w:bCs/>
                      <w:color w:val="000000" w:themeColor="text1"/>
                      <w:szCs w:val="18"/>
                      <w:lang w:val="en-US" w:eastAsia="zh-CN"/>
                      <w14:textFill>
                        <w14:solidFill>
                          <w14:schemeClr w14:val="tx1"/>
                        </w14:solidFill>
                      </w14:textFill>
                    </w:rPr>
                    <w:t>经侧吸三面封闭集气罩</w:t>
                  </w:r>
                  <w:r>
                    <w:rPr>
                      <w:rFonts w:hint="default" w:ascii="Times New Roman" w:hAnsi="Times New Roman" w:eastAsia="宋体" w:cs="Times New Roman"/>
                      <w:bCs/>
                      <w:color w:val="000000" w:themeColor="text1"/>
                      <w:szCs w:val="18"/>
                      <w:lang w:val="en-US" w:eastAsia="zh-CN"/>
                      <w14:textFill>
                        <w14:solidFill>
                          <w14:schemeClr w14:val="tx1"/>
                        </w14:solidFill>
                      </w14:textFill>
                    </w:rPr>
                    <w:t>收集</w:t>
                  </w:r>
                  <w:r>
                    <w:rPr>
                      <w:rFonts w:hint="default" w:ascii="Times New Roman" w:hAnsi="Times New Roman" w:cs="Times New Roman"/>
                      <w:color w:val="000000" w:themeColor="text1"/>
                      <w:szCs w:val="21"/>
                      <w:lang w:val="en-US" w:eastAsia="zh-CN"/>
                      <w14:textFill>
                        <w14:solidFill>
                          <w14:schemeClr w14:val="tx1"/>
                        </w14:solidFill>
                      </w14:textFill>
                    </w:rPr>
                    <w:t>后经自带的湿式除尘器处理后和抛丸粉尘一起经15m高的排气筒（DA002）排放；危废库暂存废气：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危废库密闭，设置抽排风系统，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收集后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r>
                    <w:rPr>
                      <w:rFonts w:hint="default" w:ascii="Times New Roman" w:hAnsi="Times New Roman" w:cs="Times New Roman"/>
                      <w:color w:val="000000" w:themeColor="text1"/>
                      <w:szCs w:val="21"/>
                      <w14:textFill>
                        <w14:solidFill>
                          <w14:schemeClr w14:val="tx1"/>
                        </w14:solidFill>
                      </w14:textFill>
                    </w:rPr>
                    <w:t>处理</w:t>
                  </w:r>
                  <w:r>
                    <w:rPr>
                      <w:rFonts w:hint="default" w:ascii="Times New Roman" w:hAnsi="Times New Roman" w:cs="Times New Roman"/>
                      <w:color w:val="000000" w:themeColor="text1"/>
                      <w:szCs w:val="21"/>
                      <w:lang w:eastAsia="zh-CN"/>
                      <w14:textFill>
                        <w14:solidFill>
                          <w14:schemeClr w14:val="tx1"/>
                        </w14:solidFill>
                      </w14:textFill>
                    </w:rPr>
                    <w:t>后由</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高的排气筒</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（DA00</w:t>
                  </w:r>
                  <w:r>
                    <w:rPr>
                      <w:rFonts w:hint="default" w:ascii="Times New Roman" w:hAnsi="Times New Roman" w:cs="Times New Roman"/>
                      <w:color w:val="000000" w:themeColor="text1"/>
                      <w:sz w:val="21"/>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排放</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食堂油烟：经油烟净化器处理后经过烟道排放。</w:t>
                  </w:r>
                </w:p>
                <w:p>
                  <w:pPr>
                    <w:widowControl/>
                    <w:numPr>
                      <w:ilvl w:val="0"/>
                      <w:numId w:val="0"/>
                    </w:numPr>
                    <w:adjustRightInd w:val="0"/>
                    <w:snapToGrid w:val="0"/>
                    <w:rPr>
                      <w:rFonts w:hint="default" w:ascii="Times New Roman" w:hAnsi="Times New Roman" w:cs="Times New Roman"/>
                      <w:color w:val="000000" w:themeColor="text1"/>
                      <w:kern w:val="0"/>
                      <w:szCs w:val="21"/>
                      <w:shd w:val="clear" w:color="auto" w:fill="FFFFFF"/>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r>
                    <w:rPr>
                      <w:rFonts w:hint="default" w:ascii="Times New Roman" w:hAnsi="Times New Roman" w:cs="Times New Roman"/>
                      <w:color w:val="000000" w:themeColor="text1"/>
                      <w:kern w:val="0"/>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Cs w:val="21"/>
                      <w:lang w:bidi="ar"/>
                      <w14:textFill>
                        <w14:solidFill>
                          <w14:schemeClr w14:val="tx1"/>
                        </w14:solidFill>
                      </w14:textFill>
                    </w:rPr>
                    <w:t>）由《吸附法工业废气设计规范治理工程技术规范》(HJ2026-2013)中6.3.3.3：采用蜂窝状吸附剂时，气体流速宜低于1.2m/s，本项目活性炭吸附设施设计气体流速均低于1.2m/s，满足规范要求。</w:t>
                  </w:r>
                </w:p>
              </w:tc>
              <w:tc>
                <w:tcPr>
                  <w:tcW w:w="474"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符合</w:t>
                  </w:r>
                </w:p>
              </w:tc>
            </w:tr>
          </w:tbl>
          <w:p>
            <w:pPr>
              <w:pStyle w:val="81"/>
              <w:spacing w:line="360" w:lineRule="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综上分析，本项目建设符合《重点行业挥发性有机物综合治理方案》（环大气〔2019〕53号）中相关要求。</w:t>
            </w:r>
          </w:p>
          <w:p>
            <w:pPr>
              <w:pStyle w:val="81"/>
              <w:adjustRightInd w:val="0"/>
              <w:snapToGrid w:val="0"/>
              <w:spacing w:line="360" w:lineRule="auto"/>
              <w:ind w:left="0" w:leftChars="0" w:firstLine="0" w:firstLineChars="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6</w:t>
            </w:r>
            <w:r>
              <w:rPr>
                <w:rFonts w:hint="default" w:ascii="Times New Roman" w:hAnsi="Times New Roman" w:cs="Times New Roman"/>
                <w:b/>
                <w:bCs/>
                <w:color w:val="000000" w:themeColor="text1"/>
                <w:szCs w:val="24"/>
                <w14:textFill>
                  <w14:solidFill>
                    <w14:schemeClr w14:val="tx1"/>
                  </w14:solidFill>
                </w14:textFill>
              </w:rPr>
              <w:t>、</w:t>
            </w:r>
            <w:r>
              <w:rPr>
                <w:rFonts w:hint="default" w:ascii="Times New Roman" w:hAnsi="Times New Roman" w:cs="Times New Roman"/>
                <w:b/>
                <w:bCs/>
                <w:color w:val="000000" w:themeColor="text1"/>
                <w:szCs w:val="24"/>
                <w:highlight w:val="none"/>
                <w:lang w:eastAsia="zh-CN"/>
                <w14:textFill>
                  <w14:solidFill>
                    <w14:schemeClr w14:val="tx1"/>
                  </w14:solidFill>
                </w14:textFill>
              </w:rPr>
              <w:t>与</w:t>
            </w:r>
            <w:r>
              <w:rPr>
                <w:rFonts w:hint="default" w:ascii="Times New Roman" w:hAnsi="Times New Roman" w:cs="Times New Roman"/>
                <w:b/>
                <w:bCs/>
                <w:color w:val="000000" w:themeColor="text1"/>
                <w:szCs w:val="24"/>
                <w14:textFill>
                  <w14:solidFill>
                    <w14:schemeClr w14:val="tx1"/>
                  </w14:solidFill>
                </w14:textFill>
              </w:rPr>
              <w:t>《2020年挥发性有机物治理攻坚方案》符合性分析</w:t>
            </w:r>
          </w:p>
          <w:p>
            <w:pPr>
              <w:pStyle w:val="81"/>
              <w:adjustRightInd w:val="0"/>
              <w:snapToGrid w:val="0"/>
              <w:spacing w:line="360" w:lineRule="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根据生态环境部2020年6月24日发布《2020年挥发性有机物治理攻坚方案》，对照本项目，相符性分析如下表：</w:t>
            </w:r>
          </w:p>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表1-</w:t>
            </w:r>
            <w:r>
              <w:rPr>
                <w:rFonts w:hint="default" w:ascii="Times New Roman" w:hAnsi="Times New Roman" w:cs="Times New Roman"/>
                <w:b/>
                <w:bCs/>
                <w:color w:val="000000" w:themeColor="text1"/>
                <w:sz w:val="24"/>
                <w:lang w:val="en-US" w:eastAsia="zh-CN"/>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 xml:space="preserve"> 与《2020年挥发性有机物治理攻坚方案》符合性分析</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2"/>
              <w:gridCol w:w="1842"/>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3"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文件要求</w:t>
                  </w:r>
                </w:p>
              </w:tc>
              <w:tc>
                <w:tcPr>
                  <w:tcW w:w="1235"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相符性</w:t>
                  </w:r>
                </w:p>
              </w:tc>
              <w:tc>
                <w:tcPr>
                  <w:tcW w:w="470" w:type="pc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93" w:type="pct"/>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235" w:type="pct"/>
                  <w:vMerge w:val="restart"/>
                  <w:noWrap w:val="0"/>
                  <w:vAlign w:val="center"/>
                </w:tcPr>
                <w:p>
                  <w:pPr>
                    <w:widowControl/>
                    <w:adjustRightInd w:val="0"/>
                    <w:snapToGrid w:val="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项目运营期不使用溶剂型涂料、油墨、粘合剂等。</w:t>
                  </w:r>
                </w:p>
                <w:p>
                  <w:pP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项目运营期</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、压铸和脱膜工序的废气：车间密闭，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+两级活性炭装置处理后由15m高排气筒（DA001）排放；危废库暂存废气：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危废库密闭，设置抽排风系统，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收集后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r>
                    <w:rPr>
                      <w:rFonts w:hint="default" w:ascii="Times New Roman" w:hAnsi="Times New Roman" w:cs="Times New Roman"/>
                      <w:color w:val="000000" w:themeColor="text1"/>
                      <w:szCs w:val="21"/>
                      <w14:textFill>
                        <w14:solidFill>
                          <w14:schemeClr w14:val="tx1"/>
                        </w14:solidFill>
                      </w14:textFill>
                    </w:rPr>
                    <w:t>处理</w:t>
                  </w:r>
                  <w:r>
                    <w:rPr>
                      <w:rFonts w:hint="default" w:ascii="Times New Roman" w:hAnsi="Times New Roman" w:cs="Times New Roman"/>
                      <w:color w:val="000000" w:themeColor="text1"/>
                      <w:szCs w:val="21"/>
                      <w:lang w:eastAsia="zh-CN"/>
                      <w14:textFill>
                        <w14:solidFill>
                          <w14:schemeClr w14:val="tx1"/>
                        </w14:solidFill>
                      </w14:textFill>
                    </w:rPr>
                    <w:t>后由</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高的排气筒</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（DA00</w:t>
                  </w:r>
                  <w:r>
                    <w:rPr>
                      <w:rFonts w:hint="default" w:ascii="Times New Roman" w:hAnsi="Times New Roman" w:cs="Times New Roman"/>
                      <w:color w:val="000000" w:themeColor="text1"/>
                      <w:sz w:val="21"/>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排放</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70" w:type="pct"/>
                  <w:vMerge w:val="restart"/>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3" w:type="pct"/>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储存环节应采用密闭容器、包装袋，高效密封储罐，封闭式储库、料仓等。装卸、转移和输送环节应采用密闭管道或密闭容器、罐车等。生产和使用环节应采用密闭设备，或在密闭空间中操作并有效收集废气，或进行局部气体收集。处置环节应将盛装过VOCs物料的包装容器、含VOCs废料（渣、液）、废吸附剂等通过加盖、封装等方式密闭，妥善存放，不得随意丢弃。</w:t>
                  </w:r>
                </w:p>
              </w:tc>
              <w:tc>
                <w:tcPr>
                  <w:tcW w:w="1235" w:type="pct"/>
                  <w:vMerge w:val="continue"/>
                  <w:noWrap w:val="0"/>
                  <w:vAlign w:val="center"/>
                </w:tcPr>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Cs w:val="21"/>
                      <w14:textFill>
                        <w14:solidFill>
                          <w14:schemeClr w14:val="tx1"/>
                        </w14:solidFill>
                      </w14:textFill>
                    </w:rPr>
                  </w:pPr>
                </w:p>
              </w:tc>
              <w:tc>
                <w:tcPr>
                  <w:tcW w:w="470" w:type="pct"/>
                  <w:vMerge w:val="continue"/>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3" w:type="pct"/>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对现有VOCs废气收集率、治理设施同步运行率和去除率开展自查，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w:t>
                  </w:r>
                </w:p>
              </w:tc>
              <w:tc>
                <w:tcPr>
                  <w:tcW w:w="1235" w:type="pct"/>
                  <w:vMerge w:val="continue"/>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000000" w:themeColor="text1"/>
                      <w:szCs w:val="21"/>
                      <w14:textFill>
                        <w14:solidFill>
                          <w14:schemeClr w14:val="tx1"/>
                        </w14:solidFill>
                      </w14:textFill>
                    </w:rPr>
                  </w:pPr>
                </w:p>
              </w:tc>
              <w:tc>
                <w:tcPr>
                  <w:tcW w:w="470" w:type="pct"/>
                  <w:vMerge w:val="continue"/>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综上分析，本项目建设符合</w:t>
            </w:r>
            <w:r>
              <w:rPr>
                <w:rFonts w:hint="default" w:ascii="Times New Roman" w:hAnsi="Times New Roman" w:cs="Times New Roman"/>
                <w:color w:val="000000" w:themeColor="text1"/>
                <w:sz w:val="24"/>
                <w14:textFill>
                  <w14:solidFill>
                    <w14:schemeClr w14:val="tx1"/>
                  </w14:solidFill>
                </w14:textFill>
              </w:rPr>
              <w:t>《2020年挥发性有机物治理攻坚方案》</w:t>
            </w:r>
            <w:r>
              <w:rPr>
                <w:rFonts w:hint="default" w:ascii="Times New Roman" w:hAnsi="Times New Roman" w:cs="Times New Roman"/>
                <w:color w:val="000000" w:themeColor="text1"/>
                <w:kern w:val="0"/>
                <w:sz w:val="24"/>
                <w14:textFill>
                  <w14:solidFill>
                    <w14:schemeClr w14:val="tx1"/>
                  </w14:solidFill>
                </w14:textFill>
              </w:rPr>
              <w:t>中相关要求。</w:t>
            </w:r>
          </w:p>
          <w:p>
            <w:pPr>
              <w:pStyle w:val="81"/>
              <w:adjustRightInd w:val="0"/>
              <w:snapToGrid w:val="0"/>
              <w:spacing w:line="360" w:lineRule="auto"/>
              <w:ind w:left="0" w:leftChars="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7、与《关于</w:t>
            </w:r>
            <w:r>
              <w:rPr>
                <w:rFonts w:hint="default" w:ascii="Times New Roman" w:hAnsi="Times New Roman" w:eastAsia="宋体" w:cs="Times New Roman"/>
                <w:b/>
                <w:bCs/>
                <w:color w:val="000000" w:themeColor="text1"/>
                <w:szCs w:val="24"/>
                <w:lang w:val="en-US" w:eastAsia="zh-CN"/>
                <w14:textFill>
                  <w14:solidFill>
                    <w14:schemeClr w14:val="tx1"/>
                  </w14:solidFill>
                </w14:textFill>
              </w:rPr>
              <w:t>推动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铸造和锻压行业高质量发展的指导意见》（工信部联通装〔2023〕40号）相符性分析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2023年4月14日工业和信息化部、国家发展和改革委员会、生态环境部联合发布《关于推动铸造和锻压行业高质量发展的指导意见》（</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工信部联通装〔2023〕40号</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），自发布之日起，</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原《工业和信息化部办公厅发展改革委办公厅生态环境部办公厅关于重点区域严禁新增铸造产能的通知》(工信厅联装 [2019] 44号)同步废止，故本项目无需进行铸造产能置换工作。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8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与《关于推动铸</w:t>
            </w:r>
            <w:r>
              <w:rPr>
                <w:rFonts w:hint="default" w:ascii="Times New Roman" w:hAnsi="Times New Roman" w:cs="Times New Roman"/>
                <w:b/>
                <w:bCs/>
                <w:color w:val="000000" w:themeColor="text1"/>
                <w:sz w:val="24"/>
                <w:lang w:val="en-US" w:eastAsia="zh-CN"/>
                <w14:textFill>
                  <w14:solidFill>
                    <w14:schemeClr w14:val="tx1"/>
                  </w14:solidFill>
                </w14:textFill>
              </w:rPr>
              <w:t>造和锻压行业高质量发展的指导意见》相符性分析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917"/>
              <w:gridCol w:w="2388"/>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noWrap w:val="0"/>
                  <w:vAlign w:val="center"/>
                </w:tcPr>
                <w:p>
                  <w:pPr>
                    <w:topLinePunct/>
                    <w:autoSpaceDE w:val="0"/>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2626" w:type="pct"/>
                  <w:noWrap w:val="0"/>
                  <w:vAlign w:val="center"/>
                </w:tcPr>
                <w:p>
                  <w:pPr>
                    <w:topLinePunct/>
                    <w:autoSpaceDE w:val="0"/>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要求</w:t>
                  </w:r>
                </w:p>
              </w:tc>
              <w:tc>
                <w:tcPr>
                  <w:tcW w:w="1601" w:type="pct"/>
                  <w:noWrap w:val="0"/>
                  <w:vAlign w:val="center"/>
                </w:tcPr>
                <w:p>
                  <w:pPr>
                    <w:topLinePunct/>
                    <w:autoSpaceDE w:val="0"/>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486" w:type="pct"/>
                  <w:noWrap w:val="0"/>
                  <w:vAlign w:val="center"/>
                </w:tcPr>
                <w:p>
                  <w:pPr>
                    <w:topLinePunct/>
                    <w:autoSpaceDE w:val="0"/>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noWrap w:val="0"/>
                  <w:vAlign w:val="center"/>
                </w:tcPr>
                <w:p>
                  <w:pPr>
                    <w:topLinePunct/>
                    <w:autoSpaceDE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626" w:type="pct"/>
                  <w:noWrap w:val="0"/>
                  <w:vAlign w:val="center"/>
                </w:tcPr>
                <w:p>
                  <w:pPr>
                    <w:topLinePunct/>
                    <w:autoSpaceDE w:val="0"/>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发展先进铸造工艺与装备。重点发展高紧实度粘土砂自动化造型、高效自硬砂铸造、精密组芯造型、壳型铸造、离心铸造、金属型铸造、铁模覆砂、消失模/V法/实型铸</w:t>
                  </w:r>
                  <w:r>
                    <w:rPr>
                      <w:rFonts w:hint="default" w:ascii="Times New Roman" w:hAnsi="Times New Roman" w:cs="Times New Roman"/>
                      <w:color w:val="000000" w:themeColor="text1"/>
                      <w:szCs w:val="21"/>
                      <w:highlight w:val="none"/>
                      <w:lang w:val="en-US" w:eastAsia="zh-CN"/>
                      <w14:textFill>
                        <w14:solidFill>
                          <w14:schemeClr w14:val="tx1"/>
                        </w14:solidFill>
                      </w14:textFill>
                    </w:rPr>
                    <w:t>造、</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轻合金高压/挤压/差压/低压/半固态/</w:t>
                  </w:r>
                  <w:r>
                    <w:rPr>
                      <w:rFonts w:hint="default" w:ascii="Times New Roman" w:hAnsi="Times New Roman" w:cs="Times New Roman"/>
                      <w:color w:val="000000" w:themeColor="text1"/>
                      <w:szCs w:val="21"/>
                      <w:highlight w:val="none"/>
                      <w:lang w:val="en-US" w:eastAsia="zh-CN"/>
                      <w14:textFill>
                        <w14:solidFill>
                          <w14:schemeClr w14:val="tx1"/>
                        </w14:solidFill>
                      </w14:textFill>
                    </w:rPr>
                    <w:t>调压铸造、</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硅溶胶熔模铸造、短流程铸造、砂型3D打印等先进铸造工艺与装备。</w:t>
                  </w:r>
                </w:p>
              </w:tc>
              <w:tc>
                <w:tcPr>
                  <w:tcW w:w="1601" w:type="pct"/>
                  <w:noWrap w:val="0"/>
                  <w:vAlign w:val="center"/>
                </w:tcPr>
                <w:p>
                  <w:pPr>
                    <w:topLinePunct/>
                    <w:autoSpaceDE w:val="0"/>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本项目采用铝合金压铸工艺，属于轻合金高压铸造，属于先进铸造工艺</w:t>
                  </w:r>
                </w:p>
              </w:tc>
              <w:tc>
                <w:tcPr>
                  <w:tcW w:w="486" w:type="pct"/>
                  <w:noWrap w:val="0"/>
                  <w:vAlign w:val="center"/>
                </w:tcPr>
                <w:p>
                  <w:pPr>
                    <w:topLinePunct/>
                    <w:autoSpaceDE w:val="0"/>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noWrap w:val="0"/>
                  <w:vAlign w:val="center"/>
                </w:tcPr>
                <w:p>
                  <w:pPr>
                    <w:topLinePunct/>
                    <w:autoSpaceDE w:val="0"/>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626" w:type="pct"/>
                  <w:noWrap w:val="0"/>
                  <w:vAlign w:val="center"/>
                </w:tcPr>
                <w:p>
                  <w:pPr>
                    <w:topLinePunct/>
                    <w:autoSpaceDE w:val="0"/>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推进产业结构优化。铸造企业不得采用无芯工频感应电炉、无磁轭(≥0.25吨)铝壳中频感应电炉，水玻璃熔模精密铸造氯化铵硬化模壳、铝合金六氯乙烷精炼等淘汰类工艺和装备。</w:t>
                  </w:r>
                </w:p>
              </w:tc>
              <w:tc>
                <w:tcPr>
                  <w:tcW w:w="1601" w:type="pct"/>
                  <w:noWrap w:val="0"/>
                  <w:vAlign w:val="center"/>
                </w:tcPr>
                <w:p>
                  <w:pPr>
                    <w:topLinePunct/>
                    <w:autoSpaceDE w:val="0"/>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项目铝合金锭熔化</w:t>
                  </w:r>
                  <w:r>
                    <w:rPr>
                      <w:rFonts w:hint="default" w:ascii="Times New Roman" w:hAnsi="Times New Roman" w:eastAsia="宋体" w:cs="Times New Roman"/>
                      <w:color w:val="000000" w:themeColor="text1"/>
                      <w:highlight w:val="none"/>
                      <w:lang w:val="en-US" w:eastAsia="zh-CN"/>
                      <w14:textFill>
                        <w14:solidFill>
                          <w14:schemeClr w14:val="tx1"/>
                        </w14:solidFill>
                      </w14:textFill>
                    </w:rPr>
                    <w:t>使用燃气炉</w:t>
                  </w:r>
                  <w:r>
                    <w:rPr>
                      <w:rFonts w:hint="default" w:ascii="Times New Roman" w:hAnsi="Times New Roman" w:cs="Times New Roman"/>
                      <w:color w:val="000000" w:themeColor="text1"/>
                      <w:highlight w:val="none"/>
                      <w:lang w:val="en-US" w:eastAsia="zh-CN"/>
                      <w14:textFill>
                        <w14:solidFill>
                          <w14:schemeClr w14:val="tx1"/>
                        </w14:solidFill>
                      </w14:textFill>
                    </w:rPr>
                    <w:t>，不属于淘汰类工艺和装备</w:t>
                  </w:r>
                </w:p>
              </w:tc>
              <w:tc>
                <w:tcPr>
                  <w:tcW w:w="486" w:type="pct"/>
                  <w:noWrap w:val="0"/>
                  <w:vAlign w:val="center"/>
                </w:tcPr>
                <w:p>
                  <w:pPr>
                    <w:topLinePunct/>
                    <w:autoSpaceDE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noWrap w:val="0"/>
                  <w:vAlign w:val="center"/>
                </w:tcPr>
                <w:p>
                  <w:pPr>
                    <w:topLinePunct/>
                    <w:autoSpaceDE w:val="0"/>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2626" w:type="pct"/>
                  <w:noWrap w:val="0"/>
                  <w:vAlign w:val="center"/>
                </w:tcPr>
                <w:p>
                  <w:pPr>
                    <w:topLinePunct/>
                    <w:autoSpaceDE w:val="0"/>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提升环保治理水平。依法申领排污许可证，严格持证排污、按证排污并按排污许可证规定落实自行监测、台账记录、执行报告、信息公开等要求。铸造企业严格执行《铸造工业大气污染物排放标准》(GB 39726)及地方排放标准，加强无组织排放控制，不能稳定达标排放的，限期完成设施升级改造，不具备改造条件及改造后仍不能达标的，依法依规进行淘汰。</w:t>
                  </w:r>
                </w:p>
              </w:tc>
              <w:tc>
                <w:tcPr>
                  <w:tcW w:w="1601" w:type="pct"/>
                  <w:noWrap w:val="0"/>
                  <w:vAlign w:val="center"/>
                </w:tcPr>
                <w:p>
                  <w:pPr>
                    <w:topLinePunct/>
                    <w:autoSpaceDE w:val="0"/>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建设单位应当在本项目启动生产设施或者发生实际排污之前申请排污许可证，按排污许可证要求落实自行监测、台账等要求。本项目压铸工艺废气排放执行</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《铸造工业大气污染物排放标准》(GB39726</w:t>
                  </w:r>
                  <w:r>
                    <w:rPr>
                      <w:rFonts w:hint="default" w:ascii="Times New Roman" w:hAnsi="Times New Roman" w:cs="Times New Roman"/>
                      <w:color w:val="000000" w:themeColor="text1"/>
                      <w:szCs w:val="21"/>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中相关标准限值要求。</w:t>
                  </w:r>
                </w:p>
              </w:tc>
              <w:tc>
                <w:tcPr>
                  <w:tcW w:w="486" w:type="pct"/>
                  <w:noWrap w:val="0"/>
                  <w:vAlign w:val="center"/>
                </w:tcPr>
                <w:p>
                  <w:pPr>
                    <w:topLinePunct/>
                    <w:autoSpaceDE w:val="0"/>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bl>
          <w:p>
            <w:pPr>
              <w:pStyle w:val="81"/>
              <w:adjustRightInd w:val="0"/>
              <w:snapToGrid w:val="0"/>
              <w:spacing w:line="360" w:lineRule="auto"/>
              <w:ind w:left="0" w:leftChars="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8、与《铸造企业规范条件》（T/CFA0310021-2023）相符性分析</w:t>
            </w:r>
          </w:p>
          <w:p>
            <w:pPr>
              <w:pStyle w:val="81"/>
              <w:adjustRightInd w:val="0"/>
              <w:snapToGrid w:val="0"/>
              <w:spacing w:line="360" w:lineRule="auto"/>
              <w:ind w:left="0" w:leftChars="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与《铸造企业规范条件》（T/CFA0310021-2023）相符性分析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3049"/>
              <w:gridCol w:w="2940"/>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要求</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本项目情况</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企业的布局及厂址的确定应符合国家相关法律法规、产业政策以及各地方装备制造业和铸造行业的总体规划要求。</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本项目符合国家相关法律法规、产业政策。</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企业生产场所应依法取得土地使用权并符合土地使用性质。</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项目已取得土地房产证（皖舒字第00061096号），项目选址所在的厂房用地性质为工业用地。</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现有企业及新建企业上一年度（或近三年）最高销售收入应不低于表 1 的规定要求。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新建企业产铝合金压铸产能不低于3000t/a</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本项目年销售收入约</w:t>
                  </w:r>
                  <w:r>
                    <w:rPr>
                      <w:rFonts w:hint="default" w:ascii="Times New Roman" w:hAnsi="Times New Roman" w:cs="Times New Roman"/>
                      <w:color w:val="000000" w:themeColor="text1"/>
                      <w:szCs w:val="21"/>
                      <w:highlight w:val="none"/>
                      <w:lang w:val="en-US" w:eastAsia="zh-CN"/>
                      <w14:textFill>
                        <w14:solidFill>
                          <w14:schemeClr w14:val="tx1"/>
                        </w14:solidFill>
                      </w14:textFill>
                    </w:rPr>
                    <w:t>7千万</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元，原料</w:t>
                  </w:r>
                  <w:r>
                    <w:rPr>
                      <w:rFonts w:hint="default" w:ascii="Times New Roman" w:hAnsi="Times New Roman" w:cs="Times New Roman"/>
                      <w:color w:val="000000" w:themeColor="text1"/>
                      <w:szCs w:val="21"/>
                      <w:highlight w:val="none"/>
                      <w:lang w:val="en-US" w:eastAsia="zh-CN"/>
                      <w14:textFill>
                        <w14:solidFill>
                          <w14:schemeClr w14:val="tx1"/>
                        </w14:solidFill>
                      </w14:textFill>
                    </w:rPr>
                    <w:t>铝合金锭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用量为</w:t>
                  </w:r>
                  <w:r>
                    <w:rPr>
                      <w:rFonts w:hint="default" w:ascii="Times New Roman" w:hAnsi="Times New Roman" w:cs="Times New Roman"/>
                      <w:color w:val="000000" w:themeColor="text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00吨/年，不低于表1的规定要求。</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企业不应使用国家明令淘汰的生产工艺。不应采用粘土砂干型/芯、油砂制芯、七〇砂制型/芯等落后铸造工艺；粘土砂工艺批量生产铸件不应采用手工造型；水玻璃熔模精密铸造模壳硬化不应采用氯化铵硬化工艺；铝合金精炼不应采用六氯乙烷等有毒有害的精炼剂。</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本项目不采用粘土砂干型/芯、油砂制芯、七〇砂制型/芯等落后铸造工艺。</w:t>
                  </w:r>
                </w:p>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本项目不使用六氯乙烷等有毒有害的精炼剂，不使用国家明令淘汰的生产工艺。</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5</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新（改、扩）建粘土砂型铸造项目应采用自动化造型；新（改、扩）建熔模精密铸造项目不应采用水玻璃熔模精密铸造工艺。</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本项目不涉及</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6</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企业不应使用国家明令淘汰的生产装备，如：无芯工频感应电炉、0.25吨及以上无磁轭的铝壳中频感应电炉等。</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项目使用燃气炉，不使用国家明令淘汰的生产装备。</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7</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铸件生产企业采用冲天炉熔炼，其设备熔化率宜大于10吨/小时。</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本项目不涉及</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企业应按 HJ 1115、HJ 1200 的要求，取得排污许可证；宜按照 HJ 1251 的要求制定自行监测方案。</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项目运营后按照排污许可相关管理要求和环评要求，做好自行监测和监测质量保证与质量控制</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p>
              </w:tc>
              <w:tc>
                <w:tcPr>
                  <w:tcW w:w="20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企业大气污染物排放应符合 GB 39726 的要求。应配置完善的环保处理装置，废气、废水、噪声、工业固体废物等排放与处置措施应符合国家及地方环保法规和标准的规定。</w:t>
                  </w:r>
                </w:p>
              </w:tc>
              <w:tc>
                <w:tcPr>
                  <w:tcW w:w="1971"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本项目铸造废气大气污染物排放符合 《铸造工业大气污染物排放标准》（GB39726—2020）的要求。</w:t>
                  </w:r>
                  <w:r>
                    <w:rPr>
                      <w:rFonts w:hint="default" w:ascii="Times New Roman" w:hAnsi="Times New Roman" w:eastAsia="宋体" w:cs="Times New Roman"/>
                      <w:color w:val="000000" w:themeColor="text1"/>
                      <w:szCs w:val="21"/>
                      <w:highlight w:val="none"/>
                      <w14:textFill>
                        <w14:solidFill>
                          <w14:schemeClr w14:val="tx1"/>
                        </w14:solidFill>
                      </w14:textFill>
                    </w:rPr>
                    <w:t>建设单位在落实本次环评提出的各项污染治理措施以及严格执行“三同时”制度后，项目运营期产生的废水、废气、噪声和固废均可做到达标排放和合理处置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符合国家及地方环保法规和标准的规定。</w:t>
                  </w:r>
                </w:p>
              </w:tc>
              <w:tc>
                <w:tcPr>
                  <w:tcW w:w="613"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bl>
          <w:p>
            <w:pPr>
              <w:pStyle w:val="81"/>
              <w:adjustRightInd w:val="0"/>
              <w:snapToGrid w:val="0"/>
              <w:spacing w:line="360" w:lineRule="auto"/>
              <w:ind w:left="0" w:leftChars="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9、与《工业炉窑大气污染物综合治理方案》环大气办[2019]56号相符性分析</w:t>
            </w:r>
          </w:p>
          <w:p>
            <w:pPr>
              <w:pStyle w:val="94"/>
              <w:widowControl w:val="0"/>
              <w:autoSpaceDE w:val="0"/>
              <w:autoSpaceDN w:val="0"/>
              <w:adjustRightInd w:val="0"/>
              <w:spacing w:before="0" w:after="0"/>
              <w:jc w:val="cente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表1-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与《工业炉窑大气污染物综合治理方案》</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3596"/>
              <w:gridCol w:w="2751"/>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2410"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要求</w:t>
                  </w:r>
                </w:p>
              </w:tc>
              <w:tc>
                <w:tcPr>
                  <w:tcW w:w="18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本项目情况</w:t>
                  </w:r>
                </w:p>
              </w:tc>
              <w:tc>
                <w:tcPr>
                  <w:tcW w:w="41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2410"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8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本项目位于舒城经济开发区城关园区，本项目主要生产合力叉车脚踏板、洗衣机滚筒连接法兰盘</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和门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业扭簧法兰，</w:t>
                  </w:r>
                  <w:r>
                    <w:rPr>
                      <w:rFonts w:hint="default" w:ascii="Times New Roman" w:hAnsi="Times New Roman" w:cs="Times New Roman"/>
                      <w:color w:val="000000" w:themeColor="text1"/>
                      <w:szCs w:val="21"/>
                      <w:highlight w:val="none"/>
                      <w:lang w:val="en-US" w:eastAsia="zh-CN"/>
                      <w14:textFill>
                        <w14:solidFill>
                          <w14:schemeClr w14:val="tx1"/>
                        </w14:solidFill>
                      </w14:textFill>
                    </w:rPr>
                    <w:t>铝合金锭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熔化使用燃气炉，天燃气来源于市政管网，不新建煤气发生炉。</w:t>
                  </w:r>
                </w:p>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2023年4月14日《关于推动铸造和锻压行业高质量发展的指导意见》（工信部联通装〔2023〕40号）发布，原《工业和信息化部办公厅发展改革委办公厅生态环境部办公厅关于重点区域严禁新增铸造产能的通知》(工信厅联装 [2019] 44号)同步废止，故本项目不属于禁止类，无需进行铸造产能置换工作。</w:t>
                  </w:r>
                </w:p>
              </w:tc>
              <w:tc>
                <w:tcPr>
                  <w:tcW w:w="41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2410"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18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szCs w:val="21"/>
                      <w:highlight w:val="none"/>
                      <w:lang w:val="en-US" w:eastAsia="zh-CN"/>
                      <w14:textFill>
                        <w14:solidFill>
                          <w14:schemeClr w14:val="tx1"/>
                        </w14:solidFill>
                      </w14:textFill>
                    </w:rPr>
                    <w:t>铝合金锭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熔化使用燃气炉，以天然气为燃料，属于清洁低碳能源。</w:t>
                  </w:r>
                </w:p>
              </w:tc>
              <w:tc>
                <w:tcPr>
                  <w:tcW w:w="41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w:t>
                  </w:r>
                </w:p>
              </w:tc>
              <w:tc>
                <w:tcPr>
                  <w:tcW w:w="2410"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实施污染深度治理。推进工业炉窑全面达标排放。已有行业排放标准的工业炉窑，严格执行行业排放标准相关规定，配套建设高效脱硫脱硝除尘设施，确保稳定达标排放。已制定更严格地方排放标准的，按地方标准执行</w:t>
                  </w:r>
                </w:p>
              </w:tc>
              <w:tc>
                <w:tcPr>
                  <w:tcW w:w="18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燃气炉</w:t>
                  </w:r>
                  <w:r>
                    <w:rPr>
                      <w:rFonts w:hint="default" w:ascii="Times New Roman" w:hAnsi="Times New Roman" w:cs="Times New Roman"/>
                      <w:color w:val="000000" w:themeColor="text1"/>
                      <w:szCs w:val="21"/>
                      <w:highlight w:val="none"/>
                      <w14:textFill>
                        <w14:solidFill>
                          <w14:schemeClr w14:val="tx1"/>
                        </w14:solidFill>
                      </w14:textFill>
                    </w:rPr>
                    <w:t>排放的污染因子和污染物满足工业炉窑大气污染物综合治理方案中排放标准要</w:t>
                  </w:r>
                  <w:r>
                    <w:rPr>
                      <w:rFonts w:hint="default" w:ascii="Times New Roman" w:hAnsi="Times New Roman" w:cs="Times New Roman"/>
                      <w:color w:val="000000" w:themeColor="text1"/>
                      <w:szCs w:val="21"/>
                      <w:highlight w:val="none"/>
                      <w:lang w:val="en-US" w:eastAsia="zh-CN"/>
                      <w14:textFill>
                        <w14:solidFill>
                          <w14:schemeClr w14:val="tx1"/>
                        </w14:solidFill>
                      </w14:textFill>
                    </w:rPr>
                    <w:t>求。</w:t>
                  </w:r>
                </w:p>
              </w:tc>
              <w:tc>
                <w:tcPr>
                  <w:tcW w:w="41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w:t>
                  </w:r>
                </w:p>
              </w:tc>
              <w:tc>
                <w:tcPr>
                  <w:tcW w:w="2410"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w:t>
                  </w:r>
                </w:p>
              </w:tc>
              <w:tc>
                <w:tcPr>
                  <w:tcW w:w="18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严格控制物料的输送</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针对熔化烟气收集：在熔铝炉四周设置围挡，仅保留一个物料进出通道，上方设置集气罩，对废气进行包围收集。</w:t>
                  </w:r>
                </w:p>
              </w:tc>
              <w:tc>
                <w:tcPr>
                  <w:tcW w:w="41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5</w:t>
                  </w:r>
                </w:p>
              </w:tc>
              <w:tc>
                <w:tcPr>
                  <w:tcW w:w="2410"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立健全监测监控体系。加强重点污染源自动监控体系建设。排气口高度超过45米的高架源，纳入重点排污单位名录，督促企业安装烟气排放自动监控设施。钢铁、焦化、水泥、平板玻璃、陶瓷、氮肥、有色金属冶炼、再生有色金属等行业，严格按照排污许可管理规定安装和运行自动监控设施</w:t>
                  </w:r>
                </w:p>
              </w:tc>
              <w:tc>
                <w:tcPr>
                  <w:tcW w:w="184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both"/>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本项目按照《排污许可证申请与核发技术规范</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金属铸造工业》（HJ</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1115-2020）、《排污单位自行监测技术指南金属铸造工业》（HJ</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1251-2022）中相关监测要求提出废气自行监测计划。</w:t>
                  </w:r>
                </w:p>
              </w:tc>
              <w:tc>
                <w:tcPr>
                  <w:tcW w:w="41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3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通过上述分析，</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本</w:t>
            </w:r>
            <w:r>
              <w:rPr>
                <w:rFonts w:hint="default" w:ascii="Times New Roman" w:hAnsi="Times New Roman" w:cs="Times New Roman"/>
                <w:color w:val="000000" w:themeColor="text1"/>
                <w:kern w:val="0"/>
                <w:sz w:val="24"/>
                <w:szCs w:val="24"/>
                <w:highlight w:val="none"/>
                <w14:textFill>
                  <w14:solidFill>
                    <w14:schemeClr w14:val="tx1"/>
                  </w14:solidFill>
                </w14:textFill>
              </w:rPr>
              <w:t>项目符合《工业炉窑大气污染物综合治理方案》中的相关要求。</w:t>
            </w:r>
          </w:p>
          <w:p>
            <w:pPr>
              <w:pStyle w:val="81"/>
              <w:adjustRightInd w:val="0"/>
              <w:snapToGrid w:val="0"/>
              <w:spacing w:line="360" w:lineRule="auto"/>
              <w:ind w:firstLine="0" w:firstLineChars="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10</w:t>
            </w:r>
            <w:r>
              <w:rPr>
                <w:rFonts w:hint="default" w:ascii="Times New Roman" w:hAnsi="Times New Roman" w:cs="Times New Roman"/>
                <w:b/>
                <w:bCs/>
                <w:color w:val="000000" w:themeColor="text1"/>
                <w:szCs w:val="24"/>
                <w14:textFill>
                  <w14:solidFill>
                    <w14:schemeClr w14:val="tx1"/>
                  </w14:solidFill>
                </w14:textFill>
              </w:rPr>
              <w:t>、与《安徽省大气办关于深入开展挥发性有机物污染治理工作的通知》皖大气办〔2021〕4号符合性分析</w:t>
            </w:r>
          </w:p>
          <w:p>
            <w:pPr>
              <w:pStyle w:val="81"/>
              <w:adjustRightInd w:val="0"/>
              <w:snapToGrid w:val="0"/>
              <w:spacing w:line="360" w:lineRule="auto"/>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本项目与《安徽省大气办关于深入开展挥发性有机物污染治理工作的通知》皖大气办〔2021〕4号文件符合性分析详见下表。</w:t>
            </w:r>
          </w:p>
          <w:p>
            <w:pPr>
              <w:pStyle w:val="81"/>
              <w:adjustRightInd w:val="0"/>
              <w:snapToGrid w:val="0"/>
              <w:spacing w:line="240" w:lineRule="auto"/>
              <w:ind w:firstLine="0" w:firstLineChars="0"/>
              <w:jc w:val="center"/>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b/>
                <w:bCs/>
                <w:color w:val="000000" w:themeColor="text1"/>
                <w:kern w:val="0"/>
                <w:szCs w:val="24"/>
                <w14:textFill>
                  <w14:solidFill>
                    <w14:schemeClr w14:val="tx1"/>
                  </w14:solidFill>
                </w14:textFill>
              </w:rPr>
              <w:t>表1-1</w:t>
            </w:r>
            <w:r>
              <w:rPr>
                <w:rFonts w:hint="default" w:ascii="Times New Roman" w:hAnsi="Times New Roman" w:cs="Times New Roman"/>
                <w:b/>
                <w:bCs/>
                <w:color w:val="000000" w:themeColor="text1"/>
                <w:kern w:val="0"/>
                <w:szCs w:val="24"/>
                <w:lang w:val="en-US" w:eastAsia="zh-CN"/>
                <w14:textFill>
                  <w14:solidFill>
                    <w14:schemeClr w14:val="tx1"/>
                  </w14:solidFill>
                </w14:textFill>
              </w:rPr>
              <w:t>1</w:t>
            </w:r>
            <w:r>
              <w:rPr>
                <w:rFonts w:hint="default" w:ascii="Times New Roman" w:hAnsi="Times New Roman" w:cs="Times New Roman"/>
                <w:b/>
                <w:bCs/>
                <w:color w:val="000000" w:themeColor="text1"/>
                <w:kern w:val="0"/>
                <w:szCs w:val="24"/>
                <w14:textFill>
                  <w14:solidFill>
                    <w14:schemeClr w14:val="tx1"/>
                  </w14:solidFill>
                </w14:textFill>
              </w:rPr>
              <w:t xml:space="preserve"> 与《安徽省大气办关于深入开展挥发性有机物污染治理工作的通知》符合性分析一览表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4150"/>
              <w:gridCol w:w="2188"/>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2" w:type="pct"/>
                  <w:noWrap w:val="0"/>
                  <w:vAlign w:val="center"/>
                </w:tcPr>
                <w:p>
                  <w:pPr>
                    <w:pStyle w:val="96"/>
                    <w:spacing w:line="240" w:lineRule="auto"/>
                    <w:ind w:firstLine="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类别</w:t>
                  </w:r>
                </w:p>
              </w:tc>
              <w:tc>
                <w:tcPr>
                  <w:tcW w:w="2784" w:type="pct"/>
                  <w:noWrap w:val="0"/>
                  <w:vAlign w:val="center"/>
                </w:tcPr>
                <w:p>
                  <w:pPr>
                    <w:pStyle w:val="96"/>
                    <w:spacing w:line="240" w:lineRule="auto"/>
                    <w:ind w:firstLine="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要求</w:t>
                  </w:r>
                </w:p>
              </w:tc>
              <w:tc>
                <w:tcPr>
                  <w:tcW w:w="1468" w:type="pct"/>
                  <w:noWrap w:val="0"/>
                  <w:vAlign w:val="center"/>
                </w:tcPr>
                <w:p>
                  <w:pPr>
                    <w:pStyle w:val="96"/>
                    <w:spacing w:line="240" w:lineRule="auto"/>
                    <w:ind w:firstLine="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本项目</w:t>
                  </w:r>
                </w:p>
              </w:tc>
              <w:tc>
                <w:tcPr>
                  <w:tcW w:w="415" w:type="pct"/>
                  <w:noWrap w:val="0"/>
                  <w:vAlign w:val="center"/>
                </w:tcPr>
                <w:p>
                  <w:pPr>
                    <w:pStyle w:val="96"/>
                    <w:spacing w:line="240" w:lineRule="auto"/>
                    <w:ind w:firstLine="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2" w:type="pct"/>
                  <w:noWrap w:val="0"/>
                  <w:vAlign w:val="center"/>
                </w:tcPr>
                <w:p>
                  <w:pPr>
                    <w:pStyle w:val="96"/>
                    <w:spacing w:line="240" w:lineRule="auto"/>
                    <w:ind w:firstLine="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重点推进源头削减</w:t>
                  </w:r>
                </w:p>
              </w:tc>
              <w:tc>
                <w:tcPr>
                  <w:tcW w:w="2784" w:type="pct"/>
                  <w:noWrap w:val="0"/>
                  <w:vAlign w:val="center"/>
                </w:tcPr>
                <w:p>
                  <w:pPr>
                    <w:pStyle w:val="96"/>
                    <w:spacing w:line="240" w:lineRule="auto"/>
                    <w:ind w:firstLine="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鼓励支持使用涂料、油墨、胶粘剂、涂层剂（树脂）、清洗剂等原辅材料的企业，进行低VOCs含量原辅材料的源头替代，重点在工业涂装、包装印刷、鞋革箱包制造、竹木制品胶合、电子等重点领域，推广VOCs含量低于10%原辅材料的源头替代，并纳入年度源头削减项目管理，实现“可替尽替、应代尽代”。</w:t>
                  </w:r>
                </w:p>
              </w:tc>
              <w:tc>
                <w:tcPr>
                  <w:tcW w:w="1468" w:type="pct"/>
                  <w:noWrap w:val="0"/>
                  <w:vAlign w:val="center"/>
                </w:tcPr>
                <w:p>
                  <w:pPr>
                    <w:widowControl/>
                    <w:adjustRightInd w:val="0"/>
                    <w:snapToGrid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项目运营期不使用溶剂型涂料、油墨、粘合剂等。</w:t>
                  </w:r>
                </w:p>
              </w:tc>
              <w:tc>
                <w:tcPr>
                  <w:tcW w:w="415" w:type="pct"/>
                  <w:noWrap w:val="0"/>
                  <w:vAlign w:val="center"/>
                </w:tcPr>
                <w:p>
                  <w:pPr>
                    <w:pStyle w:val="96"/>
                    <w:spacing w:line="240" w:lineRule="auto"/>
                    <w:ind w:firstLine="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2" w:type="pct"/>
                  <w:noWrap w:val="0"/>
                  <w:vAlign w:val="center"/>
                </w:tcPr>
                <w:p>
                  <w:pPr>
                    <w:pStyle w:val="96"/>
                    <w:spacing w:line="240" w:lineRule="auto"/>
                    <w:ind w:firstLine="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实施排污许可</w:t>
                  </w:r>
                </w:p>
              </w:tc>
              <w:tc>
                <w:tcPr>
                  <w:tcW w:w="2784" w:type="pct"/>
                  <w:noWrap w:val="0"/>
                  <w:vAlign w:val="center"/>
                </w:tcPr>
                <w:p>
                  <w:pPr>
                    <w:pStyle w:val="96"/>
                    <w:spacing w:line="240" w:lineRule="auto"/>
                    <w:ind w:firstLine="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468" w:type="pct"/>
                  <w:noWrap w:val="0"/>
                  <w:vAlign w:val="center"/>
                </w:tcPr>
                <w:p>
                  <w:pPr>
                    <w:pStyle w:val="96"/>
                    <w:spacing w:line="240" w:lineRule="auto"/>
                    <w:ind w:firstLine="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本项目排污许可管理类别为</w:t>
                  </w:r>
                  <w:r>
                    <w:rPr>
                      <w:rFonts w:hint="default" w:ascii="Times New Roman" w:hAnsi="Times New Roman" w:eastAsia="宋体" w:cs="Times New Roman"/>
                      <w:color w:val="000000" w:themeColor="text1"/>
                      <w:lang w:val="en-US" w:eastAsia="zh-CN"/>
                      <w14:textFill>
                        <w14:solidFill>
                          <w14:schemeClr w14:val="tx1"/>
                        </w14:solidFill>
                      </w14:textFill>
                    </w:rPr>
                    <w:t>简化</w:t>
                  </w:r>
                  <w:r>
                    <w:rPr>
                      <w:rFonts w:hint="default" w:ascii="Times New Roman" w:hAnsi="Times New Roman" w:eastAsia="宋体" w:cs="Times New Roman"/>
                      <w:color w:val="000000" w:themeColor="text1"/>
                      <w14:textFill>
                        <w14:solidFill>
                          <w14:schemeClr w14:val="tx1"/>
                        </w14:solidFill>
                      </w14:textFill>
                    </w:rPr>
                    <w:t>管理，本环评要求建设单位建立以排污许可核发为中心的VOCs管控措施。</w:t>
                  </w:r>
                </w:p>
              </w:tc>
              <w:tc>
                <w:tcPr>
                  <w:tcW w:w="415" w:type="pct"/>
                  <w:noWrap w:val="0"/>
                  <w:vAlign w:val="center"/>
                </w:tcPr>
                <w:p>
                  <w:pPr>
                    <w:pStyle w:val="96"/>
                    <w:spacing w:line="240" w:lineRule="auto"/>
                    <w:ind w:firstLine="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满足</w:t>
                  </w:r>
                </w:p>
              </w:tc>
            </w:tr>
          </w:tbl>
          <w:p>
            <w:pPr>
              <w:pStyle w:val="81"/>
              <w:adjustRightInd w:val="0"/>
              <w:snapToGrid w:val="0"/>
              <w:spacing w:line="360" w:lineRule="auto"/>
              <w:ind w:firstLine="0" w:firstLineChars="0"/>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11</w:t>
            </w:r>
            <w:r>
              <w:rPr>
                <w:rFonts w:hint="default" w:ascii="Times New Roman" w:hAnsi="Times New Roman" w:cs="Times New Roman"/>
                <w:b/>
                <w:bCs/>
                <w:color w:val="000000" w:themeColor="text1"/>
                <w:szCs w:val="24"/>
                <w14:textFill>
                  <w14:solidFill>
                    <w14:schemeClr w14:val="tx1"/>
                  </w14:solidFill>
                </w14:textFill>
              </w:rPr>
              <w:t>、与《安徽省“十四五”大气污染防治规划》（皖环发[2022]12号）相符性分析</w:t>
            </w:r>
          </w:p>
          <w:p>
            <w:pPr>
              <w:pStyle w:val="94"/>
              <w:widowControl w:val="0"/>
              <w:autoSpaceDE w:val="0"/>
              <w:autoSpaceDN w:val="0"/>
              <w:adjustRightInd w:val="0"/>
              <w:spacing w:before="0" w:after="0"/>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《安徽省“十四五”大气污染防治规划》</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3255"/>
              <w:gridCol w:w="3228"/>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2182"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要求</w:t>
                  </w:r>
                </w:p>
              </w:tc>
              <w:tc>
                <w:tcPr>
                  <w:tcW w:w="216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36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182"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严控“两高”行业盲目发展。严格环境准入，坚决遏制高耗能、高排放即“两高”行业盲目发展。严格落实国家产业规划、产业政策、“三线一单”、规划环评，以及产能置换、煤炭消费减量替代、区域污染物削减等要求，坚决叫停不符合要求的“两高”项目。严禁新增钢铁、焦化、电解铝、</w:t>
                  </w:r>
                  <w:r>
                    <w:rPr>
                      <w:rFonts w:hint="default" w:ascii="Times New Roman" w:hAnsi="Times New Roman" w:cs="Times New Roman"/>
                      <w:color w:val="000000" w:themeColor="text1"/>
                      <w:szCs w:val="21"/>
                      <w:highlight w:val="none"/>
                      <w14:textFill>
                        <w14:solidFill>
                          <w14:schemeClr w14:val="tx1"/>
                        </w14:solidFill>
                      </w14:textFill>
                    </w:rPr>
                    <w:t>铸造、</w:t>
                  </w:r>
                  <w:r>
                    <w:rPr>
                      <w:rFonts w:hint="default" w:ascii="Times New Roman" w:hAnsi="Times New Roman" w:cs="Times New Roman"/>
                      <w:color w:val="000000" w:themeColor="text1"/>
                      <w:szCs w:val="21"/>
                      <w14:textFill>
                        <w14:solidFill>
                          <w14:schemeClr w14:val="tx1"/>
                        </w14:solidFill>
                      </w14:textFill>
                    </w:rPr>
                    <w:t>水泥和平板玻璃等产能，严格执行钢铁、水泥、平板玻璃等行业产能置换实施办法，严控污染物排放总量。严格控制涉工业炉窑建设项目，原则上禁止新建燃料类煤气发生炉（园区现有企业统一建设的清洁煤制气中心除外）。严格限制高VOCs排放化工类建设项目，禁止建设生产VOCs含量限值不符合国家标准的涂料、油墨、胶粘剂等项目。</w:t>
                  </w:r>
                </w:p>
              </w:tc>
              <w:tc>
                <w:tcPr>
                  <w:tcW w:w="216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主要生产合力叉车脚踏板、洗衣机滚筒连接法兰盘</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和门业</w:t>
                  </w:r>
                  <w:r>
                    <w:rPr>
                      <w:rFonts w:hint="default" w:ascii="Times New Roman" w:hAnsi="Times New Roman" w:eastAsia="宋体" w:cs="Times New Roman"/>
                      <w:color w:val="000000" w:themeColor="text1"/>
                      <w:lang w:val="en-US" w:eastAsia="zh-CN"/>
                      <w14:textFill>
                        <w14:solidFill>
                          <w14:schemeClr w14:val="tx1"/>
                        </w14:solidFill>
                      </w14:textFill>
                    </w:rPr>
                    <w:t>扭簧法兰，</w:t>
                  </w:r>
                  <w:r>
                    <w:rPr>
                      <w:rFonts w:hint="default" w:ascii="Times New Roman" w:hAnsi="Times New Roman" w:eastAsia="宋体" w:cs="Times New Roman"/>
                      <w:color w:val="000000" w:themeColor="text1"/>
                      <w14:textFill>
                        <w14:solidFill>
                          <w14:schemeClr w14:val="tx1"/>
                        </w14:solidFill>
                      </w14:textFill>
                    </w:rPr>
                    <w:t>属于</w:t>
                  </w:r>
                  <w:r>
                    <w:rPr>
                      <w:rFonts w:hint="default" w:ascii="Times New Roman" w:hAnsi="Times New Roman" w:eastAsia="宋体" w:cs="Times New Roman"/>
                      <w:color w:val="000000" w:themeColor="text1"/>
                      <w:lang w:eastAsia="zh-CN"/>
                      <w14:textFill>
                        <w14:solidFill>
                          <w14:schemeClr w14:val="tx1"/>
                        </w14:solidFill>
                      </w14:textFill>
                    </w:rPr>
                    <w:t>C3311金属结构制造、C3392有色金属铸造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C3857家用电力器具专用配件制造</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不属于“两高”项目。</w:t>
                  </w:r>
                </w:p>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同时本项目使用的能源主要为水、电、天然气等，不涉及煤等燃料。</w:t>
                  </w:r>
                </w:p>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项目运营期不使用含VOCs的溶剂型涂料</w:t>
                  </w:r>
                  <w:r>
                    <w:rPr>
                      <w:rFonts w:hint="default" w:ascii="Times New Roman" w:hAnsi="Times New Roman" w:cs="Times New Roman"/>
                      <w:color w:val="000000" w:themeColor="text1"/>
                      <w14:textFill>
                        <w14:solidFill>
                          <w14:schemeClr w14:val="tx1"/>
                        </w14:solidFill>
                      </w14:textFill>
                    </w:rPr>
                    <w:t>、油墨、粘合剂等。</w:t>
                  </w:r>
                </w:p>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项目生产的</w:t>
                  </w:r>
                  <w:r>
                    <w:rPr>
                      <w:rFonts w:hint="default" w:ascii="Times New Roman" w:hAnsi="Times New Roman" w:eastAsia="宋体" w:cs="Times New Roman"/>
                      <w:color w:val="000000" w:themeColor="text1"/>
                      <w:lang w:val="en-US" w:eastAsia="zh-CN"/>
                      <w14:textFill>
                        <w14:solidFill>
                          <w14:schemeClr w14:val="tx1"/>
                        </w14:solidFill>
                      </w14:textFill>
                    </w:rPr>
                    <w:t>合力叉车脚踏板、洗衣机滚筒连接法兰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盘</w:t>
                  </w:r>
                  <w:r>
                    <w:rPr>
                      <w:rFonts w:hint="default" w:ascii="Times New Roman" w:hAnsi="Times New Roman" w:cs="Times New Roman"/>
                      <w:color w:val="000000" w:themeColor="text1"/>
                      <w:sz w:val="21"/>
                      <w:szCs w:val="21"/>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和门业扭簧</w:t>
                  </w:r>
                  <w:r>
                    <w:rPr>
                      <w:rFonts w:hint="default" w:ascii="Times New Roman" w:hAnsi="Times New Roman" w:eastAsia="宋体" w:cs="Times New Roman"/>
                      <w:color w:val="000000" w:themeColor="text1"/>
                      <w:lang w:val="en-US" w:eastAsia="zh-CN"/>
                      <w14:textFill>
                        <w14:solidFill>
                          <w14:schemeClr w14:val="tx1"/>
                        </w14:solidFill>
                      </w14:textFill>
                    </w:rPr>
                    <w:t>法兰</w:t>
                  </w:r>
                  <w:r>
                    <w:rPr>
                      <w:rFonts w:hint="default" w:ascii="Times New Roman" w:hAnsi="Times New Roman" w:eastAsia="宋体" w:cs="Times New Roman"/>
                      <w:color w:val="000000" w:themeColor="text1"/>
                      <w14:textFill>
                        <w14:solidFill>
                          <w14:schemeClr w14:val="tx1"/>
                        </w14:solidFill>
                      </w14:textFill>
                    </w:rPr>
                    <w:t>主要为</w:t>
                  </w:r>
                  <w:r>
                    <w:rPr>
                      <w:rFonts w:hint="default" w:ascii="Times New Roman" w:hAnsi="Times New Roman" w:cs="Times New Roman"/>
                      <w:color w:val="000000" w:themeColor="text1"/>
                      <w:lang w:eastAsia="zh-CN"/>
                      <w14:textFill>
                        <w14:solidFill>
                          <w14:schemeClr w14:val="tx1"/>
                        </w14:solidFill>
                      </w14:textFill>
                    </w:rPr>
                    <w:t>铝合金锭</w:t>
                  </w:r>
                  <w:r>
                    <w:rPr>
                      <w:rFonts w:hint="default" w:ascii="Times New Roman" w:hAnsi="Times New Roman" w:eastAsia="宋体" w:cs="Times New Roman"/>
                      <w:color w:val="000000" w:themeColor="text1"/>
                      <w14:textFill>
                        <w14:solidFill>
                          <w14:schemeClr w14:val="tx1"/>
                        </w14:solidFill>
                      </w14:textFill>
                    </w:rPr>
                    <w:t>铸造成型，铸造</w:t>
                  </w:r>
                  <w:r>
                    <w:rPr>
                      <w:rFonts w:hint="default" w:ascii="Times New Roman" w:hAnsi="Times New Roman" w:eastAsia="宋体" w:cs="Times New Roman"/>
                      <w:color w:val="000000" w:themeColor="text1"/>
                      <w:lang w:val="en-US" w:eastAsia="zh-CN"/>
                      <w14:textFill>
                        <w14:solidFill>
                          <w14:schemeClr w14:val="tx1"/>
                        </w14:solidFill>
                      </w14:textFill>
                    </w:rPr>
                    <w:t>行业相关政策要求如下：</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2023年4月14日工业和信息化部、国家发展和改革委员会、生态环境部联合发布《关于推动铸造和锻压行业高质量发展的指导意见》（工信部联通装〔2023〕40号），自发布之日起，原《工业和信息化部办公厅发展改革委办公厅生态环境部办公厅关于重点区域严禁新增铸造产能的通知》(工信厅联装 [2019] 44号)同步废止，故本项目不属于禁止类，无需进行铸造产能置换工作。</w:t>
                  </w:r>
                </w:p>
              </w:tc>
              <w:tc>
                <w:tcPr>
                  <w:tcW w:w="36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182"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业布局优化调整。皖北地区以建材、煤炭、砖瓦等行业为重点，合肥、芜湖、滁州、铜陵、池州等市以水泥、装备制造等行业为重点，优化产业布局。加强汽车及零部件、新能源汽车、基础装备及关键基础件、农业装备、物流设备及工程机械、节能环保装备、航空修理及配套设备、造船及船舶配套设备等产业集群建设，引导园区合理分工、突出优势、错位发展。</w:t>
                  </w:r>
                </w:p>
              </w:tc>
              <w:tc>
                <w:tcPr>
                  <w:tcW w:w="2164"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项目所在地属于舒城经济开发区</w:t>
                  </w:r>
                  <w:r>
                    <w:rPr>
                      <w:rFonts w:hint="default" w:ascii="Times New Roman" w:hAnsi="Times New Roman" w:cs="Times New Roman"/>
                      <w:color w:val="000000" w:themeColor="text1"/>
                      <w:sz w:val="21"/>
                      <w:szCs w:val="21"/>
                      <w:lang w:eastAsia="zh-CN"/>
                      <w14:textFill>
                        <w14:solidFill>
                          <w14:schemeClr w14:val="tx1"/>
                        </w14:solidFill>
                      </w14:textFill>
                    </w:rPr>
                    <w:t>城关园区</w:t>
                  </w:r>
                  <w:r>
                    <w:rPr>
                      <w:rFonts w:hint="default" w:ascii="Times New Roman" w:hAnsi="Times New Roman" w:cs="Times New Roman"/>
                      <w:color w:val="000000" w:themeColor="text1"/>
                      <w:sz w:val="21"/>
                      <w:szCs w:val="21"/>
                      <w14:textFill>
                        <w14:solidFill>
                          <w14:schemeClr w14:val="tx1"/>
                        </w14:solidFill>
                      </w14:textFill>
                    </w:rPr>
                    <w:t>，根据建设单位提供的</w:t>
                  </w:r>
                  <w:r>
                    <w:rPr>
                      <w:rFonts w:hint="default" w:ascii="Times New Roman" w:hAnsi="Times New Roman" w:cs="Times New Roman"/>
                      <w:color w:val="000000" w:themeColor="text1"/>
                      <w:kern w:val="0"/>
                      <w:sz w:val="21"/>
                      <w:szCs w:val="21"/>
                      <w:lang w:val="en-US" w:eastAsia="zh-CN"/>
                      <w14:textFill>
                        <w14:solidFill>
                          <w14:schemeClr w14:val="tx1"/>
                        </w14:solidFill>
                      </w14:textFill>
                    </w:rPr>
                    <w:t>土地房产</w:t>
                  </w:r>
                  <w:r>
                    <w:rPr>
                      <w:rFonts w:hint="default" w:ascii="Times New Roman" w:hAnsi="Times New Roman" w:cs="Times New Roman"/>
                      <w:color w:val="000000" w:themeColor="text1"/>
                      <w:kern w:val="0"/>
                      <w:sz w:val="21"/>
                      <w:szCs w:val="21"/>
                      <w14:textFill>
                        <w14:solidFill>
                          <w14:schemeClr w14:val="tx1"/>
                        </w14:solidFill>
                      </w14:textFill>
                    </w:rPr>
                    <w:t>证（</w:t>
                  </w:r>
                  <w:r>
                    <w:rPr>
                      <w:rFonts w:hint="default" w:ascii="Times New Roman" w:hAnsi="Times New Roman" w:cs="Times New Roman"/>
                      <w:color w:val="000000" w:themeColor="text1"/>
                      <w:kern w:val="0"/>
                      <w:sz w:val="21"/>
                      <w:szCs w:val="21"/>
                      <w:lang w:eastAsia="zh-CN"/>
                      <w14:textFill>
                        <w14:solidFill>
                          <w14:schemeClr w14:val="tx1"/>
                        </w14:solidFill>
                      </w14:textFill>
                    </w:rPr>
                    <w:t>皖</w:t>
                  </w:r>
                  <w:r>
                    <w:rPr>
                      <w:rFonts w:hint="default" w:ascii="Times New Roman" w:hAnsi="Times New Roman" w:eastAsia="宋体" w:cs="Times New Roman"/>
                      <w:color w:val="000000" w:themeColor="text1"/>
                      <w:sz w:val="21"/>
                      <w:szCs w:val="21"/>
                      <w:lang w:eastAsia="zh-CN"/>
                      <w14:textFill>
                        <w14:solidFill>
                          <w14:schemeClr w14:val="tx1"/>
                        </w14:solidFill>
                      </w14:textFill>
                    </w:rPr>
                    <w:t>舒</w:t>
                  </w:r>
                  <w:r>
                    <w:rPr>
                      <w:rFonts w:hint="default" w:ascii="Times New Roman" w:hAnsi="Times New Roman" w:cs="Times New Roman"/>
                      <w:color w:val="000000" w:themeColor="text1"/>
                      <w:sz w:val="21"/>
                      <w:szCs w:val="21"/>
                      <w:lang w:val="en-US" w:eastAsia="zh-CN"/>
                      <w14:textFill>
                        <w14:solidFill>
                          <w14:schemeClr w14:val="tx1"/>
                        </w14:solidFill>
                      </w14:textFill>
                    </w:rPr>
                    <w:t>字</w:t>
                  </w:r>
                  <w:r>
                    <w:rPr>
                      <w:rFonts w:hint="default" w:ascii="Times New Roman" w:hAnsi="Times New Roman" w:eastAsia="宋体" w:cs="Times New Roman"/>
                      <w:color w:val="000000" w:themeColor="text1"/>
                      <w:sz w:val="21"/>
                      <w:szCs w:val="21"/>
                      <w:lang w:eastAsia="zh-CN"/>
                      <w14:textFill>
                        <w14:solidFill>
                          <w14:schemeClr w14:val="tx1"/>
                        </w14:solidFill>
                      </w14:textFill>
                    </w:rPr>
                    <w:t>第</w:t>
                  </w:r>
                  <w:r>
                    <w:rPr>
                      <w:rFonts w:hint="default" w:ascii="Times New Roman" w:hAnsi="Times New Roman" w:cs="Times New Roman"/>
                      <w:color w:val="000000" w:themeColor="text1"/>
                      <w:sz w:val="21"/>
                      <w:szCs w:val="21"/>
                      <w:lang w:val="en-US" w:eastAsia="zh-CN"/>
                      <w14:textFill>
                        <w14:solidFill>
                          <w14:schemeClr w14:val="tx1"/>
                        </w14:solidFill>
                      </w14:textFill>
                    </w:rPr>
                    <w:t>00061096</w:t>
                  </w:r>
                  <w:r>
                    <w:rPr>
                      <w:rFonts w:hint="default" w:ascii="Times New Roman" w:hAnsi="Times New Roman" w:eastAsia="宋体" w:cs="Times New Roman"/>
                      <w:color w:val="000000" w:themeColor="text1"/>
                      <w:sz w:val="21"/>
                      <w:szCs w:val="21"/>
                      <w:lang w:eastAsia="zh-CN"/>
                      <w14:textFill>
                        <w14:solidFill>
                          <w14:schemeClr w14:val="tx1"/>
                        </w14:solidFill>
                      </w14:textFill>
                    </w:rPr>
                    <w:t>号</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，项目选址所在</w:t>
                  </w:r>
                  <w:r>
                    <w:rPr>
                      <w:rFonts w:hint="default" w:ascii="Times New Roman" w:hAnsi="Times New Roman" w:cs="Times New Roman"/>
                      <w:color w:val="000000" w:themeColor="text1"/>
                      <w:kern w:val="0"/>
                      <w:sz w:val="21"/>
                      <w:szCs w:val="21"/>
                      <w:lang w:val="en-US" w:eastAsia="zh-CN"/>
                      <w14:textFill>
                        <w14:solidFill>
                          <w14:schemeClr w14:val="tx1"/>
                        </w14:solidFill>
                      </w14:textFill>
                    </w:rPr>
                    <w:t>地</w:t>
                  </w:r>
                  <w:r>
                    <w:rPr>
                      <w:rFonts w:hint="default" w:ascii="Times New Roman" w:hAnsi="Times New Roman" w:cs="Times New Roman"/>
                      <w:color w:val="000000" w:themeColor="text1"/>
                      <w:kern w:val="0"/>
                      <w:sz w:val="21"/>
                      <w:szCs w:val="21"/>
                      <w14:textFill>
                        <w14:solidFill>
                          <w14:schemeClr w14:val="tx1"/>
                        </w14:solidFill>
                      </w14:textFill>
                    </w:rPr>
                    <w:t>用地性质为工业用地，故</w:t>
                  </w:r>
                  <w:r>
                    <w:rPr>
                      <w:rFonts w:hint="default" w:ascii="Times New Roman" w:hAnsi="Times New Roman" w:cs="Times New Roman"/>
                      <w:color w:val="000000" w:themeColor="text1"/>
                      <w:sz w:val="21"/>
                      <w:szCs w:val="21"/>
                      <w14:textFill>
                        <w14:solidFill>
                          <w14:schemeClr w14:val="tx1"/>
                        </w14:solidFill>
                      </w14:textFill>
                    </w:rPr>
                    <w:t>本项目用地性质符合区域规划要求。本</w:t>
                  </w:r>
                  <w:r>
                    <w:rPr>
                      <w:rFonts w:hint="default" w:ascii="Times New Roman" w:hAnsi="Times New Roman" w:cs="Times New Roman"/>
                      <w:color w:val="000000" w:themeColor="text1"/>
                      <w:szCs w:val="21"/>
                      <w14:textFill>
                        <w14:solidFill>
                          <w14:schemeClr w14:val="tx1"/>
                        </w14:solidFill>
                      </w14:textFill>
                    </w:rPr>
                    <w:t>项目满足园区产业定位和用地规划等要求。</w:t>
                  </w:r>
                </w:p>
              </w:tc>
              <w:tc>
                <w:tcPr>
                  <w:tcW w:w="36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28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182"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强化末端治理。加强挥发性有机物污染防治精细化管理，针对石化、化工、包装印刷、工业涂装等重点行业建立完善源头削减、过程控制和末端治理的VOCs全过程控制体系，实施VOCs排放总量控制。推动皖北地区胶合板、家具制造等产业集群升级改造，鼓励有机溶剂、涂料、油墨等行业生产低挥发性的有机原料，逐步实现原辅材料替代升级，减少原料中VOCs含量；推进开发区、企业集群因地制宜推广建设涉VOCs“绿岛”项目，推动涂装类统筹规划建设集中涂装中心，活性炭使用量大的统筹建设活性炭集中处理中心，有机溶剂使用量大的建设溶剂回收中心。</w:t>
                  </w:r>
                </w:p>
              </w:tc>
              <w:tc>
                <w:tcPr>
                  <w:tcW w:w="2164" w:type="pct"/>
                  <w:noWrap w:val="0"/>
                  <w:vAlign w:val="center"/>
                </w:tcPr>
                <w:p>
                  <w:pP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项目运营期</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、压铸和脱膜工序的废气：车间密闭，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+两级活性炭装置处理后由15m高排气筒（DA001）排放</w:t>
                  </w:r>
                  <w:r>
                    <w:rPr>
                      <w:rFonts w:hint="default" w:ascii="Times New Roman" w:hAnsi="Times New Roman"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autoSpaceDE w:val="0"/>
                    <w:autoSpaceDN/>
                    <w:bidi w:val="0"/>
                    <w:adjustRightInd w:val="0"/>
                    <w:snapToGrid w:val="0"/>
                    <w:spacing w:line="280" w:lineRule="exact"/>
                    <w:textAlignment w:val="auto"/>
                    <w:rPr>
                      <w:rFonts w:hint="default" w:ascii="Times New Roman" w:hAnsi="Times New Roman" w:cs="Times New Roman"/>
                      <w:color w:val="000000" w:themeColor="text1"/>
                      <w:szCs w:val="21"/>
                      <w14:textFill>
                        <w14:solidFill>
                          <w14:schemeClr w14:val="tx1"/>
                        </w14:solidFill>
                      </w14:textFill>
                    </w:rPr>
                  </w:pPr>
                </w:p>
              </w:tc>
              <w:tc>
                <w:tcPr>
                  <w:tcW w:w="366"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80" w:lineRule="exac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12</w:t>
            </w:r>
            <w:r>
              <w:rPr>
                <w:rFonts w:hint="default" w:ascii="Times New Roman" w:hAnsi="Times New Roman" w:cs="Times New Roman"/>
                <w:b/>
                <w:bCs/>
                <w:color w:val="000000" w:themeColor="text1"/>
                <w:sz w:val="24"/>
                <w14:textFill>
                  <w14:solidFill>
                    <w14:schemeClr w14:val="tx1"/>
                  </w14:solidFill>
                </w14:textFill>
              </w:rPr>
              <w:t>、与安徽省</w:t>
            </w:r>
            <w:r>
              <w:rPr>
                <w:rFonts w:hint="default" w:ascii="Times New Roman" w:hAnsi="Times New Roman" w:cs="Times New Roman"/>
                <w:b/>
                <w:bCs/>
                <w:color w:val="000000" w:themeColor="text1"/>
                <w:sz w:val="24"/>
                <w:lang w:val="en-US" w:eastAsia="zh-CN"/>
                <w14:textFill>
                  <w14:solidFill>
                    <w14:schemeClr w14:val="tx1"/>
                  </w14:solidFill>
                </w14:textFill>
              </w:rPr>
              <w:t>其他</w:t>
            </w:r>
            <w:r>
              <w:rPr>
                <w:rFonts w:hint="default" w:ascii="Times New Roman" w:hAnsi="Times New Roman" w:cs="Times New Roman"/>
                <w:b/>
                <w:bCs/>
                <w:color w:val="000000" w:themeColor="text1"/>
                <w:sz w:val="24"/>
                <w14:textFill>
                  <w14:solidFill>
                    <w14:schemeClr w14:val="tx1"/>
                  </w14:solidFill>
                </w14:textFill>
              </w:rPr>
              <w:t>相关环保政策符合性分析</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对照《安徽省挥发性有机物污染整治工作方案》、《安徽省2020年大气污染防治重点工作任务》</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皖大气办[2020]2号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相关政策要求，本项目的政策相符性分析汇总见下表。</w:t>
            </w:r>
          </w:p>
          <w:p>
            <w:pPr>
              <w:pStyle w:val="38"/>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w:t>
            </w:r>
            <w:r>
              <w:rPr>
                <w:rFonts w:hint="default" w:ascii="Times New Roman" w:hAnsi="Times New Roman" w:cs="Times New Roman"/>
                <w:b/>
                <w:bCs/>
                <w:color w:val="000000" w:themeColor="text1"/>
                <w:lang w:val="en-US" w:eastAsia="zh-CN"/>
                <w14:textFill>
                  <w14:solidFill>
                    <w14:schemeClr w14:val="tx1"/>
                  </w14:solidFill>
                </w14:textFill>
              </w:rPr>
              <w:t>13</w:t>
            </w:r>
            <w:r>
              <w:rPr>
                <w:rFonts w:hint="default" w:ascii="Times New Roman" w:hAnsi="Times New Roman" w:cs="Times New Roman"/>
                <w:b/>
                <w:bCs/>
                <w:color w:val="000000" w:themeColor="text1"/>
                <w14:textFill>
                  <w14:solidFill>
                    <w14:schemeClr w14:val="tx1"/>
                  </w14:solidFill>
                </w14:textFill>
              </w:rPr>
              <w:t xml:space="preserve"> 项目实施的政策相符性分析一览表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2335"/>
              <w:gridCol w:w="3084"/>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政策名称</w:t>
                  </w:r>
                </w:p>
              </w:tc>
              <w:tc>
                <w:tcPr>
                  <w:tcW w:w="1565"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相关要求</w:t>
                  </w:r>
                </w:p>
              </w:tc>
              <w:tc>
                <w:tcPr>
                  <w:tcW w:w="2067"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本项目情况</w:t>
                  </w:r>
                </w:p>
              </w:tc>
              <w:tc>
                <w:tcPr>
                  <w:tcW w:w="646"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《安徽省挥发性有机物污染整治工作方案》</w:t>
                  </w:r>
                </w:p>
              </w:tc>
              <w:tc>
                <w:tcPr>
                  <w:tcW w:w="1565"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新建、迁建VOCs排放量大的企业应入工业园区并符合规划要求，必须建设挥发性有机物污染治理设施，安装废气收集、回收或净化装置，原则上总净化效率不得低于90%。建立VOCs排放总量控制制度。</w:t>
                  </w:r>
                </w:p>
              </w:tc>
              <w:tc>
                <w:tcPr>
                  <w:tcW w:w="2067" w:type="pct"/>
                  <w:noWrap w:val="0"/>
                  <w:vAlign w:val="center"/>
                </w:tcPr>
                <w:p>
                  <w:pP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本项目位于</w:t>
                  </w:r>
                  <w:r>
                    <w:rPr>
                      <w:rFonts w:hint="default" w:ascii="Times New Roman" w:hAnsi="Times New Roman" w:cs="Times New Roman"/>
                      <w:color w:val="000000" w:themeColor="text1"/>
                      <w:sz w:val="21"/>
                      <w:szCs w:val="21"/>
                      <w:lang w:eastAsia="zh-CN"/>
                      <w14:textFill>
                        <w14:solidFill>
                          <w14:schemeClr w14:val="tx1"/>
                        </w14:solidFill>
                      </w14:textFill>
                    </w:rPr>
                    <w:t>安徽省六安市舒城县龙津大道光世集团院内</w:t>
                  </w:r>
                  <w:r>
                    <w:rPr>
                      <w:rFonts w:hint="default" w:ascii="Times New Roman" w:hAnsi="Times New Roman" w:eastAsia="宋体" w:cs="Times New Roman"/>
                      <w:color w:val="000000" w:themeColor="text1"/>
                      <w:sz w:val="21"/>
                      <w:szCs w:val="21"/>
                      <w:lang w:eastAsia="zh-CN"/>
                      <w14:textFill>
                        <w14:solidFill>
                          <w14:schemeClr w14:val="tx1"/>
                        </w14:solidFill>
                      </w14:textFill>
                    </w:rPr>
                    <w:t>，属于工业园区。</w:t>
                  </w:r>
                  <w:r>
                    <w:rPr>
                      <w:rFonts w:hint="default" w:ascii="Times New Roman" w:hAnsi="Times New Roman" w:cs="Times New Roman"/>
                      <w:color w:val="000000" w:themeColor="text1"/>
                      <w:szCs w:val="21"/>
                      <w:highlight w:val="none"/>
                      <w:lang w:val="en-US" w:eastAsia="zh-CN"/>
                      <w14:textFill>
                        <w14:solidFill>
                          <w14:schemeClr w14:val="tx1"/>
                        </w14:solidFill>
                      </w14:textFill>
                    </w:rPr>
                    <w:t>项目运营期</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、压铸和脱膜工序的废气：车间密闭，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+两级活性炭装置处理后由15m高排气筒（DA001）排放</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14:textFill>
                        <w14:solidFill>
                          <w14:schemeClr w14:val="tx1"/>
                        </w14:solidFill>
                      </w14:textFill>
                    </w:rPr>
                    <w:t>有机废气净化效率能达到90%。</w:t>
                  </w:r>
                </w:p>
              </w:tc>
              <w:tc>
                <w:tcPr>
                  <w:tcW w:w="646"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《安徽省2020年大气污染防治重点工作任务》</w:t>
                  </w:r>
                </w:p>
              </w:tc>
              <w:tc>
                <w:tcPr>
                  <w:tcW w:w="1565"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推广使用低VOCs含量涂料、油墨、胶粘剂；加强含VOCs物料储存、转移和输送、设备和管线组件泄露、敞开液面逸散以及工艺过程等VOCs排放管控。</w:t>
                  </w:r>
                </w:p>
              </w:tc>
              <w:tc>
                <w:tcPr>
                  <w:tcW w:w="2067"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项目运营期不使用涂料、油墨、胶粘剂等。</w:t>
                  </w:r>
                </w:p>
              </w:tc>
              <w:tc>
                <w:tcPr>
                  <w:tcW w:w="646" w:type="pct"/>
                  <w:noWrap w:val="0"/>
                  <w:vAlign w:val="center"/>
                </w:tcPr>
                <w:p>
                  <w:pPr>
                    <w:pStyle w:val="1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pPr>
              <w:pStyle w:val="81"/>
              <w:adjustRightInd w:val="0"/>
              <w:snapToGrid w:val="0"/>
              <w:spacing w:line="360" w:lineRule="auto"/>
              <w:ind w:left="0" w:leftChars="0" w:firstLine="0" w:firstLineChars="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13、与《铸造工业大气污染防治可行技术指南》（HJ1292-2023）相符性分析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①项目与《铸造工业大气污染防治可行技术指南》（HJ1292-2023）中无组织排放控制措施符合性分析</w:t>
            </w:r>
          </w:p>
          <w:p>
            <w:pPr>
              <w:pStyle w:val="94"/>
              <w:widowControl w:val="0"/>
              <w:autoSpaceDE w:val="0"/>
              <w:autoSpaceDN w:val="0"/>
              <w:adjustRightInd w:val="0"/>
              <w:spacing w:before="0" w:after="0"/>
              <w:jc w:val="cente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表1-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与《铸造工业大气污染防治可行技术指南》无组织排放控制措施</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652"/>
              <w:gridCol w:w="3596"/>
              <w:gridCol w:w="2099"/>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2848" w:type="pct"/>
                  <w:gridSpan w:val="2"/>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要求</w:t>
                  </w:r>
                </w:p>
              </w:tc>
              <w:tc>
                <w:tcPr>
                  <w:tcW w:w="140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本项目情况</w:t>
                  </w:r>
                </w:p>
              </w:tc>
              <w:tc>
                <w:tcPr>
                  <w:tcW w:w="41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restar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1</w:t>
                  </w:r>
                </w:p>
              </w:tc>
              <w:tc>
                <w:tcPr>
                  <w:tcW w:w="437" w:type="pct"/>
                  <w:vMerge w:val="restar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物料储存过程控制措施</w:t>
                  </w: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煤粉、膨润土等粉状物料和硅砂应袋装或罐装，并储存于封闭储库或半封闭料场（堆棚）中，半封闭料场（堆棚）应至少两面有围墙（围挡）及屋顶。</w:t>
                  </w:r>
                </w:p>
              </w:tc>
              <w:tc>
                <w:tcPr>
                  <w:tcW w:w="140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项目不涉及粉状物料</w:t>
                  </w:r>
                </w:p>
              </w:tc>
              <w:tc>
                <w:tcPr>
                  <w:tcW w:w="417" w:type="pct"/>
                  <w:noWrap w:val="0"/>
                  <w:vAlign w:val="center"/>
                </w:tcPr>
                <w:p>
                  <w:pPr>
                    <w:keepNext w:val="0"/>
                    <w:keepLines w:val="0"/>
                    <w:pageBreakBefore w:val="0"/>
                    <w:widowControl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生铁、废钢、铝合金锭、镁合金锭、铜合金锭、焦炭和铁合金等粒状、块状散装物料应储存于封闭储库、料仓中，或储存于半封闭料场（堆棚）中，或四周设置防风抑尘网、挡风墙，或采取覆盖措施。半封闭料场（堆棚）应至少两面有围墙（围挡）及屋顶；防风抑尘网、挡风墙高度应不低于堆存物料高度的1.1倍。</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铝合金锭</w:t>
                  </w:r>
                  <w:r>
                    <w:rPr>
                      <w:rFonts w:hint="default" w:ascii="Times New Roman" w:hAnsi="Times New Roman" w:eastAsia="宋体" w:cs="Times New Roman"/>
                      <w:b w:val="0"/>
                      <w:color w:val="000000" w:themeColor="text1"/>
                      <w:sz w:val="21"/>
                      <w:lang w:val="en-US" w:eastAsia="zh-CN"/>
                      <w14:textFill>
                        <w14:solidFill>
                          <w14:schemeClr w14:val="tx1"/>
                        </w14:solidFill>
                      </w14:textFill>
                    </w:rPr>
                    <w:t>存储于</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生产厂房一层</w:t>
                  </w:r>
                  <w:r>
                    <w:rPr>
                      <w:rFonts w:hint="default" w:ascii="Times New Roman" w:hAnsi="Times New Roman" w:eastAsia="宋体" w:cs="Times New Roman"/>
                      <w:b w:val="0"/>
                      <w:color w:val="000000" w:themeColor="text1"/>
                      <w:sz w:val="21"/>
                      <w:lang w:val="en-US" w:eastAsia="zh-CN"/>
                      <w14:textFill>
                        <w14:solidFill>
                          <w14:schemeClr w14:val="tx1"/>
                        </w14:solidFill>
                      </w14:textFill>
                    </w:rPr>
                    <w:t>内的压铸原料堆放区内。</w:t>
                  </w:r>
                </w:p>
              </w:tc>
              <w:tc>
                <w:tcPr>
                  <w:tcW w:w="41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醇基涂料、树脂、固化剂、稀释剂、清洗剂等VOCs物料应储存于密闭的容器、包装袋、储库中；盛装VOCs物料的容器或包装袋应存放于室内，或存放于设置有雨棚、遮阳和防渗设施的专用场地。盛装VOCs物料的容器或包装袋在非取用状态时应加盖、封口，保持密闭。敞开液面VOCs无组织排放控制要求，应符合GB 37822的规定。</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本项目与压铸工序有关的VOCs物料为脱模剂，密封桶装存放于厂区辅料仓库内。辅料仓库地面混凝土硬化上方刷环氧树脂涂料进行重点防渗。</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7" w:type="pct"/>
                  <w:vMerge w:val="restar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2</w:t>
                  </w:r>
                </w:p>
              </w:tc>
              <w:tc>
                <w:tcPr>
                  <w:tcW w:w="437" w:type="pct"/>
                  <w:vMerge w:val="restar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物料运输和转移过程控制措施</w:t>
                  </w: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铸造用砂、混配土等粉状物料应采用气力输送设备、管状或带式输送机、螺旋输送机、吨包袋密封装盛等密闭方式输送；粒状、块状散装物料采用封闭通廊的皮带、管状或带式输送机、吨包袋密封装盛等封闭方式输送，并减少转运点和缩短输送距离。</w:t>
                  </w:r>
                </w:p>
              </w:tc>
              <w:tc>
                <w:tcPr>
                  <w:tcW w:w="1407" w:type="pct"/>
                  <w:vMerge w:val="restar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项目铸造原料为铝合金锭，使用</w:t>
                  </w:r>
                  <w:r>
                    <w:rPr>
                      <w:rFonts w:hint="default" w:ascii="Times New Roman" w:hAnsi="Times New Roman" w:eastAsia="宋体" w:cs="Times New Roman"/>
                      <w:b w:val="0"/>
                      <w:color w:val="000000" w:themeColor="text1"/>
                      <w:sz w:val="21"/>
                      <w14:textFill>
                        <w14:solidFill>
                          <w14:schemeClr w14:val="tx1"/>
                        </w14:solidFill>
                      </w14:textFill>
                    </w:rPr>
                    <w:t>吨包袋密封装盛</w:t>
                  </w:r>
                  <w:r>
                    <w:rPr>
                      <w:rFonts w:hint="default" w:ascii="Times New Roman" w:hAnsi="Times New Roman" w:eastAsia="宋体" w:cs="Times New Roman"/>
                      <w:b w:val="0"/>
                      <w:color w:val="000000" w:themeColor="text1"/>
                      <w:sz w:val="21"/>
                      <w:lang w:val="en-US" w:eastAsia="zh-CN"/>
                      <w14:textFill>
                        <w14:solidFill>
                          <w14:schemeClr w14:val="tx1"/>
                        </w14:solidFill>
                      </w14:textFill>
                    </w:rPr>
                    <w:t>输送，不涉及粉状、粒状等物料</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粉状物料的运输车辆采用密闭罐车；粒状、块状散装物料的运输车辆采用封闭车厢或苫盖严密。</w:t>
                  </w:r>
                </w:p>
              </w:tc>
              <w:tc>
                <w:tcPr>
                  <w:tcW w:w="140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除尘器卸灰口应采取密闭措施，除尘灰采取袋装、罐装等密闭方式收集、存放和运输，不得直接卸落到地面。</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项目除尘器</w:t>
                  </w:r>
                  <w:r>
                    <w:rPr>
                      <w:rFonts w:hint="default" w:ascii="Times New Roman" w:hAnsi="Times New Roman" w:eastAsia="宋体" w:cs="Times New Roman"/>
                      <w:b w:val="0"/>
                      <w:color w:val="000000" w:themeColor="text1"/>
                      <w:sz w:val="21"/>
                      <w14:textFill>
                        <w14:solidFill>
                          <w14:schemeClr w14:val="tx1"/>
                        </w14:solidFill>
                      </w14:textFill>
                    </w:rPr>
                    <w:t>卸灰口</w:t>
                  </w:r>
                  <w:r>
                    <w:rPr>
                      <w:rFonts w:hint="default" w:ascii="Times New Roman" w:hAnsi="Times New Roman" w:eastAsia="宋体" w:cs="Times New Roman"/>
                      <w:b w:val="0"/>
                      <w:color w:val="000000" w:themeColor="text1"/>
                      <w:sz w:val="21"/>
                      <w:lang w:val="en-US" w:eastAsia="zh-CN"/>
                      <w14:textFill>
                        <w14:solidFill>
                          <w14:schemeClr w14:val="tx1"/>
                        </w14:solidFill>
                      </w14:textFill>
                    </w:rPr>
                    <w:t>日常封闭，</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高温布袋除尘器收集的烟粉尘采用密封袋装暂存于项目危废暂存房内，定期委托有资质单位处置。</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转移、输送过程中产尘点应采取集气除尘措施，或喷淋（雾）等抑尘措施。固定作业的产尘点宜优先采用收尘技术，在不影响生产和安全的前提下，尽量提高收尘罩的密闭性；间歇式、非固定的产尘点，宜采用喷淋（雾）等抑尘技术。</w:t>
                  </w:r>
                </w:p>
              </w:tc>
              <w:tc>
                <w:tcPr>
                  <w:tcW w:w="1407" w:type="pct"/>
                  <w:noWrap w:val="0"/>
                  <w:vAlign w:val="center"/>
                </w:tcPr>
                <w:p>
                  <w:pPr>
                    <w:keepNext w:val="0"/>
                    <w:keepLines w:val="0"/>
                    <w:widowControl/>
                    <w:suppressLineNumbers w:val="0"/>
                    <w:jc w:val="left"/>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针对压铸废气、熔化烟尘收集：在每台压铸机及熔铝炉上方设置半密闭式集气罩</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left="0" w:leftChars="0" w:firstLine="0" w:firstLineChars="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转移VOCs物料时，应采用密闭容器或密闭管道输送。</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本项目与压铸工序有关的VOCs物料为脱模剂，采用桶装密封后进行转移。</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restar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3</w:t>
                  </w:r>
                </w:p>
              </w:tc>
              <w:tc>
                <w:tcPr>
                  <w:tcW w:w="437" w:type="pct"/>
                  <w:vMerge w:val="restart"/>
                  <w:noWrap w:val="0"/>
                  <w:vAlign w:val="center"/>
                </w:tcPr>
                <w:p>
                  <w:pPr>
                    <w:keepNext w:val="0"/>
                    <w:keepLines w:val="0"/>
                    <w:pageBreakBefore w:val="0"/>
                    <w:widowControl/>
                    <w:suppressLineNumbers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kern w:val="0"/>
                      <w:sz w:val="21"/>
                      <w:szCs w:val="20"/>
                      <w:lang w:val="en-US" w:eastAsia="zh-CN" w:bidi="ar"/>
                      <w14:textFill>
                        <w14:solidFill>
                          <w14:schemeClr w14:val="tx1"/>
                        </w14:solidFill>
                      </w14:textFill>
                    </w:rPr>
                    <w:t>工艺生产过程控制措施</w:t>
                  </w:r>
                </w:p>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原辅材料入炉前宜经机械预处理，清除其中的杂质。</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项目购置的原料为铝合金锭，无需进行预处理。</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冲天炉加料口应为负压状态，防止污染物外泄。</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项目不涉及冲天炉。</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keepNext w:val="0"/>
                    <w:keepLines w:val="0"/>
                    <w:pageBreakBefore w:val="0"/>
                    <w:widowControl/>
                    <w:suppressLineNumbers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kern w:val="0"/>
                      <w:sz w:val="21"/>
                      <w:szCs w:val="20"/>
                      <w:lang w:val="en-US" w:eastAsia="zh-CN" w:bidi="ar"/>
                      <w14:textFill>
                        <w14:solidFill>
                          <w14:schemeClr w14:val="tx1"/>
                        </w14:solidFill>
                      </w14:textFill>
                    </w:rPr>
                    <w:t>合箱、落砂、开箱、清砂、打磨等操作宜固定作业工位或场地，便于采取防尘措施。</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w:t>
                  </w:r>
                  <w:r>
                    <w:rPr>
                      <w:rFonts w:hint="default" w:ascii="Times New Roman" w:hAnsi="Times New Roman" w:eastAsia="宋体" w:cs="Times New Roman"/>
                      <w:b w:val="0"/>
                      <w:color w:val="000000" w:themeColor="text1"/>
                      <w:kern w:val="0"/>
                      <w:sz w:val="21"/>
                      <w:szCs w:val="20"/>
                      <w:lang w:val="en-US" w:eastAsia="zh-CN" w:bidi="ar"/>
                      <w14:textFill>
                        <w14:solidFill>
                          <w14:schemeClr w14:val="tx1"/>
                        </w14:solidFill>
                      </w14:textFill>
                    </w:rPr>
                    <w:t>合箱、落砂、开箱、清砂、打磨等工序。</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keepNext w:val="0"/>
                    <w:keepLines w:val="0"/>
                    <w:pageBreakBefore w:val="0"/>
                    <w:widowControl/>
                    <w:suppressLineNumbers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kern w:val="0"/>
                      <w:sz w:val="21"/>
                      <w:szCs w:val="20"/>
                      <w:lang w:val="en-US" w:eastAsia="zh-CN" w:bidi="ar"/>
                      <w14:textFill>
                        <w14:solidFill>
                          <w14:schemeClr w14:val="tx1"/>
                        </w14:solidFill>
                      </w14:textFill>
                    </w:rPr>
                    <w:t>球化、孕育、调质、炉外精炼、除气等金属液处理宜定点处理，并安装集气罩和配备除尘设施。</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w:t>
                  </w:r>
                  <w:r>
                    <w:rPr>
                      <w:rFonts w:hint="default" w:ascii="Times New Roman" w:hAnsi="Times New Roman" w:eastAsia="宋体" w:cs="Times New Roman"/>
                      <w:b w:val="0"/>
                      <w:color w:val="000000" w:themeColor="text1"/>
                      <w:kern w:val="0"/>
                      <w:sz w:val="21"/>
                      <w:szCs w:val="20"/>
                      <w:lang w:val="en-US" w:eastAsia="zh-CN" w:bidi="ar"/>
                      <w14:textFill>
                        <w14:solidFill>
                          <w14:schemeClr w14:val="tx1"/>
                        </w14:solidFill>
                      </w14:textFill>
                    </w:rPr>
                    <w:t>球化、孕育、调质、炉外精炼、除气等工序</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落砂、清理、砂处理等宜在密闭（封闭）空间内操作，废气收集至除尘设施；未在封闭空间内操作的，应采取固定式、移动式集气设备，并配备除尘设施。</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w:t>
                  </w:r>
                  <w:r>
                    <w:rPr>
                      <w:rFonts w:hint="default" w:ascii="Times New Roman" w:hAnsi="Times New Roman" w:eastAsia="宋体" w:cs="Times New Roman"/>
                      <w:b w:val="0"/>
                      <w:color w:val="000000" w:themeColor="text1"/>
                      <w:sz w:val="21"/>
                      <w14:textFill>
                        <w14:solidFill>
                          <w14:schemeClr w14:val="tx1"/>
                        </w14:solidFill>
                      </w14:textFill>
                    </w:rPr>
                    <w:t>落砂、清理、砂处理</w:t>
                  </w:r>
                  <w:r>
                    <w:rPr>
                      <w:rFonts w:hint="default" w:ascii="Times New Roman" w:hAnsi="Times New Roman" w:eastAsia="宋体" w:cs="Times New Roman"/>
                      <w:b w:val="0"/>
                      <w:color w:val="000000" w:themeColor="text1"/>
                      <w:sz w:val="21"/>
                      <w:lang w:val="en-US" w:eastAsia="zh-CN"/>
                      <w14:textFill>
                        <w14:solidFill>
                          <w14:schemeClr w14:val="tx1"/>
                        </w14:solidFill>
                      </w14:textFill>
                    </w:rPr>
                    <w:t>等工序。</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造型、制芯、浇注工序宜在密闭（封闭）空间内操作，或安装集气罩，废气应排至除尘设施、VOCs废气收集处理系统；涉恶臭气体排放的，应设有恶臭气体收集处理系统，恶臭排放应符合GB 14554的规定。</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w:t>
                  </w:r>
                  <w:r>
                    <w:rPr>
                      <w:rFonts w:hint="default" w:ascii="Times New Roman" w:hAnsi="Times New Roman" w:eastAsia="宋体" w:cs="Times New Roman"/>
                      <w:b w:val="0"/>
                      <w:color w:val="000000" w:themeColor="text1"/>
                      <w:sz w:val="21"/>
                      <w14:textFill>
                        <w14:solidFill>
                          <w14:schemeClr w14:val="tx1"/>
                        </w14:solidFill>
                      </w14:textFill>
                    </w:rPr>
                    <w:t>制芯、浇注工序</w:t>
                  </w:r>
                  <w:r>
                    <w:rPr>
                      <w:rFonts w:hint="default" w:ascii="Times New Roman" w:hAnsi="Times New Roman" w:eastAsia="宋体" w:cs="Times New Roman"/>
                      <w:b w:val="0"/>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针对压铸废气、熔化烟尘收集：在每台压铸机及熔铝炉上方设置半密闭式集气罩</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金属液转运应采用转运通廊，废气收集至除尘设施，或采用移动集气和除尘设施；无法采用上述措施的，应采用浇包包盖、覆盖、集渣覆盖层等措施减少无组织排放。</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项目在金属液转运工位上方设置集气罩</w:t>
                  </w:r>
                  <w:r>
                    <w:rPr>
                      <w:rFonts w:hint="default" w:ascii="Times New Roman" w:hAnsi="Times New Roman" w:eastAsia="宋体" w:cs="Times New Roman"/>
                      <w:b w:val="0"/>
                      <w:color w:val="000000" w:themeColor="text1"/>
                      <w:sz w:val="21"/>
                      <w:lang w:eastAsia="zh-CN"/>
                      <w14:textFill>
                        <w14:solidFill>
                          <w14:schemeClr w14:val="tx1"/>
                        </w14:solidFill>
                      </w14:textFill>
                    </w:rPr>
                    <w:t>。</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金属液倒包、分包等操作宜设置固定工位，安装集气罩，并配备除尘设施。</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w:t>
                  </w:r>
                  <w:r>
                    <w:rPr>
                      <w:rFonts w:hint="default" w:ascii="Times New Roman" w:hAnsi="Times New Roman" w:eastAsia="宋体" w:cs="Times New Roman"/>
                      <w:b w:val="0"/>
                      <w:color w:val="000000" w:themeColor="text1"/>
                      <w:sz w:val="21"/>
                      <w14:textFill>
                        <w14:solidFill>
                          <w14:schemeClr w14:val="tx1"/>
                        </w14:solidFill>
                      </w14:textFill>
                    </w:rPr>
                    <w:t>金属液倒包、分包等</w:t>
                  </w:r>
                  <w:r>
                    <w:rPr>
                      <w:rFonts w:hint="default" w:ascii="Times New Roman" w:hAnsi="Times New Roman" w:eastAsia="宋体" w:cs="Times New Roman"/>
                      <w:b w:val="0"/>
                      <w:color w:val="000000" w:themeColor="text1"/>
                      <w:sz w:val="21"/>
                      <w:lang w:val="en-US" w:eastAsia="zh-CN"/>
                      <w14:textFill>
                        <w14:solidFill>
                          <w14:schemeClr w14:val="tx1"/>
                        </w14:solidFill>
                      </w14:textFill>
                    </w:rPr>
                    <w:t>工序</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含有机添加剂的粘土砂、树脂砂、壳型等铸造工艺浇注时宜及时引燃。</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项目不涉及</w:t>
                  </w:r>
                  <w:r>
                    <w:rPr>
                      <w:rFonts w:hint="default" w:ascii="Times New Roman" w:hAnsi="Times New Roman" w:eastAsia="宋体" w:cs="Times New Roman"/>
                      <w:b w:val="0"/>
                      <w:color w:val="000000" w:themeColor="text1"/>
                      <w:sz w:val="21"/>
                      <w14:textFill>
                        <w14:solidFill>
                          <w14:schemeClr w14:val="tx1"/>
                        </w14:solidFill>
                      </w14:textFill>
                    </w:rPr>
                    <w:t>含有机添加剂的粘土砂、树脂砂、壳型等浇注工艺</w:t>
                  </w:r>
                  <w:r>
                    <w:rPr>
                      <w:rFonts w:hint="default" w:ascii="Times New Roman" w:hAnsi="Times New Roman" w:eastAsia="宋体" w:cs="Times New Roman"/>
                      <w:b w:val="0"/>
                      <w:color w:val="000000" w:themeColor="text1"/>
                      <w:sz w:val="21"/>
                      <w:lang w:eastAsia="zh-CN"/>
                      <w14:textFill>
                        <w14:solidFill>
                          <w14:schemeClr w14:val="tx1"/>
                        </w14:solidFill>
                      </w14:textFill>
                    </w:rPr>
                    <w:t>。</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清理（去除浇冒口、铲飞边毛刺等）和浇包、渣包的维修工序宜在封闭空间内操作，废气收集至除尘设施；未在封闭空间内操作的，应采取固定式、移动式集气设备并配备除尘设施，或采取喷淋（雾）等抑尘措施。</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项目使用油压切边机进行产品去料柄，再将去完料柄的产品进行利用砂磨抛光机进行打磨，去除飞边毛刺。砂磨抛光机经侧吸三面封闭集气罩收集+自带的湿式除尘器处</w:t>
                  </w:r>
                  <w:r>
                    <w:rPr>
                      <w:rFonts w:hint="default" w:ascii="Times New Roman" w:hAnsi="Times New Roman" w:eastAsia="宋体" w:cs="Times New Roman"/>
                      <w:bCs/>
                      <w:color w:val="000000" w:themeColor="text1"/>
                      <w:szCs w:val="18"/>
                      <w:lang w:val="en-US" w:eastAsia="zh-CN"/>
                      <w14:textFill>
                        <w14:solidFill>
                          <w14:schemeClr w14:val="tx1"/>
                        </w14:solidFill>
                      </w14:textFill>
                    </w:rPr>
                    <w:t>理，在落实该污染治理措施后，污染物实现达标排放。本项目无</w:t>
                  </w:r>
                  <w:r>
                    <w:rPr>
                      <w:rFonts w:hint="default" w:ascii="Times New Roman" w:hAnsi="Times New Roman" w:eastAsia="宋体" w:cs="Times New Roman"/>
                      <w:b w:val="0"/>
                      <w:color w:val="000000" w:themeColor="text1"/>
                      <w:sz w:val="21"/>
                      <w14:textFill>
                        <w14:solidFill>
                          <w14:schemeClr w14:val="tx1"/>
                        </w14:solidFill>
                      </w14:textFill>
                    </w:rPr>
                    <w:t>浇包、渣包维修工序</w:t>
                  </w:r>
                  <w:r>
                    <w:rPr>
                      <w:rFonts w:hint="default" w:ascii="Times New Roman" w:hAnsi="Times New Roman" w:eastAsia="宋体" w:cs="Times New Roman"/>
                      <w:b w:val="0"/>
                      <w:color w:val="000000" w:themeColor="text1"/>
                      <w:sz w:val="21"/>
                      <w:lang w:eastAsia="zh-CN"/>
                      <w14:textFill>
                        <w14:solidFill>
                          <w14:schemeClr w14:val="tx1"/>
                        </w14:solidFill>
                      </w14:textFill>
                    </w:rPr>
                    <w:t>，此过程无粉尘产生。</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表面涂装的配料、涂装和有机溶剂清洗作业宜采用密闭设备或在密闭空间内进行；无法密闭的，应安装集气罩。废气排至VOCs废气收集处理系统。</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项目压铸件不涉及</w:t>
                  </w:r>
                  <w:r>
                    <w:rPr>
                      <w:rFonts w:hint="default" w:ascii="Times New Roman" w:hAnsi="Times New Roman" w:eastAsia="宋体" w:cs="Times New Roman"/>
                      <w:b w:val="0"/>
                      <w:color w:val="000000" w:themeColor="text1"/>
                      <w:sz w:val="21"/>
                      <w14:textFill>
                        <w14:solidFill>
                          <w14:schemeClr w14:val="tx1"/>
                        </w14:solidFill>
                      </w14:textFill>
                    </w:rPr>
                    <w:t>表面涂装</w:t>
                  </w:r>
                  <w:r>
                    <w:rPr>
                      <w:rFonts w:hint="default" w:ascii="Times New Roman" w:hAnsi="Times New Roman" w:eastAsia="宋体" w:cs="Times New Roman"/>
                      <w:b w:val="0"/>
                      <w:color w:val="000000" w:themeColor="text1"/>
                      <w:sz w:val="21"/>
                      <w:lang w:val="en-US" w:eastAsia="zh-CN"/>
                      <w14:textFill>
                        <w14:solidFill>
                          <w14:schemeClr w14:val="tx1"/>
                        </w14:solidFill>
                      </w14:textFill>
                    </w:rPr>
                    <w:t>工序。</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表面涂装工序宜集中作业，通过提高原辅材料及能源利用率、污染物收集率、污染治理设施运转率及其对污染物的去除效率，减少VOCs等污染物的排放量。</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项目压铸件不涉及</w:t>
                  </w:r>
                  <w:r>
                    <w:rPr>
                      <w:rFonts w:hint="default" w:ascii="Times New Roman" w:hAnsi="Times New Roman" w:eastAsia="宋体" w:cs="Times New Roman"/>
                      <w:b w:val="0"/>
                      <w:color w:val="000000" w:themeColor="text1"/>
                      <w:sz w:val="21"/>
                      <w14:textFill>
                        <w14:solidFill>
                          <w14:schemeClr w14:val="tx1"/>
                        </w14:solidFill>
                      </w14:textFill>
                    </w:rPr>
                    <w:t>表面涂装</w:t>
                  </w:r>
                  <w:r>
                    <w:rPr>
                      <w:rFonts w:hint="default" w:ascii="Times New Roman" w:hAnsi="Times New Roman" w:eastAsia="宋体" w:cs="Times New Roman"/>
                      <w:b w:val="0"/>
                      <w:color w:val="000000" w:themeColor="text1"/>
                      <w:sz w:val="21"/>
                      <w:lang w:val="en-US" w:eastAsia="zh-CN"/>
                      <w14:textFill>
                        <w14:solidFill>
                          <w14:schemeClr w14:val="tx1"/>
                        </w14:solidFill>
                      </w14:textFill>
                    </w:rPr>
                    <w:t>工序。</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restar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4</w:t>
                  </w:r>
                </w:p>
              </w:tc>
              <w:tc>
                <w:tcPr>
                  <w:tcW w:w="437" w:type="pct"/>
                  <w:vMerge w:val="restart"/>
                  <w:noWrap w:val="0"/>
                  <w:vAlign w:val="center"/>
                </w:tcPr>
                <w:p>
                  <w:pPr>
                    <w:keepNext w:val="0"/>
                    <w:keepLines w:val="0"/>
                    <w:pageBreakBefore w:val="0"/>
                    <w:widowControl/>
                    <w:suppressLineNumbers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kern w:val="0"/>
                      <w:sz w:val="21"/>
                      <w:szCs w:val="20"/>
                      <w:lang w:val="en-US" w:eastAsia="zh-CN" w:bidi="ar"/>
                      <w14:textFill>
                        <w14:solidFill>
                          <w14:schemeClr w14:val="tx1"/>
                        </w14:solidFill>
                      </w14:textFill>
                    </w:rPr>
                    <w:t>废气收集系统控制要求</w:t>
                  </w:r>
                </w:p>
              </w:tc>
              <w:tc>
                <w:tcPr>
                  <w:tcW w:w="2411" w:type="pct"/>
                  <w:noWrap w:val="0"/>
                  <w:vAlign w:val="center"/>
                </w:tcPr>
                <w:p>
                  <w:pPr>
                    <w:pStyle w:val="7"/>
                    <w:keepNext w:val="0"/>
                    <w:keepLines w:val="0"/>
                    <w:pageBreakBefore w:val="0"/>
                    <w:kinsoku/>
                    <w:wordWrap/>
                    <w:overflowPunct/>
                    <w:autoSpaceDN/>
                    <w:bidi w:val="0"/>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排风罩应优先考虑采用密闭罩或排气柜，并保持一定的负压。当不能或不便采用密闭罩时，可根据生产操作要求选择半密闭罩或外部排风罩，并尽可能包围或靠近污染源，必要时可增设软帘围挡，以防止污染物外逸。</w:t>
                  </w:r>
                </w:p>
              </w:tc>
              <w:tc>
                <w:tcPr>
                  <w:tcW w:w="1407" w:type="pct"/>
                  <w:noWrap w:val="0"/>
                  <w:vAlign w:val="center"/>
                </w:tcPr>
                <w:p>
                  <w:pPr>
                    <w:pStyle w:val="7"/>
                    <w:keepNext w:val="0"/>
                    <w:keepLines w:val="0"/>
                    <w:pageBreakBefore w:val="0"/>
                    <w:kinsoku/>
                    <w:wordWrap/>
                    <w:overflowPunct/>
                    <w:autoSpaceDN/>
                    <w:bidi w:val="0"/>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针对压铸废气、熔化烟尘收集：在每台压铸机及熔铝炉上方设置半密闭式集气罩</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w:t>
                  </w:r>
                </w:p>
              </w:tc>
              <w:tc>
                <w:tcPr>
                  <w:tcW w:w="417" w:type="pct"/>
                  <w:noWrap w:val="0"/>
                  <w:vAlign w:val="center"/>
                </w:tcPr>
                <w:p>
                  <w:pPr>
                    <w:keepNext w:val="0"/>
                    <w:keepLines w:val="0"/>
                    <w:pageBreakBefore w:val="0"/>
                    <w:kinsoku/>
                    <w:wordWrap/>
                    <w:overflowPunct/>
                    <w:autoSpaceDN/>
                    <w:bidi w:val="0"/>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当废气产生点较多，彼此距离较远时，应适当分设多套收集系统。</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本项目针对每台压铸机和天然气熔铝炉单独设置集气罩。</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437" w:type="pct"/>
                  <w:vMerge w:val="continue"/>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p>
              </w:tc>
              <w:tc>
                <w:tcPr>
                  <w:tcW w:w="2411"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14:textFill>
                        <w14:solidFill>
                          <w14:schemeClr w14:val="tx1"/>
                        </w14:solidFill>
                      </w14:textFill>
                    </w:rPr>
                    <w:t>间歇运行工序或设备的收集系统管道或其支路上应设置自动调节阀，自动调节阀应在该工序或设备开启前开启。</w:t>
                  </w:r>
                </w:p>
              </w:tc>
              <w:tc>
                <w:tcPr>
                  <w:tcW w:w="1407" w:type="pct"/>
                  <w:noWrap w:val="0"/>
                  <w:vAlign w:val="center"/>
                </w:tcPr>
                <w:p>
                  <w:pPr>
                    <w:pStyle w:val="7"/>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lang w:val="en-US" w:eastAsia="zh-CN"/>
                      <w14:textFill>
                        <w14:solidFill>
                          <w14:schemeClr w14:val="tx1"/>
                        </w14:solidFill>
                      </w14:textFill>
                    </w:rPr>
                    <w:t>环评要求建设单位在</w:t>
                  </w:r>
                  <w:r>
                    <w:rPr>
                      <w:rFonts w:hint="default" w:ascii="Times New Roman" w:hAnsi="Times New Roman" w:eastAsia="宋体" w:cs="Times New Roman"/>
                      <w:b w:val="0"/>
                      <w:color w:val="000000" w:themeColor="text1"/>
                      <w:sz w:val="21"/>
                      <w14:textFill>
                        <w14:solidFill>
                          <w14:schemeClr w14:val="tx1"/>
                        </w14:solidFill>
                      </w14:textFill>
                    </w:rPr>
                    <w:t>间歇运行工序或设备的收集系统管道设置自动调节阀，自动调节阀在该工序或设备开启前开启。</w:t>
                  </w:r>
                </w:p>
              </w:tc>
              <w:tc>
                <w:tcPr>
                  <w:tcW w:w="417" w:type="pct"/>
                  <w:noWrap w:val="0"/>
                  <w:vAlign w:val="center"/>
                </w:tcPr>
                <w:p>
                  <w:pPr>
                    <w:keepNext w:val="0"/>
                    <w:keepLines w:val="0"/>
                    <w:pageBreakBefore w:val="0"/>
                    <w:kinsoku/>
                    <w:wordWrap/>
                    <w:overflowPunct/>
                    <w:autoSpaceDN/>
                    <w:bidi w:val="0"/>
                    <w:spacing w:line="240" w:lineRule="auto"/>
                    <w:ind w:firstLine="0"/>
                    <w:jc w:val="center"/>
                    <w:textAlignment w:val="auto"/>
                    <w:rPr>
                      <w:rFonts w:hint="default" w:ascii="Times New Roman" w:hAnsi="Times New Roman" w:eastAsia="宋体" w:cs="Times New Roman"/>
                      <w:b w:val="0"/>
                      <w:color w:val="000000" w:themeColor="text1"/>
                      <w:sz w:val="21"/>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②项目与</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《铸造工业大气污染防治可行技术指南》（HJ1292-2023）中污染防治可行技术符合性分析</w:t>
            </w:r>
          </w:p>
          <w:p>
            <w:pPr>
              <w:keepNext w:val="0"/>
              <w:keepLines w:val="0"/>
              <w:pageBreakBefore w:val="0"/>
              <w:widowControl w:val="0"/>
              <w:kinsoku/>
              <w:wordWrap/>
              <w:overflowPunct/>
              <w:topLinePunct w:val="0"/>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bidi="ar"/>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sz w:val="24"/>
                <w:szCs w:val="24"/>
                <w:lang w:bidi="ar"/>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15</w:t>
            </w:r>
            <w:r>
              <w:rPr>
                <w:rFonts w:hint="default" w:ascii="Times New Roman" w:hAnsi="Times New Roman" w:eastAsia="宋体" w:cs="Times New Roman"/>
                <w:b/>
                <w:bCs/>
                <w:color w:val="000000" w:themeColor="text1"/>
                <w:sz w:val="24"/>
                <w:szCs w:val="24"/>
                <w:lang w:bidi="ar"/>
                <w14:textFill>
                  <w14:solidFill>
                    <w14:schemeClr w14:val="tx1"/>
                  </w14:solidFill>
                </w14:textFill>
              </w:rPr>
              <w:t xml:space="preserve">  </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与</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《铸造工业大气污染防治可行技术指南》中污染防治可行技术</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相符性分析</w:t>
            </w:r>
          </w:p>
          <w:tbl>
            <w:tblPr>
              <w:tblStyle w:val="3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496"/>
              <w:gridCol w:w="1791"/>
              <w:gridCol w:w="2096"/>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8"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适用条件</w:t>
                  </w:r>
                </w:p>
              </w:tc>
              <w:tc>
                <w:tcPr>
                  <w:tcW w:w="147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预防技术</w:t>
                  </w:r>
                </w:p>
              </w:tc>
              <w:tc>
                <w:tcPr>
                  <w:tcW w:w="176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治理技术</w:t>
                  </w:r>
                </w:p>
              </w:tc>
              <w:tc>
                <w:tcPr>
                  <w:tcW w:w="206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kern w:val="0"/>
                      <w:sz w:val="21"/>
                      <w:szCs w:val="21"/>
                      <w:lang w:val="en-US" w:eastAsia="zh-CN" w:bidi="ar"/>
                      <w14:textFill>
                        <w14:solidFill>
                          <w14:schemeClr w14:val="tx1"/>
                        </w14:solidFill>
                      </w14:textFill>
                    </w:rPr>
                    <w:t>本项目情况</w:t>
                  </w:r>
                </w:p>
              </w:tc>
              <w:tc>
                <w:tcPr>
                  <w:tcW w:w="546"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val="0"/>
                      <w:color w:val="000000" w:themeColor="text1"/>
                      <w:spacing w:val="0"/>
                      <w:kern w:val="0"/>
                      <w:sz w:val="21"/>
                      <w:szCs w:val="21"/>
                      <w:lang w:val="en-US" w:eastAsia="zh-CN" w:bidi="ar"/>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8"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适用于金属熔炼（化）工序的燃气炉，一般应用于铝合金的熔炼（化）。</w:t>
                  </w:r>
                </w:p>
              </w:tc>
              <w:tc>
                <w:tcPr>
                  <w:tcW w:w="147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低氮燃烧</w:t>
                  </w:r>
                </w:p>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技术</w:t>
                  </w:r>
                </w:p>
              </w:tc>
              <w:tc>
                <w:tcPr>
                  <w:tcW w:w="176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①旋风除尘技术（可选）+</w:t>
                  </w:r>
                </w:p>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②袋式除尘技术/滤筒除尘</w:t>
                  </w:r>
                </w:p>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技术</w:t>
                  </w:r>
                </w:p>
              </w:tc>
              <w:tc>
                <w:tcPr>
                  <w:tcW w:w="2060" w:type="dxa"/>
                  <w:vMerge w:val="restart"/>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针对</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、压铸和脱膜工序的废气：车间密闭，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+两级活性炭装置处理后由15m高排气筒（DA001）排放</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。针对燃烧废气：采用低氮燃烧技术，废气经15m高排气筒</w:t>
                  </w:r>
                  <w:r>
                    <w:rPr>
                      <w:rFonts w:hint="default" w:ascii="Times New Roman" w:hAnsi="Times New Roman" w:cs="Times New Roman"/>
                      <w:color w:val="000000" w:themeColor="text1"/>
                      <w:szCs w:val="21"/>
                      <w:lang w:val="en-US" w:eastAsia="zh-CN"/>
                      <w14:textFill>
                        <w14:solidFill>
                          <w14:schemeClr w14:val="tx1"/>
                        </w14:solidFill>
                      </w14:textFill>
                    </w:rPr>
                    <w:t>（DA004）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排放。</w:t>
                  </w:r>
                </w:p>
              </w:tc>
              <w:tc>
                <w:tcPr>
                  <w:tcW w:w="546"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8"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适用于压力铸造（压铸）脱模剂喷涂废气处理。</w:t>
                  </w:r>
                </w:p>
              </w:tc>
              <w:tc>
                <w:tcPr>
                  <w:tcW w:w="1470" w:type="dxa"/>
                  <w:noWrap w:val="0"/>
                  <w:vAlign w:val="center"/>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微量喷涂技术 </w:t>
                  </w:r>
                </w:p>
                <w:p>
                  <w:pPr>
                    <w:keepNext w:val="0"/>
                    <w:keepLines w:val="0"/>
                    <w:widowControl/>
                    <w:suppressLineNumbers w:val="0"/>
                    <w:jc w:val="left"/>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（可选）</w:t>
                  </w:r>
                </w:p>
              </w:tc>
              <w:tc>
                <w:tcPr>
                  <w:tcW w:w="176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机械过滤技术/</w:t>
                  </w:r>
                </w:p>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静电净化技术</w:t>
                  </w:r>
                </w:p>
              </w:tc>
              <w:tc>
                <w:tcPr>
                  <w:tcW w:w="2060"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p>
              </w:tc>
              <w:tc>
                <w:tcPr>
                  <w:tcW w:w="546"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综上，项目符合《铸造工业大气污染防治可行技术指南》（HJ1292-2023）中技术要求。</w:t>
            </w:r>
          </w:p>
          <w:p>
            <w:pPr>
              <w:pStyle w:val="81"/>
              <w:adjustRightInd w:val="0"/>
              <w:snapToGrid w:val="0"/>
              <w:spacing w:line="360" w:lineRule="auto"/>
              <w:ind w:left="0" w:leftChars="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11、与《排污许可证申请与核发技术规范 金属铸造工业》（HJ 1115-2020）相符性分析</w:t>
            </w:r>
          </w:p>
          <w:p>
            <w:pPr>
              <w:keepNext w:val="0"/>
              <w:keepLines w:val="0"/>
              <w:pageBreakBefore w:val="0"/>
              <w:widowControl w:val="0"/>
              <w:kinsoku/>
              <w:wordWrap/>
              <w:overflowPunct/>
              <w:topLinePunct w:val="0"/>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bidi="ar"/>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sz w:val="24"/>
                <w:szCs w:val="24"/>
                <w:lang w:bidi="ar"/>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16</w:t>
            </w:r>
            <w:r>
              <w:rPr>
                <w:rFonts w:hint="default" w:ascii="Times New Roman" w:hAnsi="Times New Roman" w:eastAsia="宋体" w:cs="Times New Roman"/>
                <w:b/>
                <w:bCs/>
                <w:color w:val="000000" w:themeColor="text1"/>
                <w:sz w:val="24"/>
                <w:szCs w:val="24"/>
                <w:lang w:bidi="ar"/>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项目与</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《排污许可证申请与核发技术规范 金属铸造工业》（HJ 1115-2020）相符性分析</w:t>
            </w:r>
          </w:p>
          <w:tbl>
            <w:tblPr>
              <w:tblStyle w:val="3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784"/>
              <w:gridCol w:w="906"/>
              <w:gridCol w:w="2280"/>
              <w:gridCol w:w="2239"/>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污染源名称</w:t>
                  </w:r>
                </w:p>
              </w:tc>
              <w:tc>
                <w:tcPr>
                  <w:tcW w:w="77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污染源设备</w:t>
                  </w:r>
                </w:p>
              </w:tc>
              <w:tc>
                <w:tcPr>
                  <w:tcW w:w="89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主要污染物</w:t>
                  </w:r>
                </w:p>
              </w:tc>
              <w:tc>
                <w:tcPr>
                  <w:tcW w:w="224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可行技术</w:t>
                  </w:r>
                </w:p>
              </w:tc>
              <w:tc>
                <w:tcPr>
                  <w:tcW w:w="220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kern w:val="0"/>
                      <w:sz w:val="21"/>
                      <w:szCs w:val="21"/>
                      <w:lang w:val="en-US" w:eastAsia="zh-CN" w:bidi="ar"/>
                      <w14:textFill>
                        <w14:solidFill>
                          <w14:schemeClr w14:val="tx1"/>
                        </w14:solidFill>
                      </w14:textFill>
                    </w:rPr>
                    <w:t>本项目情况</w:t>
                  </w:r>
                </w:p>
              </w:tc>
              <w:tc>
                <w:tcPr>
                  <w:tcW w:w="506"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val="0"/>
                      <w:color w:val="000000" w:themeColor="text1"/>
                      <w:spacing w:val="0"/>
                      <w:kern w:val="0"/>
                      <w:sz w:val="21"/>
                      <w:szCs w:val="21"/>
                      <w:lang w:val="en-US" w:eastAsia="zh-CN" w:bidi="ar"/>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restar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压铸、熔化</w:t>
                  </w:r>
                </w:p>
              </w:tc>
              <w:tc>
                <w:tcPr>
                  <w:tcW w:w="770" w:type="dxa"/>
                  <w:vMerge w:val="restar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压铸机、天然气熔铝炉</w:t>
                  </w:r>
                </w:p>
              </w:tc>
              <w:tc>
                <w:tcPr>
                  <w:tcW w:w="89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颗粒物</w:t>
                  </w:r>
                </w:p>
              </w:tc>
              <w:tc>
                <w:tcPr>
                  <w:tcW w:w="224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静电除尘器、袋式除尘器、电袋复合除尘器、旋风除尘器、滤筒除尘器、湿式除尘器、其他</w:t>
                  </w:r>
                </w:p>
              </w:tc>
              <w:tc>
                <w:tcPr>
                  <w:tcW w:w="2200" w:type="dxa"/>
                  <w:vMerge w:val="restart"/>
                  <w:noWrap w:val="0"/>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针对</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、压铸和脱膜工序的废气：车间密闭，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+两级活性炭装置处理后由15m高排气筒（DA001）排放</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。针对燃烧废气：采用低氮燃烧技术，废气经15m高排气筒</w:t>
                  </w:r>
                  <w:r>
                    <w:rPr>
                      <w:rFonts w:hint="default" w:ascii="Times New Roman" w:hAnsi="Times New Roman" w:cs="Times New Roman"/>
                      <w:color w:val="000000" w:themeColor="text1"/>
                      <w:szCs w:val="21"/>
                      <w:lang w:val="en-US" w:eastAsia="zh-CN"/>
                      <w14:textFill>
                        <w14:solidFill>
                          <w14:schemeClr w14:val="tx1"/>
                        </w14:solidFill>
                      </w14:textFill>
                    </w:rPr>
                    <w:t>（DA004）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排放。</w:t>
                  </w:r>
                </w:p>
              </w:tc>
              <w:tc>
                <w:tcPr>
                  <w:tcW w:w="506" w:type="dxa"/>
                  <w:vMerge w:val="restar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70"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89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非甲烷总烃</w:t>
                  </w:r>
                </w:p>
              </w:tc>
              <w:tc>
                <w:tcPr>
                  <w:tcW w:w="224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活性炭吸附或催化燃烧装置</w:t>
                  </w:r>
                </w:p>
              </w:tc>
              <w:tc>
                <w:tcPr>
                  <w:tcW w:w="2200"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p>
              </w:tc>
              <w:tc>
                <w:tcPr>
                  <w:tcW w:w="506"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8"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熔化</w:t>
                  </w:r>
                </w:p>
              </w:tc>
              <w:tc>
                <w:tcPr>
                  <w:tcW w:w="77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天然气熔铝炉</w:t>
                  </w:r>
                </w:p>
              </w:tc>
              <w:tc>
                <w:tcPr>
                  <w:tcW w:w="89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氮氧化物</w:t>
                  </w:r>
                </w:p>
              </w:tc>
              <w:tc>
                <w:tcPr>
                  <w:tcW w:w="2240"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采用低氮燃烧技术</w:t>
                  </w:r>
                </w:p>
              </w:tc>
              <w:tc>
                <w:tcPr>
                  <w:tcW w:w="2200"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p>
              </w:tc>
              <w:tc>
                <w:tcPr>
                  <w:tcW w:w="506" w:type="dxa"/>
                  <w:vMerge w:val="continue"/>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综上，项目符合</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《排污许可证申请与核发技术规范 金属铸造工业》（HJ 1115-2020）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中可行技术要求。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 xml:space="preserve"> </w:t>
            </w:r>
          </w:p>
          <w:p>
            <w:pPr>
              <w:autoSpaceDE w:val="0"/>
              <w:autoSpaceDN w:val="0"/>
              <w:adjustRightInd w:val="0"/>
              <w:snapToGrid w:val="0"/>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29"/>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5" w:type="default"/>
          <w:pgSz w:w="11906" w:h="16838"/>
          <w:pgMar w:top="1531" w:right="1077" w:bottom="1531" w:left="170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0" w:hRule="atLeast"/>
        </w:trPr>
        <w:tc>
          <w:tcPr>
            <w:tcW w:w="453" w:type="dxa"/>
            <w:noWrap w:val="0"/>
            <w:vAlign w:val="center"/>
          </w:tcPr>
          <w:p>
            <w:p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建设</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内容</w:t>
            </w:r>
          </w:p>
        </w:tc>
        <w:tc>
          <w:tcPr>
            <w:tcW w:w="889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3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1475105</wp:posOffset>
                      </wp:positionH>
                      <wp:positionV relativeFrom="paragraph">
                        <wp:posOffset>-442595</wp:posOffset>
                      </wp:positionV>
                      <wp:extent cx="2653665" cy="421640"/>
                      <wp:effectExtent l="0" t="0" r="0" b="0"/>
                      <wp:wrapNone/>
                      <wp:docPr id="1" name="矩形 1"/>
                      <wp:cNvGraphicFramePr/>
                      <a:graphic xmlns:a="http://schemas.openxmlformats.org/drawingml/2006/main">
                        <a:graphicData uri="http://schemas.microsoft.com/office/word/2010/wordprocessingShape">
                          <wps:wsp>
                            <wps:cNvSpPr/>
                            <wps:spPr>
                              <a:xfrm>
                                <a:off x="2884805" y="1508125"/>
                                <a:ext cx="2653665" cy="42164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29"/>
                                    <w:spacing w:before="0" w:beforeAutospacing="0" w:after="0" w:afterAutospacing="0"/>
                                    <w:jc w:val="center"/>
                                    <w:outlineLvl w:val="0"/>
                                    <w:rPr>
                                      <w:rFonts w:hint="default" w:ascii="Times New Roman" w:hAnsi="Times New Roman" w:eastAsia="宋体" w:cs="Times New Roman"/>
                                      <w:b/>
                                      <w:snapToGrid w:val="0"/>
                                      <w:color w:val="000000" w:themeColor="text1"/>
                                      <w:sz w:val="30"/>
                                      <w:szCs w:val="30"/>
                                      <w14:textFill>
                                        <w14:solidFill>
                                          <w14:schemeClr w14:val="tx1"/>
                                        </w14:solidFill>
                                      </w14:textFill>
                                    </w:rPr>
                                  </w:pPr>
                                  <w:r>
                                    <w:rPr>
                                      <w:rFonts w:hint="default" w:ascii="Times New Roman" w:hAnsi="Times New Roman" w:eastAsia="宋体" w:cs="Times New Roman"/>
                                      <w:b/>
                                      <w:snapToGrid w:val="0"/>
                                      <w:color w:val="000000" w:themeColor="text1"/>
                                      <w:sz w:val="30"/>
                                      <w:szCs w:val="30"/>
                                      <w14:textFill>
                                        <w14:solidFill>
                                          <w14:schemeClr w14:val="tx1"/>
                                        </w14:solidFill>
                                      </w14:textFill>
                                    </w:rPr>
                                    <w:t>二、建设项目工程分析</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15pt;margin-top:-34.85pt;height:33.2pt;width:208.95pt;z-index:251659264;v-text-anchor:middle;mso-width-relative:page;mso-height-relative:page;" filled="f" stroked="f" coordsize="21600,21600" o:gfxdata="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WOCqrZAAAACgEAAA8AAAAAAAAAAQAgAAAAIgAAAGRycy9kb3ducmV2LnhtbFBLAQIUABQAAAAI&#10;AIdO4kDDkN1PXgIAAKIEAAAOAAAAAAAAAAEAIAAAACgBAABkcnMvZTJvRG9jLnhtbFBLBQYAAAAA&#10;BgAGAFkBAAD4BQAAAAA=&#10;">
                      <v:fill on="f" focussize="0,0"/>
                      <v:stroke on="f" weight="2pt"/>
                      <v:imagedata o:title=""/>
                      <o:lock v:ext="edit" aspectratio="f"/>
                      <v:textbox>
                        <w:txbxContent>
                          <w:p>
                            <w:pPr>
                              <w:pStyle w:val="29"/>
                              <w:spacing w:before="0" w:beforeAutospacing="0" w:after="0" w:afterAutospacing="0"/>
                              <w:jc w:val="center"/>
                              <w:outlineLvl w:val="0"/>
                              <w:rPr>
                                <w:rFonts w:hint="default" w:ascii="Times New Roman" w:hAnsi="Times New Roman" w:eastAsia="宋体" w:cs="Times New Roman"/>
                                <w:b/>
                                <w:snapToGrid w:val="0"/>
                                <w:color w:val="000000" w:themeColor="text1"/>
                                <w:sz w:val="30"/>
                                <w:szCs w:val="30"/>
                                <w14:textFill>
                                  <w14:solidFill>
                                    <w14:schemeClr w14:val="tx1"/>
                                  </w14:solidFill>
                                </w14:textFill>
                              </w:rPr>
                            </w:pPr>
                            <w:r>
                              <w:rPr>
                                <w:rFonts w:hint="default" w:ascii="Times New Roman" w:hAnsi="Times New Roman" w:eastAsia="宋体" w:cs="Times New Roman"/>
                                <w:b/>
                                <w:snapToGrid w:val="0"/>
                                <w:color w:val="000000" w:themeColor="text1"/>
                                <w:sz w:val="30"/>
                                <w:szCs w:val="30"/>
                                <w14:textFill>
                                  <w14:solidFill>
                                    <w14:schemeClr w14:val="tx1"/>
                                  </w14:solidFill>
                                </w14:textFill>
                              </w:rPr>
                              <w:t>二、建设项目工程分析</w:t>
                            </w:r>
                          </w:p>
                          <w:p>
                            <w:pPr>
                              <w:jc w:val="center"/>
                            </w:pPr>
                          </w:p>
                        </w:txbxContent>
                      </v:textbox>
                    </v:rect>
                  </w:pict>
                </mc:Fallback>
              </mc:AlternateContent>
            </w:r>
            <w:r>
              <w:rPr>
                <w:rFonts w:hint="default" w:ascii="Times New Roman" w:hAnsi="Times New Roman" w:cs="Times New Roman"/>
                <w:b/>
                <w:bCs/>
                <w:color w:val="000000" w:themeColor="text1"/>
                <w:sz w:val="24"/>
                <w:lang w:val="en-US" w:eastAsia="zh-CN"/>
                <w14:textFill>
                  <w14:solidFill>
                    <w14:schemeClr w14:val="tx1"/>
                  </w14:solidFill>
                </w14:textFill>
              </w:rPr>
              <w:t>1、项目由来</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六安钰台机电科技有限公司</w:t>
            </w:r>
            <w:r>
              <w:rPr>
                <w:rFonts w:hint="default" w:ascii="Times New Roman" w:hAnsi="Times New Roman" w:cs="Times New Roman"/>
                <w:bCs/>
                <w:color w:val="000000" w:themeColor="text1"/>
                <w:sz w:val="24"/>
                <w14:textFill>
                  <w14:solidFill>
                    <w14:schemeClr w14:val="tx1"/>
                  </w14:solidFill>
                </w14:textFill>
              </w:rPr>
              <w:t>拟投资</w:t>
            </w:r>
            <w:r>
              <w:rPr>
                <w:rFonts w:hint="default" w:ascii="Times New Roman" w:hAnsi="Times New Roman" w:cs="Times New Roman"/>
                <w:color w:val="000000" w:themeColor="text1"/>
                <w:kern w:val="1"/>
                <w:sz w:val="24"/>
                <w:lang w:val="en-US" w:eastAsia="zh-CN"/>
                <w14:textFill>
                  <w14:solidFill>
                    <w14:schemeClr w14:val="tx1"/>
                  </w14:solidFill>
                </w14:textFill>
              </w:rPr>
              <w:t>2408.55</w:t>
            </w:r>
            <w:r>
              <w:rPr>
                <w:rFonts w:hint="default" w:ascii="Times New Roman" w:hAnsi="Times New Roman" w:cs="Times New Roman"/>
                <w:bCs/>
                <w:color w:val="000000" w:themeColor="text1"/>
                <w:sz w:val="24"/>
                <w14:textFill>
                  <w14:solidFill>
                    <w14:schemeClr w14:val="tx1"/>
                  </w14:solidFill>
                </w14:textFill>
              </w:rPr>
              <w:t>万元</w:t>
            </w:r>
            <w:r>
              <w:rPr>
                <w:rFonts w:hint="default" w:ascii="Times New Roman" w:hAnsi="Times New Roman" w:cs="Times New Roman"/>
                <w:bCs/>
                <w:color w:val="000000" w:themeColor="text1"/>
                <w:sz w:val="24"/>
                <w:lang w:eastAsia="zh-CN"/>
                <w14:textFill>
                  <w14:solidFill>
                    <w14:schemeClr w14:val="tx1"/>
                  </w14:solidFill>
                </w14:textFill>
              </w:rPr>
              <w:t>租赁</w:t>
            </w:r>
            <w:r>
              <w:rPr>
                <w:rFonts w:hint="default" w:ascii="Times New Roman" w:hAnsi="Times New Roman" w:cs="Times New Roman"/>
                <w:color w:val="000000" w:themeColor="text1"/>
                <w:sz w:val="24"/>
                <w:lang w:eastAsia="zh-CN"/>
                <w14:textFill>
                  <w14:solidFill>
                    <w14:schemeClr w14:val="tx1"/>
                  </w14:solidFill>
                </w14:textFill>
              </w:rPr>
              <w:t>安徽省六安市舒城县经济开发区</w:t>
            </w:r>
            <w:r>
              <w:rPr>
                <w:rFonts w:hint="default" w:ascii="Times New Roman" w:hAnsi="Times New Roman" w:cs="Times New Roman"/>
                <w:bCs/>
                <w:color w:val="000000" w:themeColor="text1"/>
                <w:sz w:val="24"/>
                <w:lang w:eastAsia="zh-CN"/>
                <w14:textFill>
                  <w14:solidFill>
                    <w14:schemeClr w14:val="tx1"/>
                  </w14:solidFill>
                </w14:textFill>
              </w:rPr>
              <w:t>安徽光世门业有限公司现有厂房实施</w:t>
            </w:r>
            <w:r>
              <w:rPr>
                <w:rFonts w:hint="default" w:ascii="Times New Roman" w:hAnsi="Times New Roman" w:cs="Times New Roman"/>
                <w:color w:val="000000" w:themeColor="text1"/>
                <w:sz w:val="24"/>
                <w:lang w:eastAsia="zh-CN"/>
                <w14:textFill>
                  <w14:solidFill>
                    <w14:schemeClr w14:val="tx1"/>
                  </w14:solidFill>
                </w14:textFill>
              </w:rPr>
              <w:t>钰台铝合金压力铸造和模具开发产品制造项目。</w:t>
            </w:r>
            <w:r>
              <w:rPr>
                <w:rFonts w:hint="default" w:ascii="Times New Roman" w:hAnsi="Times New Roman" w:cs="Times New Roman"/>
                <w:color w:val="000000" w:themeColor="text1"/>
                <w:sz w:val="24"/>
                <w:szCs w:val="20"/>
                <w14:textFill>
                  <w14:solidFill>
                    <w14:schemeClr w14:val="tx1"/>
                  </w14:solidFill>
                </w14:textFill>
              </w:rPr>
              <w:t>该项目已于</w:t>
            </w:r>
            <w:r>
              <w:rPr>
                <w:rFonts w:hint="default" w:ascii="Times New Roman" w:hAnsi="Times New Roman" w:cs="Times New Roman"/>
                <w:color w:val="000000" w:themeColor="text1"/>
                <w:sz w:val="24"/>
                <w14:textFill>
                  <w14:solidFill>
                    <w14:schemeClr w14:val="tx1"/>
                  </w14:solidFill>
                </w14:textFill>
              </w:rPr>
              <w:t>2023年</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日获得了</w:t>
            </w:r>
            <w:r>
              <w:rPr>
                <w:rFonts w:hint="default" w:ascii="Times New Roman" w:hAnsi="Times New Roman" w:cs="Times New Roman"/>
                <w:color w:val="000000" w:themeColor="text1"/>
                <w:sz w:val="24"/>
                <w:lang w:eastAsia="zh-CN"/>
                <w14:textFill>
                  <w14:solidFill>
                    <w14:schemeClr w14:val="tx1"/>
                  </w14:solidFill>
                </w14:textFill>
              </w:rPr>
              <w:t>舒城经开区经贸科技发展局</w:t>
            </w:r>
            <w:r>
              <w:rPr>
                <w:rFonts w:hint="default" w:ascii="Times New Roman" w:hAnsi="Times New Roman" w:cs="Times New Roman"/>
                <w:color w:val="000000" w:themeColor="text1"/>
                <w:sz w:val="24"/>
                <w14:textFill>
                  <w14:solidFill>
                    <w14:schemeClr w14:val="tx1"/>
                  </w14:solidFill>
                </w14:textFill>
              </w:rPr>
              <w:t>备案。</w:t>
            </w:r>
            <w:r>
              <w:rPr>
                <w:rFonts w:hint="default" w:ascii="Times New Roman" w:hAnsi="Times New Roman" w:cs="Times New Roman"/>
                <w:color w:val="000000" w:themeColor="text1"/>
                <w:sz w:val="24"/>
                <w:highlight w:val="none"/>
                <w14:textFill>
                  <w14:solidFill>
                    <w14:schemeClr w14:val="tx1"/>
                  </w14:solidFill>
                </w14:textFill>
              </w:rPr>
              <w:t>项目代码为</w:t>
            </w:r>
            <w:r>
              <w:rPr>
                <w:rFonts w:hint="default" w:ascii="Times New Roman" w:hAnsi="Times New Roman" w:cs="Times New Roman"/>
                <w:color w:val="000000" w:themeColor="text1"/>
                <w:sz w:val="24"/>
                <w:highlight w:val="none"/>
                <w:lang w:val="en-US" w:eastAsia="zh-CN"/>
                <w14:textFill>
                  <w14:solidFill>
                    <w14:schemeClr w14:val="tx1"/>
                  </w14:solidFill>
                </w14:textFill>
              </w:rPr>
              <w:t>2312-341598-04-01-855840。</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本项目主要生产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合力叉车脚踏板、洗衣机滚筒连接法兰盘</w:t>
            </w:r>
            <w:r>
              <w:rPr>
                <w:rFonts w:hint="default" w:ascii="Times New Roman" w:hAnsi="Times New Roman" w:cs="Times New Roman"/>
                <w:color w:val="000000" w:themeColor="text1"/>
                <w:sz w:val="24"/>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和门业扭簧法兰，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涉及铸造工序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根据《中华人民共和国环境保护法》、《中华人民共和国环境影响评价法》和《建设项目环境保护管理条例》中有关规定，建设项目应开展环境影响评价工作，对照《建设项目环境影响评价分类管理名录（2021年版）》（2021年1月1日实施），本项目环境影响评价类别判定情况见下表：</w:t>
            </w:r>
          </w:p>
          <w:p>
            <w:pPr>
              <w:widowControl/>
              <w:snapToGrid w:val="0"/>
              <w:spacing w:before="100" w:beforeAutospacing="1"/>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表2-1</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 xml:space="preserve"> 项目环评类别判定情况表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639"/>
              <w:gridCol w:w="1945"/>
              <w:gridCol w:w="904"/>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right w:val="single" w:color="auto" w:sz="4"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right"/>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环评类别</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项目类别</w:t>
                  </w:r>
                </w:p>
              </w:tc>
              <w:tc>
                <w:tcPr>
                  <w:tcW w:w="4488" w:type="dxa"/>
                  <w:gridSpan w:val="3"/>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环境影响评价类别</w:t>
                  </w:r>
                </w:p>
              </w:tc>
              <w:tc>
                <w:tcPr>
                  <w:tcW w:w="310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0" w:type="auto"/>
                  <w:vMerge w:val="continue"/>
                  <w:tcBorders>
                    <w:bottom w:val="single" w:color="auto" w:sz="4" w:space="0"/>
                    <w:right w:val="single" w:color="auto" w:sz="4"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报告书</w:t>
                  </w:r>
                </w:p>
              </w:tc>
              <w:tc>
                <w:tcPr>
                  <w:tcW w:w="0" w:type="auto"/>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报告表</w:t>
                  </w:r>
                </w:p>
              </w:tc>
              <w:tc>
                <w:tcPr>
                  <w:tcW w:w="904"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登记表</w:t>
                  </w:r>
                </w:p>
              </w:tc>
              <w:tc>
                <w:tcPr>
                  <w:tcW w:w="3106"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gridSpan w:val="5"/>
                  <w:tcBorders>
                    <w:top w:val="single" w:color="auto" w:sz="4" w:space="0"/>
                    <w:bottom w:val="single" w:color="auto" w:sz="4" w:space="0"/>
                  </w:tcBorders>
                  <w:noWrap w:val="0"/>
                  <w:vAlign w:val="center"/>
                </w:tcPr>
                <w:p>
                  <w:pPr>
                    <w:keepNext w:val="0"/>
                    <w:keepLines w:val="0"/>
                    <w:widowControl/>
                    <w:suppressLineNumbers w:val="0"/>
                    <w:jc w:val="left"/>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三十、金属制品业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66、结构性金属制品制造331</w:t>
                  </w:r>
                </w:p>
              </w:tc>
              <w:tc>
                <w:tcPr>
                  <w:tcW w:w="0" w:type="auto"/>
                  <w:tcBorders>
                    <w:left w:val="single" w:color="auto" w:sz="4" w:space="0"/>
                    <w:right w:val="single" w:color="auto" w:sz="4" w:space="0"/>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 xml:space="preserve">有电镀工艺的；年用溶剂型涂料（含稀释剂）10吨及以上的 </w:t>
                  </w:r>
                </w:p>
              </w:tc>
              <w:tc>
                <w:tcPr>
                  <w:tcW w:w="0" w:type="auto"/>
                  <w:tcBorders>
                    <w:left w:val="single" w:color="auto" w:sz="4" w:space="0"/>
                    <w:right w:val="single" w:color="auto" w:sz="4" w:space="0"/>
                  </w:tcBorders>
                  <w:shd w:val="clear" w:color="auto" w:fill="D7D7D7"/>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 xml:space="preserve">其他（仅分割、焊接、组装的除外；年用非溶剂型低VOCs含量涂料10吨以下的除外） </w:t>
                  </w:r>
                </w:p>
              </w:tc>
              <w:tc>
                <w:tcPr>
                  <w:tcW w:w="904"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w:t>
                  </w:r>
                </w:p>
              </w:tc>
              <w:tc>
                <w:tcPr>
                  <w:tcW w:w="3106"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涉及该条的</w:t>
                  </w:r>
                  <w:r>
                    <w:rPr>
                      <w:rFonts w:hint="default" w:ascii="Times New Roman" w:hAnsi="Times New Roman" w:eastAsia="宋体" w:cs="Times New Roman"/>
                      <w:b/>
                      <w:bCs w:val="0"/>
                      <w:color w:val="000000" w:themeColor="text1"/>
                      <w:sz w:val="21"/>
                      <w:szCs w:val="21"/>
                      <w14:textFill>
                        <w14:solidFill>
                          <w14:schemeClr w14:val="tx1"/>
                        </w14:solidFill>
                      </w14:textFill>
                    </w:rPr>
                    <w:t>行业类别为</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C3311金属结构制造</w:t>
                  </w:r>
                  <w:r>
                    <w:rPr>
                      <w:rFonts w:hint="default" w:ascii="Times New Roman" w:hAnsi="Times New Roman" w:eastAsia="宋体" w:cs="Times New Roman"/>
                      <w:b/>
                      <w:bCs w:val="0"/>
                      <w:color w:val="000000" w:themeColor="text1"/>
                      <w:sz w:val="21"/>
                      <w:szCs w:val="21"/>
                      <w14:textFill>
                        <w14:solidFill>
                          <w14:schemeClr w14:val="tx1"/>
                        </w14:solidFill>
                      </w14:textFill>
                    </w:rPr>
                    <w:t>，</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产品为压铸生产</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的汽车零部件、家电配件及门业配件</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，工艺涉及压铸和</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机加工，</w:t>
                  </w: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项目属于该类别中“其他”，故而编制报告表。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68、铸造及其他金属制品制造 339</w:t>
                  </w:r>
                </w:p>
              </w:tc>
              <w:tc>
                <w:tcPr>
                  <w:tcW w:w="0" w:type="auto"/>
                  <w:tcBorders>
                    <w:left w:val="single" w:color="auto" w:sz="4" w:space="0"/>
                    <w:right w:val="single" w:color="auto" w:sz="4" w:space="0"/>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黑色金属铸造年产10万吨及以上的；有色金属铸造年产10万吨及以上的</w:t>
                  </w:r>
                </w:p>
              </w:tc>
              <w:tc>
                <w:tcPr>
                  <w:tcW w:w="0" w:type="auto"/>
                  <w:tcBorders>
                    <w:left w:val="single" w:color="auto" w:sz="4" w:space="0"/>
                    <w:right w:val="single" w:color="auto" w:sz="4" w:space="0"/>
                  </w:tcBorders>
                  <w:shd w:val="clear" w:color="auto" w:fill="D7D7D7"/>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其他（仅分割、焊接、组装的除外）</w:t>
                  </w:r>
                </w:p>
              </w:tc>
              <w:tc>
                <w:tcPr>
                  <w:tcW w:w="904"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w:t>
                  </w:r>
                </w:p>
              </w:tc>
              <w:tc>
                <w:tcPr>
                  <w:tcW w:w="3106"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涉及该条的</w:t>
                  </w:r>
                  <w:r>
                    <w:rPr>
                      <w:rFonts w:hint="default" w:ascii="Times New Roman" w:hAnsi="Times New Roman" w:eastAsia="宋体" w:cs="Times New Roman"/>
                      <w:b/>
                      <w:bCs w:val="0"/>
                      <w:color w:val="000000" w:themeColor="text1"/>
                      <w:sz w:val="21"/>
                      <w:szCs w:val="21"/>
                      <w14:textFill>
                        <w14:solidFill>
                          <w14:schemeClr w14:val="tx1"/>
                        </w14:solidFill>
                      </w14:textFill>
                    </w:rPr>
                    <w:t>行业类别为</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C3392有色金属铸造</w:t>
                  </w:r>
                  <w:r>
                    <w:rPr>
                      <w:rFonts w:hint="default" w:ascii="Times New Roman" w:hAnsi="Times New Roman" w:eastAsia="宋体" w:cs="Times New Roman"/>
                      <w:b/>
                      <w:bCs w:val="0"/>
                      <w:color w:val="000000" w:themeColor="text1"/>
                      <w:sz w:val="21"/>
                      <w:szCs w:val="21"/>
                      <w14:textFill>
                        <w14:solidFill>
                          <w14:schemeClr w14:val="tx1"/>
                        </w14:solidFill>
                      </w14:textFill>
                    </w:rPr>
                    <w:t>，</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产品为压铸生产的</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汽车零部件、家电配件及门业配件</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原料为铝合金，产能为</w:t>
                  </w:r>
                  <w:r>
                    <w:rPr>
                      <w:rFonts w:hint="default" w:ascii="Times New Roman" w:hAnsi="Times New Roman" w:cs="Times New Roman"/>
                      <w:b/>
                      <w:bCs w:val="0"/>
                      <w:color w:val="000000" w:themeColor="text1"/>
                      <w:spacing w:val="0"/>
                      <w:sz w:val="21"/>
                      <w:szCs w:val="21"/>
                      <w:vertAlign w:val="baseline"/>
                      <w:lang w:val="en-US" w:eastAsia="zh-CN"/>
                      <w14:textFill>
                        <w14:solidFill>
                          <w14:schemeClr w14:val="tx1"/>
                        </w14:solidFill>
                      </w14:textFill>
                    </w:rPr>
                    <w:t>3100t，</w:t>
                  </w:r>
                  <w:r>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项目属于该类别中“其他”，故而编制报告表。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gridSpan w:val="5"/>
                  <w:tcBorders>
                    <w:top w:val="single" w:color="auto" w:sz="4" w:space="0"/>
                    <w:bottom w:val="single" w:color="auto" w:sz="4" w:space="0"/>
                  </w:tcBorders>
                  <w:shd w:val="clear" w:color="auto" w:fill="auto"/>
                  <w:noWrap w:val="0"/>
                  <w:vAlign w:val="center"/>
                </w:tcPr>
                <w:p>
                  <w:pPr>
                    <w:keepNext w:val="0"/>
                    <w:keepLines w:val="0"/>
                    <w:widowControl/>
                    <w:suppressLineNumbers w:val="0"/>
                    <w:jc w:val="left"/>
                    <w:rPr>
                      <w:rFonts w:hint="default" w:ascii="Times New Roman" w:hAnsi="Times New Roman"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0"/>
                      <w:sz w:val="21"/>
                      <w:szCs w:val="21"/>
                      <w:vertAlign w:val="baseline"/>
                      <w:lang w:val="en-US" w:eastAsia="zh-CN"/>
                      <w14:textFill>
                        <w14:solidFill>
                          <w14:schemeClr w14:val="tx1"/>
                        </w14:solidFill>
                      </w14:textFill>
                    </w:rPr>
                    <w:t>三十五、电气机械和器材制造业38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77、</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家</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用电力器具制造385</w:t>
                  </w:r>
                </w:p>
              </w:tc>
              <w:tc>
                <w:tcPr>
                  <w:tcW w:w="0" w:type="auto"/>
                  <w:tcBorders>
                    <w:left w:val="single" w:color="auto" w:sz="4" w:space="0"/>
                    <w:right w:val="single" w:color="auto" w:sz="4" w:space="0"/>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 xml:space="preserve">铅蓄电池制造；太阳能电池片生产；有 </w:t>
                  </w:r>
                </w:p>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 xml:space="preserve">电镀工艺的；年用溶剂型涂料（含稀释 </w:t>
                  </w:r>
                </w:p>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剂）10吨及以上的</w:t>
                  </w:r>
                </w:p>
              </w:tc>
              <w:tc>
                <w:tcPr>
                  <w:tcW w:w="0" w:type="auto"/>
                  <w:tcBorders>
                    <w:left w:val="single" w:color="auto" w:sz="4" w:space="0"/>
                    <w:right w:val="single" w:color="auto" w:sz="4" w:space="0"/>
                  </w:tcBorders>
                  <w:shd w:val="clear" w:color="auto" w:fill="D7D7D7"/>
                  <w:noWrap w:val="0"/>
                  <w:vAlign w:val="center"/>
                </w:tcPr>
                <w:p>
                  <w:pPr>
                    <w:keepNext w:val="0"/>
                    <w:keepLines w:val="0"/>
                    <w:widowControl/>
                    <w:suppressLineNumbers w:val="0"/>
                    <w:jc w:val="left"/>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 xml:space="preserve">其他（仅分割、焊接、组装的除外；年用非溶剂型低VOCs含量涂料10吨以下的除外） </w:t>
                  </w:r>
                </w:p>
              </w:tc>
              <w:tc>
                <w:tcPr>
                  <w:tcW w:w="904"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w:t>
                  </w:r>
                </w:p>
              </w:tc>
              <w:tc>
                <w:tcPr>
                  <w:tcW w:w="3106"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涉及该条的</w:t>
                  </w:r>
                  <w:r>
                    <w:rPr>
                      <w:rFonts w:hint="default" w:ascii="Times New Roman" w:hAnsi="Times New Roman" w:eastAsia="宋体" w:cs="Times New Roman"/>
                      <w:b/>
                      <w:bCs w:val="0"/>
                      <w:color w:val="000000" w:themeColor="text1"/>
                      <w:sz w:val="21"/>
                      <w:szCs w:val="21"/>
                      <w14:textFill>
                        <w14:solidFill>
                          <w14:schemeClr w14:val="tx1"/>
                        </w14:solidFill>
                      </w14:textFill>
                    </w:rPr>
                    <w:t>行业类别为</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C3857家用电力器具专用配件制造</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产品为压铸生产的</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汽车零部件、家电配件及门业配件</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w:t>
                  </w:r>
                  <w:r>
                    <w:rPr>
                      <w:rFonts w:hint="default" w:ascii="Times New Roman" w:hAnsi="Times New Roman" w:cs="Times New Roman"/>
                      <w:b/>
                      <w:bCs w:val="0"/>
                      <w:color w:val="000000" w:themeColor="text1"/>
                      <w:spacing w:val="0"/>
                      <w:sz w:val="21"/>
                      <w:szCs w:val="21"/>
                      <w:vertAlign w:val="baseline"/>
                      <w:lang w:val="en-US" w:eastAsia="zh-CN"/>
                      <w14:textFill>
                        <w14:solidFill>
                          <w14:schemeClr w14:val="tx1"/>
                        </w14:solidFill>
                      </w14:textFill>
                    </w:rPr>
                    <w:t>本项目属于“其他”</w:t>
                  </w:r>
                  <w:r>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，故而</w:t>
                  </w: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编制报告表。</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上表可知</w:t>
            </w:r>
            <w:r>
              <w:rPr>
                <w:rFonts w:hint="default" w:ascii="Times New Roman" w:hAnsi="Times New Roman" w:eastAsia="宋体" w:cs="Times New Roman"/>
                <w:color w:val="000000" w:themeColor="text1"/>
                <w:sz w:val="24"/>
                <w:lang w:val="en-US" w:eastAsia="zh-CN"/>
                <w14:textFill>
                  <w14:solidFill>
                    <w14:schemeClr w14:val="tx1"/>
                  </w14:solidFill>
                </w14:textFill>
              </w:rPr>
              <w:t>，项目属于上表中的“</w:t>
            </w:r>
            <w:r>
              <w:rPr>
                <w:rFonts w:hint="default" w:ascii="Times New Roman" w:hAnsi="Times New Roman" w:eastAsia="宋体" w:cs="Times New Roman"/>
                <w:color w:val="000000" w:themeColor="text1"/>
                <w:sz w:val="24"/>
                <w14:textFill>
                  <w14:solidFill>
                    <w14:schemeClr w14:val="tx1"/>
                  </w14:solidFill>
                </w14:textFill>
              </w:rPr>
              <w:t>其他</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需编制环境影响报告表。</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对照《固定污染源排污许可分类管理名录（2019年版）》，本项目判定如下：</w:t>
            </w:r>
          </w:p>
          <w:p>
            <w:pPr>
              <w:widowControl/>
              <w:snapToGrid w:val="0"/>
              <w:spacing w:before="100" w:beforeAutospacing="1"/>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 xml:space="preserve">表2-2 </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固定污染源排污许可证分类管理名录（2019 年版）（节选）</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43"/>
              <w:gridCol w:w="1829"/>
              <w:gridCol w:w="1476"/>
              <w:gridCol w:w="1090"/>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0" w:type="auto"/>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行业类别</w:t>
                  </w:r>
                </w:p>
              </w:tc>
              <w:tc>
                <w:tcPr>
                  <w:tcW w:w="0" w:type="auto"/>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重点管理</w:t>
                  </w:r>
                </w:p>
              </w:tc>
              <w:tc>
                <w:tcPr>
                  <w:tcW w:w="0" w:type="auto"/>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简化管理</w:t>
                  </w:r>
                </w:p>
              </w:tc>
              <w:tc>
                <w:tcPr>
                  <w:tcW w:w="1090" w:type="dxa"/>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登记管理</w:t>
                  </w:r>
                </w:p>
              </w:tc>
              <w:tc>
                <w:tcPr>
                  <w:tcW w:w="2972" w:type="dxa"/>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本项目</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gridSpan w:val="6"/>
                  <w:noWrap w:val="0"/>
                  <w:vAlign w:val="center"/>
                </w:tcPr>
                <w:p>
                  <w:pPr>
                    <w:keepNext w:val="0"/>
                    <w:keepLines w:val="0"/>
                    <w:pageBreakBefore w:val="0"/>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二十八、金属制品业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80</w:t>
                  </w:r>
                </w:p>
              </w:tc>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结构性金属制品制造 331</w:t>
                  </w:r>
                </w:p>
              </w:tc>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涉及通用工序重点管理的</w:t>
                  </w:r>
                </w:p>
              </w:tc>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涉及通用工序简化管理的</w:t>
                  </w:r>
                </w:p>
              </w:tc>
              <w:tc>
                <w:tcPr>
                  <w:tcW w:w="1090" w:type="dxa"/>
                  <w:shd w:val="clear" w:color="auto" w:fill="D7D7D7"/>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其他</w:t>
                  </w:r>
                </w:p>
              </w:tc>
              <w:tc>
                <w:tcPr>
                  <w:tcW w:w="2972" w:type="dxa"/>
                  <w:noWrap w:val="0"/>
                  <w:vAlign w:val="center"/>
                </w:tcPr>
                <w:p>
                  <w:pPr>
                    <w:keepNext w:val="0"/>
                    <w:keepLines w:val="0"/>
                    <w:widowControl/>
                    <w:suppressLineNumbers w:val="0"/>
                    <w:jc w:val="cente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涉及该条的</w:t>
                  </w:r>
                  <w:r>
                    <w:rPr>
                      <w:rFonts w:hint="default" w:ascii="Times New Roman" w:hAnsi="Times New Roman" w:eastAsia="宋体" w:cs="Times New Roman"/>
                      <w:b/>
                      <w:bCs w:val="0"/>
                      <w:color w:val="000000" w:themeColor="text1"/>
                      <w:sz w:val="21"/>
                      <w:szCs w:val="21"/>
                      <w14:textFill>
                        <w14:solidFill>
                          <w14:schemeClr w14:val="tx1"/>
                        </w14:solidFill>
                      </w14:textFill>
                    </w:rPr>
                    <w:t>行业类别为</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C3311金属结构制造</w:t>
                  </w:r>
                  <w:r>
                    <w:rPr>
                      <w:rFonts w:hint="default" w:ascii="Times New Roman" w:hAnsi="Times New Roman" w:eastAsia="宋体" w:cs="Times New Roman"/>
                      <w:b/>
                      <w:bCs w:val="0"/>
                      <w:color w:val="000000" w:themeColor="text1"/>
                      <w:sz w:val="21"/>
                      <w:szCs w:val="21"/>
                      <w14:textFill>
                        <w14:solidFill>
                          <w14:schemeClr w14:val="tx1"/>
                        </w14:solidFill>
                      </w14:textFill>
                    </w:rPr>
                    <w:t>，</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产品为压铸生产</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的汽车零部件、家电配件及门业配件</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，工艺涉及压铸和</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机加工</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属于</w:t>
                  </w:r>
                  <w:r>
                    <w:rPr>
                      <w:rFonts w:hint="default" w:ascii="Times New Roman" w:hAnsi="Times New Roman" w:eastAsia="宋体" w:cs="Times New Roman"/>
                      <w:b/>
                      <w:bCs w:val="0"/>
                      <w:color w:val="000000" w:themeColor="text1"/>
                      <w:sz w:val="21"/>
                      <w:szCs w:val="21"/>
                      <w14:textFill>
                        <w14:solidFill>
                          <w14:schemeClr w14:val="tx1"/>
                        </w14:solidFill>
                      </w14:textFill>
                    </w:rPr>
                    <w:t>该类别中</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“其他”，为登记管理。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82</w:t>
                  </w:r>
                </w:p>
              </w:tc>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铸造及其他金属制品制造339</w:t>
                  </w:r>
                </w:p>
              </w:tc>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黑色金属铸造3391（使用冲天炉的），有色金属铸造3392（生产铅基及铅青铜铸件的）</w:t>
                  </w:r>
                </w:p>
              </w:tc>
              <w:tc>
                <w:tcPr>
                  <w:tcW w:w="0" w:type="auto"/>
                  <w:shd w:val="clear" w:color="auto" w:fill="D7D7D7"/>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除重点管理以外的黑色金属铸造3391、有色金属铸造 3392</w:t>
                  </w:r>
                </w:p>
              </w:tc>
              <w:tc>
                <w:tcPr>
                  <w:tcW w:w="1090" w:type="dxa"/>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其他</w:t>
                  </w:r>
                </w:p>
              </w:tc>
              <w:tc>
                <w:tcPr>
                  <w:tcW w:w="2972" w:type="dxa"/>
                  <w:noWrap w:val="0"/>
                  <w:vAlign w:val="center"/>
                </w:tcPr>
                <w:p>
                  <w:pPr>
                    <w:keepNext w:val="0"/>
                    <w:keepLines w:val="0"/>
                    <w:widowControl/>
                    <w:suppressLineNumbers w:val="0"/>
                    <w:jc w:val="cente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涉及</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该条</w:t>
                  </w:r>
                  <w:r>
                    <w:rPr>
                      <w:rFonts w:hint="default" w:ascii="Times New Roman" w:hAnsi="Times New Roman" w:eastAsia="宋体" w:cs="Times New Roman"/>
                      <w:b/>
                      <w:bCs w:val="0"/>
                      <w:color w:val="000000" w:themeColor="text1"/>
                      <w:sz w:val="21"/>
                      <w:szCs w:val="21"/>
                      <w14:textFill>
                        <w14:solidFill>
                          <w14:schemeClr w14:val="tx1"/>
                        </w14:solidFill>
                      </w14:textFill>
                    </w:rPr>
                    <w:t>行业类别为</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C3392有色金属铸造</w:t>
                  </w:r>
                  <w:r>
                    <w:rPr>
                      <w:rFonts w:hint="default" w:ascii="Times New Roman" w:hAnsi="Times New Roman" w:eastAsia="宋体" w:cs="Times New Roman"/>
                      <w:b/>
                      <w:bCs w:val="0"/>
                      <w:color w:val="000000" w:themeColor="text1"/>
                      <w:sz w:val="21"/>
                      <w:szCs w:val="21"/>
                      <w14:textFill>
                        <w14:solidFill>
                          <w14:schemeClr w14:val="tx1"/>
                        </w14:solidFill>
                      </w14:textFill>
                    </w:rPr>
                    <w:t>，</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产品为压铸生产的</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汽车零部件、家电配件及门业配件</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原料为铝合金，属于该类别中“</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除重点管理以外的黑色金属铸造3391、有色金属铸造3392</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”，为简化管理</w:t>
                  </w:r>
                  <w:r>
                    <w:rPr>
                      <w:rFonts w:hint="default" w:ascii="Times New Roman" w:hAnsi="Times New Roman" w:eastAsia="宋体" w:cs="Times New Roman"/>
                      <w:b/>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gridSpan w:val="6"/>
                  <w:shd w:val="clear" w:color="auto" w:fill="auto"/>
                  <w:noWrap w:val="0"/>
                  <w:vAlign w:val="center"/>
                </w:tcPr>
                <w:p>
                  <w:pPr>
                    <w:keepNext w:val="0"/>
                    <w:keepLines w:val="0"/>
                    <w:widowControl/>
                    <w:suppressLineNumbers w:val="0"/>
                    <w:jc w:val="left"/>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0"/>
                      <w:sz w:val="21"/>
                      <w:szCs w:val="21"/>
                      <w:vertAlign w:val="baseline"/>
                      <w:lang w:val="en-US" w:eastAsia="zh-CN"/>
                      <w14:textFill>
                        <w14:solidFill>
                          <w14:schemeClr w14:val="tx1"/>
                        </w14:solidFill>
                      </w14:textFill>
                    </w:rPr>
                    <w:t>三十三、电气机械和器材制造业38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87</w:t>
                  </w:r>
                </w:p>
              </w:tc>
              <w:tc>
                <w:tcPr>
                  <w:tcW w:w="0" w:type="auto"/>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家用电力器具制造385</w:t>
                  </w:r>
                </w:p>
              </w:tc>
              <w:tc>
                <w:tcPr>
                  <w:tcW w:w="0" w:type="auto"/>
                  <w:shd w:val="clear" w:color="auto" w:fill="auto"/>
                  <w:noWrap w:val="0"/>
                  <w:vAlign w:val="center"/>
                </w:tcPr>
                <w:p>
                  <w:pPr>
                    <w:keepNext w:val="0"/>
                    <w:keepLines w:val="0"/>
                    <w:widowControl/>
                    <w:suppressLineNumbers w:val="0"/>
                    <w:jc w:val="left"/>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涉及通用工序重点管理的</w:t>
                  </w:r>
                </w:p>
              </w:tc>
              <w:tc>
                <w:tcPr>
                  <w:tcW w:w="0" w:type="auto"/>
                  <w:shd w:val="clear" w:color="auto" w:fill="auto"/>
                  <w:noWrap w:val="0"/>
                  <w:vAlign w:val="center"/>
                </w:tcPr>
                <w:p>
                  <w:pPr>
                    <w:keepNext w:val="0"/>
                    <w:keepLines w:val="0"/>
                    <w:widowControl/>
                    <w:suppressLineNumbers w:val="0"/>
                    <w:jc w:val="left"/>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涉及通用工序简化管理的</w:t>
                  </w:r>
                </w:p>
              </w:tc>
              <w:tc>
                <w:tcPr>
                  <w:tcW w:w="1090" w:type="dxa"/>
                  <w:shd w:val="clear" w:color="auto" w:fill="D7D7D7" w:themeFill="background1" w:themeFillShade="D8"/>
                  <w:noWrap w:val="0"/>
                  <w:vAlign w:val="center"/>
                </w:tcPr>
                <w:p>
                  <w:pPr>
                    <w:keepNext w:val="0"/>
                    <w:keepLines w:val="0"/>
                    <w:widowControl/>
                    <w:suppressLineNumbers w:val="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其他</w:t>
                  </w:r>
                </w:p>
              </w:tc>
              <w:tc>
                <w:tcPr>
                  <w:tcW w:w="2972" w:type="dxa"/>
                  <w:noWrap w:val="0"/>
                  <w:vAlign w:val="center"/>
                </w:tcPr>
                <w:p>
                  <w:pPr>
                    <w:keepNext w:val="0"/>
                    <w:keepLines w:val="0"/>
                    <w:widowControl/>
                    <w:suppressLineNumbers w:val="0"/>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涉及该条的</w:t>
                  </w:r>
                  <w:r>
                    <w:rPr>
                      <w:rFonts w:hint="default" w:ascii="Times New Roman" w:hAnsi="Times New Roman" w:eastAsia="宋体" w:cs="Times New Roman"/>
                      <w:b/>
                      <w:bCs w:val="0"/>
                      <w:color w:val="000000" w:themeColor="text1"/>
                      <w:sz w:val="21"/>
                      <w:szCs w:val="21"/>
                      <w14:textFill>
                        <w14:solidFill>
                          <w14:schemeClr w14:val="tx1"/>
                        </w14:solidFill>
                      </w14:textFill>
                    </w:rPr>
                    <w:t>行业类别为</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C3857家用电力器具专用配件制造</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产品为压铸生产的</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汽车零部件、家电配件及门业配件</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本项目属于其他</w:t>
                  </w:r>
                  <w:r>
                    <w:rPr>
                      <w:rFonts w:hint="default" w:ascii="Times New Roman" w:hAnsi="Times New Roman" w:cs="Times New Roman"/>
                      <w:b/>
                      <w:bCs/>
                      <w:color w:val="000000" w:themeColor="text1"/>
                      <w:spacing w:val="0"/>
                      <w:sz w:val="21"/>
                      <w:szCs w:val="21"/>
                      <w:vertAlign w:val="baseline"/>
                      <w:lang w:val="en-US" w:eastAsia="zh-CN"/>
                      <w14:textFill>
                        <w14:solidFill>
                          <w14:schemeClr w14:val="tx1"/>
                        </w14:solidFill>
                      </w14:textFill>
                    </w:rPr>
                    <w:t>，为登记管理</w:t>
                  </w:r>
                </w:p>
              </w:tc>
            </w:tr>
          </w:tbl>
          <w:p>
            <w:pPr>
              <w:autoSpaceDE w:val="0"/>
              <w:autoSpaceDN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综上，</w:t>
            </w:r>
            <w:r>
              <w:rPr>
                <w:rFonts w:hint="default" w:ascii="Times New Roman" w:hAnsi="Times New Roman" w:cs="Times New Roman"/>
                <w:color w:val="000000" w:themeColor="text1"/>
                <w:sz w:val="24"/>
                <w:highlight w:val="none"/>
                <w14:textFill>
                  <w14:solidFill>
                    <w14:schemeClr w14:val="tx1"/>
                  </w14:solidFill>
                </w14:textFill>
              </w:rPr>
              <w:t>本项目实行排污许可简化管理。项目应当在启动生产设施或者发生实际排污之前申请取得排污许可证。</w:t>
            </w:r>
          </w:p>
          <w:p>
            <w:pPr>
              <w:autoSpaceDE w:val="0"/>
              <w:autoSpaceDN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安徽省生态环境厅于2021年1月30日发布的《安徽省生态环境厅关于统筹做好固定污染源排污许可日常监管工作的通知》（皖环发[2021]7号），属于现行《固定污染源排污许可分类管理名录（2019版）》内重点管理和简化管理的行业的，在环评文件中应明确“建设项目环境影响评价与排污许可联动内容”和《建设项目排污许可申请与填发信息表》。</w:t>
            </w:r>
          </w:p>
          <w:p>
            <w:pPr>
              <w:spacing w:line="360" w:lineRule="auto"/>
              <w:ind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2、</w:t>
            </w:r>
            <w:r>
              <w:rPr>
                <w:rFonts w:hint="default" w:ascii="Times New Roman" w:hAnsi="Times New Roman" w:cs="Times New Roman"/>
                <w:b/>
                <w:color w:val="000000" w:themeColor="text1"/>
                <w:sz w:val="24"/>
                <w:szCs w:val="24"/>
                <w14:textFill>
                  <w14:solidFill>
                    <w14:schemeClr w14:val="tx1"/>
                  </w14:solidFill>
                </w14:textFill>
              </w:rPr>
              <w:t>项目建设内容</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本项目租赁</w:t>
            </w:r>
            <w:r>
              <w:rPr>
                <w:rFonts w:hint="default" w:ascii="Times New Roman" w:hAnsi="Times New Roman" w:cs="Times New Roman"/>
                <w:bCs/>
                <w:color w:val="000000" w:themeColor="text1"/>
                <w:sz w:val="24"/>
                <w:lang w:eastAsia="zh-CN"/>
                <w14:textFill>
                  <w14:solidFill>
                    <w14:schemeClr w14:val="tx1"/>
                  </w14:solidFill>
                </w14:textFill>
              </w:rPr>
              <w:t>安徽光世门业有限公司</w:t>
            </w:r>
            <w:r>
              <w:rPr>
                <w:rFonts w:hint="default" w:ascii="Times New Roman" w:hAnsi="Times New Roman" w:cs="Times New Roman"/>
                <w:color w:val="000000" w:themeColor="text1"/>
                <w:sz w:val="24"/>
                <w14:textFill>
                  <w14:solidFill>
                    <w14:schemeClr w14:val="tx1"/>
                  </w14:solidFill>
                </w14:textFill>
              </w:rPr>
              <w:t>现有厂房进行生产，不涉及土建。本项目建设具体内容见下表。</w:t>
            </w:r>
          </w:p>
          <w:p>
            <w:pPr>
              <w:autoSpaceDE w:val="0"/>
              <w:autoSpaceDN w:val="0"/>
              <w:adjustRightInd w:val="0"/>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zh-CN"/>
                <w14:textFill>
                  <w14:solidFill>
                    <w14:schemeClr w14:val="tx1"/>
                  </w14:solidFill>
                </w14:textFill>
              </w:rPr>
              <w:t>表</w:t>
            </w:r>
            <w:r>
              <w:rPr>
                <w:rFonts w:hint="default" w:ascii="Times New Roman" w:hAnsi="Times New Roman" w:cs="Times New Roman"/>
                <w:b/>
                <w:color w:val="000000" w:themeColor="text1"/>
                <w:sz w:val="24"/>
                <w14:textFill>
                  <w14:solidFill>
                    <w14:schemeClr w14:val="tx1"/>
                  </w14:solidFill>
                </w14:textFill>
              </w:rPr>
              <w:t>2-3</w:t>
            </w:r>
            <w:r>
              <w:rPr>
                <w:rFonts w:hint="default" w:ascii="Times New Roman" w:hAnsi="Times New Roman" w:cs="Times New Roman"/>
                <w:b/>
                <w:color w:val="000000" w:themeColor="text1"/>
                <w:sz w:val="24"/>
                <w:lang w:val="zh-CN"/>
                <w14:textFill>
                  <w14:solidFill>
                    <w14:schemeClr w14:val="tx1"/>
                  </w14:solidFill>
                </w14:textFill>
              </w:rPr>
              <w:t xml:space="preserve"> </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lang w:val="en-US" w:eastAsia="zh-CN"/>
                <w14:textFill>
                  <w14:solidFill>
                    <w14:schemeClr w14:val="tx1"/>
                  </w14:solidFill>
                </w14:textFill>
              </w:rPr>
              <w:t>项目主要建设内容及规模组成一览表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737"/>
              <w:gridCol w:w="451"/>
              <w:gridCol w:w="808"/>
              <w:gridCol w:w="4840"/>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noWrap w:val="0"/>
                  <w:vAlign w:val="center"/>
                </w:tcPr>
                <w:p>
                  <w:pPr>
                    <w:widowControl/>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序号</w:t>
                  </w:r>
                </w:p>
              </w:tc>
              <w:tc>
                <w:tcPr>
                  <w:tcW w:w="425" w:type="pct"/>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工程</w:t>
                  </w:r>
                  <w:r>
                    <w:rPr>
                      <w:rFonts w:hint="default" w:ascii="Times New Roman" w:hAnsi="Times New Roman" w:eastAsia="宋体" w:cs="Times New Roman"/>
                      <w:b/>
                      <w:bCs/>
                      <w:color w:val="000000" w:themeColor="text1"/>
                      <w:szCs w:val="21"/>
                      <w14:textFill>
                        <w14:solidFill>
                          <w14:schemeClr w14:val="tx1"/>
                        </w14:solidFill>
                      </w14:textFill>
                    </w:rPr>
                    <w:t>类别</w:t>
                  </w:r>
                </w:p>
              </w:tc>
              <w:tc>
                <w:tcPr>
                  <w:tcW w:w="726" w:type="pct"/>
                  <w:gridSpan w:val="2"/>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单项</w:t>
                  </w:r>
                  <w:r>
                    <w:rPr>
                      <w:rFonts w:hint="default" w:ascii="Times New Roman" w:hAnsi="Times New Roman" w:eastAsia="宋体" w:cs="Times New Roman"/>
                      <w:b/>
                      <w:bCs/>
                      <w:color w:val="000000" w:themeColor="text1"/>
                      <w:szCs w:val="21"/>
                      <w14:textFill>
                        <w14:solidFill>
                          <w14:schemeClr w14:val="tx1"/>
                        </w14:solidFill>
                      </w14:textFill>
                    </w:rPr>
                    <w:t>工程名称</w:t>
                  </w:r>
                </w:p>
              </w:tc>
              <w:tc>
                <w:tcPr>
                  <w:tcW w:w="2792" w:type="pct"/>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实际工程规模和内容</w:t>
                  </w:r>
                </w:p>
              </w:tc>
              <w:tc>
                <w:tcPr>
                  <w:tcW w:w="634" w:type="pct"/>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425"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主体</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工程</w:t>
                  </w:r>
                </w:p>
              </w:tc>
              <w:tc>
                <w:tcPr>
                  <w:tcW w:w="726" w:type="pct"/>
                  <w:gridSpan w:val="2"/>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生产车间</w:t>
                  </w:r>
                </w:p>
              </w:tc>
              <w:tc>
                <w:tcPr>
                  <w:tcW w:w="2792" w:type="pct"/>
                  <w:noWrap w:val="0"/>
                  <w:vAlign w:val="center"/>
                </w:tcPr>
                <w:p>
                  <w:pPr>
                    <w:widowControl/>
                    <w:jc w:val="left"/>
                    <w:rPr>
                      <w:rFonts w:hint="default" w:ascii="Times New Roman" w:hAnsi="Times New Roman" w:eastAsia="宋体" w:cs="Times New Roman"/>
                      <w:b/>
                      <w:bCs/>
                      <w:color w:val="000000" w:themeColor="text1"/>
                      <w:sz w:val="24"/>
                      <w:szCs w:val="24"/>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1F，</w:t>
                  </w:r>
                  <w:r>
                    <w:rPr>
                      <w:rFonts w:hint="default" w:ascii="Times New Roman" w:hAnsi="Times New Roman" w:cs="Times New Roman"/>
                      <w:color w:val="000000" w:themeColor="text1"/>
                      <w:sz w:val="21"/>
                      <w:szCs w:val="21"/>
                      <w:lang w:val="en-US" w:eastAsia="zh-CN"/>
                      <w14:textFill>
                        <w14:solidFill>
                          <w14:schemeClr w14:val="tx1"/>
                        </w14:solidFill>
                      </w14:textFill>
                    </w:rPr>
                    <w:t>厂房高度9m，</w:t>
                  </w:r>
                  <w:r>
                    <w:rPr>
                      <w:rFonts w:hint="default" w:ascii="Times New Roman" w:hAnsi="Times New Roman" w:cs="Times New Roman"/>
                      <w:color w:val="000000" w:themeColor="text1"/>
                      <w:sz w:val="21"/>
                      <w:szCs w:val="21"/>
                      <w:lang w:eastAsia="zh-CN"/>
                      <w14:textFill>
                        <w14:solidFill>
                          <w14:schemeClr w14:val="tx1"/>
                        </w14:solidFill>
                      </w14:textFill>
                    </w:rPr>
                    <w:t>房共高占地</w:t>
                  </w:r>
                  <w:r>
                    <w:rPr>
                      <w:rFonts w:hint="default" w:ascii="Times New Roman" w:hAnsi="Times New Roman" w:eastAsia="宋体" w:cs="Times New Roman"/>
                      <w:color w:val="000000" w:themeColor="text1"/>
                      <w:sz w:val="21"/>
                      <w:szCs w:val="21"/>
                      <w:lang w:eastAsia="zh-CN"/>
                      <w14:textFill>
                        <w14:solidFill>
                          <w14:schemeClr w14:val="tx1"/>
                        </w14:solidFill>
                      </w14:textFill>
                    </w:rPr>
                    <w:t>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，主要</w:t>
                  </w:r>
                  <w:r>
                    <w:rPr>
                      <w:rFonts w:hint="default" w:ascii="Times New Roman" w:hAnsi="Times New Roman" w:cs="Times New Roman"/>
                      <w:color w:val="000000" w:themeColor="text1"/>
                      <w:sz w:val="21"/>
                      <w:szCs w:val="21"/>
                      <w:lang w:eastAsia="zh-CN"/>
                      <w14:textFill>
                        <w14:solidFill>
                          <w14:schemeClr w14:val="tx1"/>
                        </w14:solidFill>
                      </w14:textFill>
                    </w:rPr>
                    <w:t>有压铸区、</w:t>
                  </w:r>
                  <w:r>
                    <w:rPr>
                      <w:rFonts w:hint="default" w:ascii="Times New Roman" w:hAnsi="Times New Roman" w:cs="Times New Roman"/>
                      <w:color w:val="000000" w:themeColor="text1"/>
                      <w:szCs w:val="21"/>
                      <w:lang w:val="en-US" w:eastAsia="zh-CN"/>
                      <w14:textFill>
                        <w14:solidFill>
                          <w14:schemeClr w14:val="tx1"/>
                        </w14:solidFill>
                      </w14:textFill>
                    </w:rPr>
                    <w:t>抛光</w:t>
                  </w:r>
                  <w:r>
                    <w:rPr>
                      <w:rFonts w:hint="default" w:ascii="Times New Roman" w:hAnsi="Times New Roman" w:cs="Times New Roman"/>
                      <w:color w:val="000000" w:themeColor="text1"/>
                      <w:sz w:val="21"/>
                      <w:szCs w:val="21"/>
                      <w:lang w:eastAsia="zh-CN"/>
                      <w14:textFill>
                        <w14:solidFill>
                          <w14:schemeClr w14:val="tx1"/>
                        </w14:solidFill>
                      </w14:textFill>
                    </w:rPr>
                    <w:t>区、机加工区、原料区、成品区等，主要生产设备有压铸机、天然气熔铝炉、抛光机等，年产</w:t>
                  </w:r>
                  <w:r>
                    <w:rPr>
                      <w:rFonts w:hint="default" w:ascii="Times New Roman" w:hAnsi="Times New Roman" w:eastAsia="宋体" w:cs="Times New Roman"/>
                      <w:color w:val="000000" w:themeColor="text1"/>
                      <w:szCs w:val="21"/>
                      <w:lang w:eastAsia="zh-CN"/>
                      <w14:textFill>
                        <w14:solidFill>
                          <w14:schemeClr w14:val="tx1"/>
                        </w14:solidFill>
                      </w14:textFill>
                    </w:rPr>
                    <w:t>合力叉车脚踏板</w:t>
                  </w:r>
                  <w:r>
                    <w:rPr>
                      <w:rFonts w:hint="default" w:ascii="Times New Roman" w:hAnsi="Times New Roman" w:eastAsia="宋体" w:cs="Times New Roman"/>
                      <w:color w:val="000000" w:themeColor="text1"/>
                      <w:szCs w:val="21"/>
                      <w:lang w:val="en-US" w:eastAsia="zh-CN"/>
                      <w14:textFill>
                        <w14:solidFill>
                          <w14:schemeClr w14:val="tx1"/>
                        </w14:solidFill>
                      </w14:textFill>
                    </w:rPr>
                    <w:t>20万套，</w:t>
                  </w:r>
                  <w:r>
                    <w:rPr>
                      <w:rFonts w:hint="default" w:ascii="Times New Roman" w:hAnsi="Times New Roman" w:eastAsia="宋体" w:cs="Times New Roman"/>
                      <w:color w:val="000000" w:themeColor="text1"/>
                      <w:szCs w:val="21"/>
                      <w:lang w:eastAsia="zh-CN"/>
                      <w14:textFill>
                        <w14:solidFill>
                          <w14:schemeClr w14:val="tx1"/>
                        </w14:solidFill>
                      </w14:textFill>
                    </w:rPr>
                    <w:t>洗衣机滚筒连接法兰盘</w:t>
                  </w:r>
                  <w:r>
                    <w:rPr>
                      <w:rFonts w:hint="default" w:ascii="Times New Roman" w:hAnsi="Times New Roman" w:eastAsia="宋体" w:cs="Times New Roman"/>
                      <w:color w:val="000000" w:themeColor="text1"/>
                      <w:szCs w:val="21"/>
                      <w:lang w:val="en-US" w:eastAsia="zh-CN"/>
                      <w14:textFill>
                        <w14:solidFill>
                          <w14:schemeClr w14:val="tx1"/>
                        </w14:solidFill>
                      </w14:textFill>
                    </w:rPr>
                    <w:t>10万套、电机外壳系列产品10万套和门业扭簧法兰</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0万套</w:t>
                  </w:r>
                </w:p>
              </w:tc>
              <w:tc>
                <w:tcPr>
                  <w:tcW w:w="634" w:type="pct"/>
                  <w:vMerge w:val="restart"/>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依托</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安徽光世门业有限公司</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空置厂房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restart"/>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425" w:type="pct"/>
                  <w:vMerge w:val="restar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辅助工程</w:t>
                  </w:r>
                </w:p>
              </w:tc>
              <w:tc>
                <w:tcPr>
                  <w:tcW w:w="726" w:type="pct"/>
                  <w:gridSpan w:val="2"/>
                  <w:noWrap w:val="0"/>
                  <w:vAlign w:val="center"/>
                </w:tcPr>
                <w:p>
                  <w:pPr>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办公区</w:t>
                  </w:r>
                </w:p>
              </w:tc>
              <w:tc>
                <w:tcPr>
                  <w:tcW w:w="2792" w:type="pct"/>
                  <w:noWrap w:val="0"/>
                  <w:vAlign w:val="center"/>
                </w:tcPr>
                <w:p>
                  <w:pPr>
                    <w:widowControl/>
                    <w:jc w:val="center"/>
                    <w:rPr>
                      <w:rFonts w:hint="default" w:ascii="Times New Roman" w:hAnsi="Times New Roman" w:eastAsia="宋体" w:cs="Times New Roman"/>
                      <w:b/>
                      <w:bCs/>
                      <w:color w:val="000000" w:themeColor="text1"/>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位于生产车间</w:t>
                  </w:r>
                  <w:r>
                    <w:rPr>
                      <w:rFonts w:hint="default" w:ascii="Times New Roman" w:hAnsi="Times New Roman" w:cs="Times New Roman"/>
                      <w:color w:val="000000" w:themeColor="text1"/>
                      <w:szCs w:val="21"/>
                      <w:lang w:eastAsia="zh-CN"/>
                      <w14:textFill>
                        <w14:solidFill>
                          <w14:schemeClr w14:val="tx1"/>
                        </w14:solidFill>
                      </w14:textFill>
                    </w:rPr>
                    <w:t>东</w:t>
                  </w:r>
                  <w:r>
                    <w:rPr>
                      <w:rFonts w:hint="default" w:ascii="Times New Roman" w:hAnsi="Times New Roman" w:eastAsia="宋体" w:cs="Times New Roman"/>
                      <w:color w:val="000000" w:themeColor="text1"/>
                      <w:szCs w:val="21"/>
                      <w14:textFill>
                        <w14:solidFill>
                          <w14:schemeClr w14:val="tx1"/>
                        </w14:solidFill>
                      </w14:textFill>
                    </w:rPr>
                    <w:t>侧，</w:t>
                  </w:r>
                  <w:r>
                    <w:rPr>
                      <w:rFonts w:hint="default" w:ascii="Times New Roman" w:hAnsi="Times New Roman" w:cs="Times New Roman"/>
                      <w:color w:val="000000" w:themeColor="text1"/>
                      <w:sz w:val="21"/>
                      <w:szCs w:val="21"/>
                      <w:lang w:eastAsia="zh-CN"/>
                      <w14:textFill>
                        <w14:solidFill>
                          <w14:schemeClr w14:val="tx1"/>
                        </w14:solidFill>
                      </w14:textFill>
                    </w:rPr>
                    <w:t>占地</w:t>
                  </w:r>
                  <w:r>
                    <w:rPr>
                      <w:rFonts w:hint="default" w:ascii="Times New Roman" w:hAnsi="Times New Roman" w:eastAsia="宋体" w:cs="Times New Roman"/>
                      <w:color w:val="000000" w:themeColor="text1"/>
                      <w:szCs w:val="21"/>
                      <w14:textFill>
                        <w14:solidFill>
                          <w14:schemeClr w14:val="tx1"/>
                        </w14:solidFill>
                      </w14:textFill>
                    </w:rPr>
                    <w:t>面积</w:t>
                  </w:r>
                  <w:r>
                    <w:rPr>
                      <w:rFonts w:hint="default" w:ascii="Times New Roman" w:hAnsi="Times New Roman" w:cs="Times New Roman"/>
                      <w:color w:val="000000" w:themeColor="text1"/>
                      <w:szCs w:val="21"/>
                      <w:lang w:eastAsia="zh-CN"/>
                      <w14:textFill>
                        <w14:solidFill>
                          <w14:schemeClr w14:val="tx1"/>
                        </w14:solidFill>
                      </w14:textFill>
                    </w:rPr>
                    <w:t>约</w:t>
                  </w:r>
                  <w:r>
                    <w:rPr>
                      <w:rFonts w:hint="default"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，用于员工办公</w:t>
                  </w:r>
                </w:p>
              </w:tc>
              <w:tc>
                <w:tcPr>
                  <w:tcW w:w="634"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20"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25" w:type="pct"/>
                  <w:vMerge w:val="continue"/>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26" w:type="pct"/>
                  <w:gridSpan w:val="2"/>
                  <w:noWrap w:val="0"/>
                  <w:vAlign w:val="center"/>
                </w:tcPr>
                <w:p>
                  <w:pPr>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食堂</w:t>
                  </w:r>
                </w:p>
              </w:tc>
              <w:tc>
                <w:tcPr>
                  <w:tcW w:w="2792" w:type="pct"/>
                  <w:noWrap w:val="0"/>
                  <w:vAlign w:val="center"/>
                </w:tcPr>
                <w:p>
                  <w:pPr>
                    <w:widowControl/>
                    <w:jc w:val="center"/>
                    <w:rPr>
                      <w:rFonts w:hint="default" w:ascii="Times New Roman" w:hAnsi="Times New Roman" w:eastAsia="宋体" w:cs="Times New Roman"/>
                      <w:b/>
                      <w:bCs/>
                      <w:color w:val="000000" w:themeColor="text1"/>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位于生产车间</w:t>
                  </w:r>
                  <w:r>
                    <w:rPr>
                      <w:rFonts w:hint="default" w:ascii="Times New Roman" w:hAnsi="Times New Roman" w:cs="Times New Roman"/>
                      <w:color w:val="000000" w:themeColor="text1"/>
                      <w:szCs w:val="21"/>
                      <w:lang w:eastAsia="zh-CN"/>
                      <w14:textFill>
                        <w14:solidFill>
                          <w14:schemeClr w14:val="tx1"/>
                        </w14:solidFill>
                      </w14:textFill>
                    </w:rPr>
                    <w:t>东</w:t>
                  </w:r>
                  <w:r>
                    <w:rPr>
                      <w:rFonts w:hint="default" w:ascii="Times New Roman" w:hAnsi="Times New Roman" w:eastAsia="宋体" w:cs="Times New Roman"/>
                      <w:color w:val="000000" w:themeColor="text1"/>
                      <w:szCs w:val="21"/>
                      <w14:textFill>
                        <w14:solidFill>
                          <w14:schemeClr w14:val="tx1"/>
                        </w14:solidFill>
                      </w14:textFill>
                    </w:rPr>
                    <w:t>侧，</w:t>
                  </w:r>
                  <w:r>
                    <w:rPr>
                      <w:rFonts w:hint="default" w:ascii="Times New Roman" w:hAnsi="Times New Roman" w:cs="Times New Roman"/>
                      <w:color w:val="000000" w:themeColor="text1"/>
                      <w:sz w:val="21"/>
                      <w:szCs w:val="21"/>
                      <w:lang w:eastAsia="zh-CN"/>
                      <w14:textFill>
                        <w14:solidFill>
                          <w14:schemeClr w14:val="tx1"/>
                        </w14:solidFill>
                      </w14:textFill>
                    </w:rPr>
                    <w:t>占地</w:t>
                  </w:r>
                  <w:r>
                    <w:rPr>
                      <w:rFonts w:hint="default" w:ascii="Times New Roman" w:hAnsi="Times New Roman" w:eastAsia="宋体" w:cs="Times New Roman"/>
                      <w:color w:val="000000" w:themeColor="text1"/>
                      <w:szCs w:val="21"/>
                      <w14:textFill>
                        <w14:solidFill>
                          <w14:schemeClr w14:val="tx1"/>
                        </w14:solidFill>
                      </w14:textFill>
                    </w:rPr>
                    <w:t>面积</w:t>
                  </w:r>
                  <w:r>
                    <w:rPr>
                      <w:rFonts w:hint="default" w:ascii="Times New Roman" w:hAnsi="Times New Roman" w:cs="Times New Roman"/>
                      <w:color w:val="000000" w:themeColor="text1"/>
                      <w:szCs w:val="21"/>
                      <w:lang w:eastAsia="zh-CN"/>
                      <w14:textFill>
                        <w14:solidFill>
                          <w14:schemeClr w14:val="tx1"/>
                        </w14:solidFill>
                      </w14:textFill>
                    </w:rPr>
                    <w:t>约</w:t>
                  </w:r>
                  <w:r>
                    <w:rPr>
                      <w:rFonts w:hint="default" w:ascii="Times New Roman" w:hAnsi="Times New Roman" w:eastAsia="宋体" w:cs="Times New Roman"/>
                      <w:color w:val="000000" w:themeColor="text1"/>
                      <w:szCs w:val="21"/>
                      <w:lang w:val="en-US" w:eastAsia="zh-CN"/>
                      <w14:textFill>
                        <w14:solidFill>
                          <w14:schemeClr w14:val="tx1"/>
                        </w14:solidFill>
                      </w14:textFill>
                    </w:rPr>
                    <w:t>30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用于员工就餐</w:t>
                  </w:r>
                </w:p>
              </w:tc>
              <w:tc>
                <w:tcPr>
                  <w:tcW w:w="634" w:type="pct"/>
                  <w:vMerge w:val="continue"/>
                  <w:noWrap w:val="0"/>
                  <w:vAlign w:val="center"/>
                </w:tcPr>
                <w:p>
                  <w:pPr>
                    <w:pStyle w:val="38"/>
                    <w:ind w:left="0" w:leftChars="0" w:firstLine="0" w:firstLineChars="0"/>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25" w:type="pct"/>
                  <w:vMerge w:val="continue"/>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26" w:type="pct"/>
                  <w:gridSpan w:val="2"/>
                  <w:noWrap w:val="0"/>
                  <w:vAlign w:val="center"/>
                </w:tcPr>
                <w:p>
                  <w:pPr>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宿舍</w:t>
                  </w:r>
                </w:p>
              </w:tc>
              <w:tc>
                <w:tcPr>
                  <w:tcW w:w="279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3F，位于生产车间西南侧</w:t>
                  </w:r>
                  <w:r>
                    <w:rPr>
                      <w:rFonts w:hint="default" w:ascii="Times New Roman" w:hAnsi="Times New Roman" w:cs="Times New Roman"/>
                      <w:color w:val="000000" w:themeColor="text1"/>
                      <w:szCs w:val="21"/>
                      <w:lang w:val="en-US" w:eastAsia="zh-CN"/>
                      <w14:textFill>
                        <w14:solidFill>
                          <w14:schemeClr w14:val="tx1"/>
                        </w14:solidFill>
                      </w14:textFill>
                    </w:rPr>
                    <w:t>的办公楼</w:t>
                  </w:r>
                  <w:r>
                    <w:rPr>
                      <w:rFonts w:hint="default" w:ascii="Times New Roman" w:hAnsi="Times New Roman" w:eastAsia="宋体" w:cs="Times New Roman"/>
                      <w:color w:val="000000" w:themeColor="text1"/>
                      <w:szCs w:val="21"/>
                      <w:lang w:val="en-US" w:eastAsia="zh-CN"/>
                      <w14:textFill>
                        <w14:solidFill>
                          <w14:schemeClr w14:val="tx1"/>
                        </w14:solidFill>
                      </w14:textFill>
                    </w:rPr>
                    <w:t>，租赁</w:t>
                  </w: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t>F为员工宿舍，用于员工住宿</w:t>
                  </w:r>
                </w:p>
              </w:tc>
              <w:tc>
                <w:tcPr>
                  <w:tcW w:w="634" w:type="pct"/>
                  <w:vMerge w:val="continue"/>
                  <w:noWrap w:val="0"/>
                  <w:vAlign w:val="center"/>
                </w:tcPr>
                <w:p>
                  <w:pPr>
                    <w:pStyle w:val="38"/>
                    <w:ind w:left="0" w:leftChars="0" w:firstLine="0" w:firstLineChars="0"/>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25" w:type="pct"/>
                  <w:vMerge w:val="continue"/>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26" w:type="pct"/>
                  <w:gridSpan w:val="2"/>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循环水系统</w:t>
                  </w:r>
                </w:p>
              </w:tc>
              <w:tc>
                <w:tcPr>
                  <w:tcW w:w="2792" w:type="pct"/>
                  <w:noWrap w:val="0"/>
                  <w:vAlign w:val="center"/>
                </w:tcPr>
                <w:p>
                  <w:p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项目设置冷却塔</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座，规格为</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/h（用于压铸机冷却），每座冷却塔配套</w:t>
                  </w:r>
                  <w:r>
                    <w:rPr>
                      <w:rFonts w:hint="default" w:ascii="Times New Roman" w:hAnsi="Times New Roman" w:eastAsia="宋体" w:cs="Times New Roman"/>
                      <w:color w:val="000000" w:themeColor="text1"/>
                      <w:sz w:val="21"/>
                      <w:szCs w:val="21"/>
                      <w:lang w:eastAsia="zh-CN"/>
                      <w14:textFill>
                        <w14:solidFill>
                          <w14:schemeClr w14:val="tx1"/>
                        </w14:solidFill>
                      </w14:textFill>
                    </w:rPr>
                    <w:t>冷却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水池1座，冷却水池容积为5m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4" w:type="pct"/>
                  <w:vMerge w:val="continue"/>
                  <w:noWrap w:val="0"/>
                  <w:vAlign w:val="center"/>
                </w:tcPr>
                <w:p>
                  <w:pPr>
                    <w:pStyle w:val="38"/>
                    <w:ind w:left="0" w:leftChars="0" w:firstLine="0" w:firstLineChars="0"/>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restart"/>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425" w:type="pct"/>
                  <w:vMerge w:val="restar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储运</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工程</w:t>
                  </w:r>
                </w:p>
              </w:tc>
              <w:tc>
                <w:tcPr>
                  <w:tcW w:w="726" w:type="pct"/>
                  <w:gridSpan w:val="2"/>
                  <w:noWrap w:val="0"/>
                  <w:vAlign w:val="center"/>
                </w:tcPr>
                <w:p>
                  <w:pPr>
                    <w:widowControl/>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原料</w:t>
                  </w:r>
                  <w:r>
                    <w:rPr>
                      <w:rFonts w:hint="default" w:ascii="Times New Roman" w:hAnsi="Times New Roman" w:cs="Times New Roman"/>
                      <w:color w:val="000000" w:themeColor="text1"/>
                      <w:szCs w:val="21"/>
                      <w:lang w:eastAsia="zh-CN"/>
                      <w14:textFill>
                        <w14:solidFill>
                          <w14:schemeClr w14:val="tx1"/>
                        </w14:solidFill>
                      </w14:textFill>
                    </w:rPr>
                    <w:t>区</w:t>
                  </w:r>
                </w:p>
              </w:tc>
              <w:tc>
                <w:tcPr>
                  <w:tcW w:w="2792" w:type="pct"/>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位于生产车间</w:t>
                  </w:r>
                  <w:r>
                    <w:rPr>
                      <w:rFonts w:hint="default" w:ascii="Times New Roman" w:hAnsi="Times New Roman" w:cs="Times New Roman"/>
                      <w:color w:val="000000" w:themeColor="text1"/>
                      <w:szCs w:val="21"/>
                      <w:lang w:eastAsia="zh-CN"/>
                      <w14:textFill>
                        <w14:solidFill>
                          <w14:schemeClr w14:val="tx1"/>
                        </w14:solidFill>
                      </w14:textFill>
                    </w:rPr>
                    <w:t>东</w:t>
                  </w:r>
                  <w:r>
                    <w:rPr>
                      <w:rFonts w:hint="default" w:ascii="Times New Roman" w:hAnsi="Times New Roman" w:eastAsia="宋体" w:cs="Times New Roman"/>
                      <w:color w:val="000000" w:themeColor="text1"/>
                      <w:szCs w:val="21"/>
                      <w14:textFill>
                        <w14:solidFill>
                          <w14:schemeClr w14:val="tx1"/>
                        </w14:solidFill>
                      </w14:textFill>
                    </w:rPr>
                    <w:t>侧，</w:t>
                  </w:r>
                  <w:r>
                    <w:rPr>
                      <w:rFonts w:hint="default" w:ascii="Times New Roman" w:hAnsi="Times New Roman" w:cs="Times New Roman"/>
                      <w:color w:val="000000" w:themeColor="text1"/>
                      <w:sz w:val="21"/>
                      <w:szCs w:val="21"/>
                      <w:lang w:eastAsia="zh-CN"/>
                      <w14:textFill>
                        <w14:solidFill>
                          <w14:schemeClr w14:val="tx1"/>
                        </w14:solidFill>
                      </w14:textFill>
                    </w:rPr>
                    <w:t>占地</w:t>
                  </w:r>
                  <w:r>
                    <w:rPr>
                      <w:rFonts w:hint="default" w:ascii="Times New Roman" w:hAnsi="Times New Roman" w:eastAsia="宋体" w:cs="Times New Roman"/>
                      <w:color w:val="000000" w:themeColor="text1"/>
                      <w:szCs w:val="21"/>
                      <w14:textFill>
                        <w14:solidFill>
                          <w14:schemeClr w14:val="tx1"/>
                        </w14:solidFill>
                      </w14:textFill>
                    </w:rPr>
                    <w:t>面积</w:t>
                  </w:r>
                  <w:r>
                    <w:rPr>
                      <w:rFonts w:hint="default" w:ascii="Times New Roman" w:hAnsi="Times New Roman" w:cs="Times New Roman"/>
                      <w:color w:val="000000" w:themeColor="text1"/>
                      <w:szCs w:val="21"/>
                      <w:lang w:eastAsia="zh-CN"/>
                      <w14:textFill>
                        <w14:solidFill>
                          <w14:schemeClr w14:val="tx1"/>
                        </w14:solidFill>
                      </w14:textFill>
                    </w:rPr>
                    <w:t>约</w:t>
                  </w:r>
                  <w:r>
                    <w:rPr>
                      <w:rFonts w:hint="default" w:ascii="Times New Roman" w:hAnsi="Times New Roman" w:cs="Times New Roman"/>
                      <w:color w:val="000000" w:themeColor="text1"/>
                      <w:szCs w:val="21"/>
                      <w:lang w:val="en-US" w:eastAsia="zh-CN"/>
                      <w14:textFill>
                        <w14:solidFill>
                          <w14:schemeClr w14:val="tx1"/>
                        </w14:solidFill>
                      </w14:textFill>
                    </w:rPr>
                    <w:t>100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2</w:t>
                  </w:r>
                </w:p>
              </w:tc>
              <w:tc>
                <w:tcPr>
                  <w:tcW w:w="634"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25" w:type="pct"/>
                  <w:vMerge w:val="continue"/>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26" w:type="pct"/>
                  <w:gridSpan w:val="2"/>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辅料区</w:t>
                  </w:r>
                </w:p>
              </w:tc>
              <w:tc>
                <w:tcPr>
                  <w:tcW w:w="2792" w:type="pct"/>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位于生产车间</w:t>
                  </w:r>
                  <w:r>
                    <w:rPr>
                      <w:rFonts w:hint="default" w:ascii="Times New Roman" w:hAnsi="Times New Roman" w:cs="Times New Roman"/>
                      <w:color w:val="000000" w:themeColor="text1"/>
                      <w:szCs w:val="21"/>
                      <w:lang w:eastAsia="zh-CN"/>
                      <w14:textFill>
                        <w14:solidFill>
                          <w14:schemeClr w14:val="tx1"/>
                        </w14:solidFill>
                      </w14:textFill>
                    </w:rPr>
                    <w:t>东</w:t>
                  </w:r>
                  <w:r>
                    <w:rPr>
                      <w:rFonts w:hint="default" w:ascii="Times New Roman" w:hAnsi="Times New Roman" w:eastAsia="宋体" w:cs="Times New Roman"/>
                      <w:color w:val="000000" w:themeColor="text1"/>
                      <w:szCs w:val="21"/>
                      <w14:textFill>
                        <w14:solidFill>
                          <w14:schemeClr w14:val="tx1"/>
                        </w14:solidFill>
                      </w14:textFill>
                    </w:rPr>
                    <w:t>侧，</w:t>
                  </w:r>
                  <w:r>
                    <w:rPr>
                      <w:rFonts w:hint="default" w:ascii="Times New Roman" w:hAnsi="Times New Roman" w:cs="Times New Roman"/>
                      <w:color w:val="000000" w:themeColor="text1"/>
                      <w:sz w:val="21"/>
                      <w:szCs w:val="21"/>
                      <w:lang w:eastAsia="zh-CN"/>
                      <w14:textFill>
                        <w14:solidFill>
                          <w14:schemeClr w14:val="tx1"/>
                        </w14:solidFill>
                      </w14:textFill>
                    </w:rPr>
                    <w:t>占地</w:t>
                  </w:r>
                  <w:r>
                    <w:rPr>
                      <w:rFonts w:hint="default" w:ascii="Times New Roman" w:hAnsi="Times New Roman" w:eastAsia="宋体" w:cs="Times New Roman"/>
                      <w:color w:val="000000" w:themeColor="text1"/>
                      <w:szCs w:val="21"/>
                      <w14:textFill>
                        <w14:solidFill>
                          <w14:schemeClr w14:val="tx1"/>
                        </w14:solidFill>
                      </w14:textFill>
                    </w:rPr>
                    <w:t>面积</w:t>
                  </w:r>
                  <w:r>
                    <w:rPr>
                      <w:rFonts w:hint="default" w:ascii="Times New Roman" w:hAnsi="Times New Roman" w:cs="Times New Roman"/>
                      <w:color w:val="000000" w:themeColor="text1"/>
                      <w:szCs w:val="21"/>
                      <w:lang w:eastAsia="zh-CN"/>
                      <w14:textFill>
                        <w14:solidFill>
                          <w14:schemeClr w14:val="tx1"/>
                        </w14:solidFill>
                      </w14:textFill>
                    </w:rPr>
                    <w:t>约</w:t>
                  </w:r>
                  <w:r>
                    <w:rPr>
                      <w:rFonts w:hint="default"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用于储存切削液、脱模剂、机油等</w:t>
                  </w:r>
                </w:p>
              </w:tc>
              <w:tc>
                <w:tcPr>
                  <w:tcW w:w="634" w:type="pct"/>
                  <w:vMerge w:val="continue"/>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26" w:type="pct"/>
                  <w:gridSpan w:val="2"/>
                  <w:noWrap w:val="0"/>
                  <w:vAlign w:val="center"/>
                </w:tcPr>
                <w:p>
                  <w:pPr>
                    <w:widowControl/>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半成品、</w:t>
                  </w:r>
                  <w:r>
                    <w:rPr>
                      <w:rFonts w:hint="default" w:ascii="Times New Roman" w:hAnsi="Times New Roman" w:eastAsia="宋体" w:cs="Times New Roman"/>
                      <w:color w:val="000000" w:themeColor="text1"/>
                      <w:szCs w:val="21"/>
                      <w14:textFill>
                        <w14:solidFill>
                          <w14:schemeClr w14:val="tx1"/>
                        </w14:solidFill>
                      </w14:textFill>
                    </w:rPr>
                    <w:t>成品</w:t>
                  </w:r>
                  <w:r>
                    <w:rPr>
                      <w:rFonts w:hint="default" w:ascii="Times New Roman" w:hAnsi="Times New Roman" w:cs="Times New Roman"/>
                      <w:color w:val="000000" w:themeColor="text1"/>
                      <w:szCs w:val="21"/>
                      <w:lang w:eastAsia="zh-CN"/>
                      <w14:textFill>
                        <w14:solidFill>
                          <w14:schemeClr w14:val="tx1"/>
                        </w14:solidFill>
                      </w14:textFill>
                    </w:rPr>
                    <w:t>区</w:t>
                  </w:r>
                </w:p>
              </w:tc>
              <w:tc>
                <w:tcPr>
                  <w:tcW w:w="2792" w:type="pct"/>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位于生产车间</w:t>
                  </w:r>
                  <w:r>
                    <w:rPr>
                      <w:rFonts w:hint="default" w:ascii="Times New Roman" w:hAnsi="Times New Roman" w:cs="Times New Roman"/>
                      <w:color w:val="000000" w:themeColor="text1"/>
                      <w:szCs w:val="21"/>
                      <w:lang w:eastAsia="zh-CN"/>
                      <w14:textFill>
                        <w14:solidFill>
                          <w14:schemeClr w14:val="tx1"/>
                        </w14:solidFill>
                      </w14:textFill>
                    </w:rPr>
                    <w:t>东</w:t>
                  </w:r>
                  <w:r>
                    <w:rPr>
                      <w:rFonts w:hint="default" w:ascii="Times New Roman" w:hAnsi="Times New Roman" w:eastAsia="宋体" w:cs="Times New Roman"/>
                      <w:color w:val="000000" w:themeColor="text1"/>
                      <w:szCs w:val="21"/>
                      <w14:textFill>
                        <w14:solidFill>
                          <w14:schemeClr w14:val="tx1"/>
                        </w14:solidFill>
                      </w14:textFill>
                    </w:rPr>
                    <w:t>侧，</w:t>
                  </w:r>
                  <w:r>
                    <w:rPr>
                      <w:rFonts w:hint="default" w:ascii="Times New Roman" w:hAnsi="Times New Roman" w:cs="Times New Roman"/>
                      <w:color w:val="000000" w:themeColor="text1"/>
                      <w:sz w:val="21"/>
                      <w:szCs w:val="21"/>
                      <w:lang w:eastAsia="zh-CN"/>
                      <w14:textFill>
                        <w14:solidFill>
                          <w14:schemeClr w14:val="tx1"/>
                        </w14:solidFill>
                      </w14:textFill>
                    </w:rPr>
                    <w:t>占地</w:t>
                  </w:r>
                  <w:r>
                    <w:rPr>
                      <w:rFonts w:hint="default" w:ascii="Times New Roman" w:hAnsi="Times New Roman" w:eastAsia="宋体" w:cs="Times New Roman"/>
                      <w:color w:val="000000" w:themeColor="text1"/>
                      <w:szCs w:val="21"/>
                      <w14:textFill>
                        <w14:solidFill>
                          <w14:schemeClr w14:val="tx1"/>
                        </w14:solidFill>
                      </w14:textFill>
                    </w:rPr>
                    <w:t>面积</w:t>
                  </w:r>
                  <w:r>
                    <w:rPr>
                      <w:rFonts w:hint="default" w:ascii="Times New Roman" w:hAnsi="Times New Roman" w:cs="Times New Roman"/>
                      <w:color w:val="000000" w:themeColor="text1"/>
                      <w:szCs w:val="21"/>
                      <w:lang w:eastAsia="zh-CN"/>
                      <w14:textFill>
                        <w14:solidFill>
                          <w14:schemeClr w14:val="tx1"/>
                        </w14:solidFill>
                      </w14:textFill>
                    </w:rPr>
                    <w:t>约</w:t>
                  </w:r>
                  <w:r>
                    <w:rPr>
                      <w:rFonts w:hint="default" w:ascii="Times New Roman" w:hAnsi="Times New Roman" w:cs="Times New Roman"/>
                      <w:color w:val="000000" w:themeColor="text1"/>
                      <w:szCs w:val="21"/>
                      <w:lang w:val="en-US" w:eastAsia="zh-CN"/>
                      <w14:textFill>
                        <w14:solidFill>
                          <w14:schemeClr w14:val="tx1"/>
                        </w14:solidFill>
                      </w14:textFill>
                    </w:rPr>
                    <w:t>150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2</w:t>
                  </w:r>
                </w:p>
              </w:tc>
              <w:tc>
                <w:tcPr>
                  <w:tcW w:w="634" w:type="pct"/>
                  <w:vMerge w:val="continue"/>
                  <w:noWrap w:val="0"/>
                  <w:vAlign w:val="center"/>
                </w:tcPr>
                <w:p>
                  <w:pPr>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20" w:type="pct"/>
                  <w:vMerge w:val="restart"/>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425" w:type="pct"/>
                  <w:vMerge w:val="restar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公用工程</w:t>
                  </w:r>
                </w:p>
              </w:tc>
              <w:tc>
                <w:tcPr>
                  <w:tcW w:w="726" w:type="pct"/>
                  <w:gridSpan w:val="2"/>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供水</w:t>
                  </w:r>
                </w:p>
              </w:tc>
              <w:tc>
                <w:tcPr>
                  <w:tcW w:w="2792"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由开发区给水管网直接供给</w:t>
                  </w:r>
                </w:p>
              </w:tc>
              <w:tc>
                <w:tcPr>
                  <w:tcW w:w="634" w:type="pct"/>
                  <w:vMerge w:val="restart"/>
                  <w:noWrap w:val="0"/>
                  <w:vAlign w:val="center"/>
                </w:tcPr>
                <w:p>
                  <w:pPr>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安徽光世门业有限公司</w:t>
                  </w:r>
                  <w:r>
                    <w:rPr>
                      <w:rFonts w:hint="default" w:ascii="Times New Roman" w:hAnsi="Times New Roman" w:cs="Times New Roman"/>
                      <w:color w:val="000000" w:themeColor="text1"/>
                      <w:szCs w:val="21"/>
                      <w14:textFill>
                        <w14:solidFill>
                          <w14:schemeClr w14:val="tx1"/>
                        </w14:solidFill>
                      </w14:textFill>
                    </w:rPr>
                    <w:t>供电系统、雨污管网、</w:t>
                  </w:r>
                  <w:r>
                    <w:rPr>
                      <w:rFonts w:hint="default" w:ascii="Times New Roman" w:hAnsi="Times New Roman" w:cs="Times New Roman"/>
                      <w:color w:val="000000" w:themeColor="text1"/>
                      <w:szCs w:val="21"/>
                      <w:lang w:eastAsia="zh-CN"/>
                      <w14:textFill>
                        <w14:solidFill>
                          <w14:schemeClr w14:val="tx1"/>
                        </w14:solidFill>
                      </w14:textFill>
                    </w:rPr>
                    <w:t>隔油池、</w:t>
                  </w:r>
                  <w:r>
                    <w:rPr>
                      <w:rFonts w:hint="default" w:ascii="Times New Roman" w:hAnsi="Times New Roman" w:cs="Times New Roman"/>
                      <w:color w:val="000000" w:themeColor="text1"/>
                      <w:szCs w:val="21"/>
                      <w14:textFill>
                        <w14:solidFill>
                          <w14:schemeClr w14:val="tx1"/>
                        </w14:solidFill>
                      </w14:textFill>
                    </w:rPr>
                    <w:t>化粪池等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vMerge w:val="restar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排水</w:t>
                  </w:r>
                </w:p>
              </w:tc>
              <w:tc>
                <w:tcPr>
                  <w:tcW w:w="2792" w:type="pct"/>
                  <w:noWrap w:val="0"/>
                  <w:vAlign w:val="center"/>
                </w:tcPr>
                <w:p>
                  <w:pPr>
                    <w:spacing w:line="240" w:lineRule="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项目采取雨污分流，雨水排入市政雨水管网；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项目脱模剂配比水、切削液配比水蒸发损耗不外排；</w:t>
                  </w:r>
                  <w:r>
                    <w:rPr>
                      <w:rFonts w:hint="default" w:ascii="Times New Roman" w:hAnsi="Times New Roman" w:cs="Times New Roman"/>
                      <w:color w:val="000000" w:themeColor="text1"/>
                      <w:szCs w:val="21"/>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理后回用，不外排；湿式除尘废水经过滤装置过滤后循环使用，不外排</w:t>
                  </w:r>
                </w:p>
              </w:tc>
              <w:tc>
                <w:tcPr>
                  <w:tcW w:w="634" w:type="pct"/>
                  <w:vMerge w:val="continue"/>
                  <w:noWrap w:val="0"/>
                  <w:vAlign w:val="center"/>
                </w:tcPr>
                <w:p>
                  <w:pPr>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20" w:type="pct"/>
                  <w:vMerge w:val="continue"/>
                  <w:noWrap w:val="0"/>
                  <w:vAlign w:val="center"/>
                </w:tcPr>
                <w:p>
                  <w:pPr>
                    <w:widowControl/>
                    <w:jc w:val="center"/>
                    <w:rPr>
                      <w:rFonts w:hint="default" w:ascii="Times New Roman" w:hAnsi="Times New Roman" w:cs="Times New Roman"/>
                      <w:color w:val="000000" w:themeColor="text1"/>
                      <w14:textFill>
                        <w14:solidFill>
                          <w14:schemeClr w14:val="tx1"/>
                        </w14:solidFill>
                      </w14:textFill>
                    </w:rPr>
                  </w:pPr>
                </w:p>
              </w:tc>
              <w:tc>
                <w:tcPr>
                  <w:tcW w:w="425" w:type="pct"/>
                  <w:vMerge w:val="continue"/>
                  <w:noWrap w:val="0"/>
                  <w:vAlign w:val="center"/>
                </w:tcPr>
                <w:p>
                  <w:pPr>
                    <w:widowControl/>
                    <w:jc w:val="center"/>
                    <w:rPr>
                      <w:rFonts w:hint="default" w:ascii="Times New Roman" w:hAnsi="Times New Roman" w:cs="Times New Roman"/>
                      <w:color w:val="000000" w:themeColor="text1"/>
                      <w14:textFill>
                        <w14:solidFill>
                          <w14:schemeClr w14:val="tx1"/>
                        </w14:solidFill>
                      </w14:textFill>
                    </w:rPr>
                  </w:pPr>
                </w:p>
              </w:tc>
              <w:tc>
                <w:tcPr>
                  <w:tcW w:w="726" w:type="pct"/>
                  <w:gridSpan w:val="2"/>
                  <w:vMerge w:val="continue"/>
                  <w:noWrap w:val="0"/>
                  <w:vAlign w:val="center"/>
                </w:tcPr>
                <w:p>
                  <w:pPr>
                    <w:widowControl/>
                    <w:jc w:val="center"/>
                    <w:rPr>
                      <w:rFonts w:hint="default" w:ascii="Times New Roman" w:hAnsi="Times New Roman" w:cs="Times New Roman"/>
                      <w:color w:val="000000" w:themeColor="text1"/>
                      <w14:textFill>
                        <w14:solidFill>
                          <w14:schemeClr w14:val="tx1"/>
                        </w14:solidFill>
                      </w14:textFill>
                    </w:rPr>
                  </w:pPr>
                </w:p>
              </w:tc>
              <w:tc>
                <w:tcPr>
                  <w:tcW w:w="2792" w:type="pct"/>
                  <w:noWrap w:val="0"/>
                  <w:vAlign w:val="center"/>
                </w:tcPr>
                <w:p>
                  <w:pPr>
                    <w:widowControl/>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由于项目周边市政污水管网正在铺设过程中，因此在市政污水管网接通前，①循环冷却水循环使用，定期补充，每三个月排放一次，循环冷却水进入厂区暂存池暂存，定期委托罐车外运至舒城经济开发区污水处理厂；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w:t>
                  </w:r>
                </w:p>
              </w:tc>
              <w:tc>
                <w:tcPr>
                  <w:tcW w:w="634"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noWrap w:val="0"/>
                  <w:vAlign w:val="center"/>
                </w:tcPr>
                <w:p>
                  <w:pPr>
                    <w:tabs>
                      <w:tab w:val="left" w:pos="325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供电</w:t>
                  </w:r>
                </w:p>
              </w:tc>
              <w:tc>
                <w:tcPr>
                  <w:tcW w:w="2792" w:type="pct"/>
                  <w:noWrap w:val="0"/>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由开发区供电系统供给</w:t>
                  </w:r>
                </w:p>
              </w:tc>
              <w:tc>
                <w:tcPr>
                  <w:tcW w:w="634" w:type="pct"/>
                  <w:vMerge w:val="continue"/>
                  <w:noWrap w:val="0"/>
                  <w:vAlign w:val="center"/>
                </w:tcPr>
                <w:p>
                  <w:pPr>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noWrap w:val="0"/>
                  <w:vAlign w:val="center"/>
                </w:tcPr>
                <w:p>
                  <w:pPr>
                    <w:tabs>
                      <w:tab w:val="left" w:pos="325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供气</w:t>
                  </w:r>
                </w:p>
              </w:tc>
              <w:tc>
                <w:tcPr>
                  <w:tcW w:w="2792" w:type="pct"/>
                  <w:noWrap w:val="0"/>
                  <w:vAlign w:val="center"/>
                </w:tcPr>
                <w:p>
                  <w:pPr>
                    <w:tabs>
                      <w:tab w:val="left" w:pos="325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由开发区</w:t>
                  </w:r>
                  <w:r>
                    <w:rPr>
                      <w:rFonts w:hint="default" w:ascii="Times New Roman" w:hAnsi="Times New Roman" w:eastAsia="宋体" w:cs="Times New Roman"/>
                      <w:color w:val="000000" w:themeColor="text1"/>
                      <w:szCs w:val="21"/>
                      <w:lang w:eastAsia="zh-CN"/>
                      <w14:textFill>
                        <w14:solidFill>
                          <w14:schemeClr w14:val="tx1"/>
                        </w14:solidFill>
                      </w14:textFill>
                    </w:rPr>
                    <w:t>供气管网</w:t>
                  </w:r>
                  <w:r>
                    <w:rPr>
                      <w:rFonts w:hint="default" w:ascii="Times New Roman" w:hAnsi="Times New Roman" w:eastAsia="宋体" w:cs="Times New Roman"/>
                      <w:color w:val="000000" w:themeColor="text1"/>
                      <w:szCs w:val="21"/>
                      <w14:textFill>
                        <w14:solidFill>
                          <w14:schemeClr w14:val="tx1"/>
                        </w14:solidFill>
                      </w14:textFill>
                    </w:rPr>
                    <w:t>供给</w:t>
                  </w:r>
                </w:p>
              </w:tc>
              <w:tc>
                <w:tcPr>
                  <w:tcW w:w="634" w:type="pct"/>
                  <w:noWrap w:val="0"/>
                  <w:vAlign w:val="center"/>
                </w:tcPr>
                <w:p>
                  <w:pPr>
                    <w:tabs>
                      <w:tab w:val="left" w:pos="3255"/>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20" w:type="pct"/>
                  <w:vMerge w:val="restart"/>
                  <w:noWrap w:val="0"/>
                  <w:vAlign w:val="center"/>
                </w:tcPr>
                <w:p>
                  <w:pPr>
                    <w:pStyle w:val="3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425" w:type="pct"/>
                  <w:vMerge w:val="restart"/>
                  <w:noWrap w:val="0"/>
                  <w:vAlign w:val="center"/>
                </w:tcPr>
                <w:p>
                  <w:pPr>
                    <w:pStyle w:val="38"/>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p>
                <w:p>
                  <w:pPr>
                    <w:pStyle w:val="38"/>
                    <w:ind w:left="0" w:leftChars="0" w:firstLine="0" w:firstLineChars="0"/>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环保工程</w:t>
                  </w:r>
                </w:p>
              </w:tc>
              <w:tc>
                <w:tcPr>
                  <w:tcW w:w="260" w:type="pct"/>
                  <w:vMerge w:val="restart"/>
                  <w:noWrap w:val="0"/>
                  <w:vAlign w:val="center"/>
                </w:tcPr>
                <w:p>
                  <w:pPr>
                    <w:tabs>
                      <w:tab w:val="left" w:pos="3255"/>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废气处理</w:t>
                  </w:r>
                </w:p>
              </w:tc>
              <w:tc>
                <w:tcPr>
                  <w:tcW w:w="466" w:type="pct"/>
                  <w:noWrap w:val="0"/>
                  <w:vAlign w:val="center"/>
                </w:tcPr>
                <w:p>
                  <w:pPr>
                    <w:tabs>
                      <w:tab w:val="left" w:pos="3255"/>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熔化、压铸和脱膜废气</w:t>
                  </w:r>
                </w:p>
              </w:tc>
              <w:tc>
                <w:tcPr>
                  <w:tcW w:w="2792" w:type="pct"/>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熔化、压铸和脱膜废气：车间密闭，熔化、压铸和脱膜</w:t>
                  </w:r>
                  <w:r>
                    <w:rPr>
                      <w:rFonts w:hint="default" w:ascii="Times New Roman" w:hAnsi="Times New Roman" w:cs="Times New Roman"/>
                      <w:color w:val="000000" w:themeColor="text1"/>
                      <w:szCs w:val="21"/>
                      <w:lang w:eastAsia="zh-CN"/>
                      <w14:textFill>
                        <w14:solidFill>
                          <w14:schemeClr w14:val="tx1"/>
                        </w14:solidFill>
                      </w14:textFill>
                    </w:rPr>
                    <w:t>工序的废气经</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eastAsia="zh-CN"/>
                      <w14:textFill>
                        <w14:solidFill>
                          <w14:schemeClr w14:val="tx1"/>
                        </w14:solidFill>
                      </w14:textFill>
                    </w:rPr>
                    <w:t>，废气收集后</w:t>
                  </w:r>
                  <w:r>
                    <w:rPr>
                      <w:rFonts w:hint="default" w:ascii="Times New Roman" w:hAnsi="Times New Roman" w:cs="Times New Roman"/>
                      <w:color w:val="000000" w:themeColor="text1"/>
                      <w:szCs w:val="21"/>
                      <w:lang w:val="en-US" w:eastAsia="zh-CN"/>
                      <w14:textFill>
                        <w14:solidFill>
                          <w14:schemeClr w14:val="tx1"/>
                        </w14:solidFill>
                      </w14:textFill>
                    </w:rPr>
                    <w:t>一并</w:t>
                  </w:r>
                  <w:r>
                    <w:rPr>
                      <w:rFonts w:hint="default" w:ascii="Times New Roman" w:hAnsi="Times New Roman" w:cs="Times New Roman"/>
                      <w:color w:val="000000" w:themeColor="text1"/>
                      <w:szCs w:val="21"/>
                      <w:lang w:eastAsia="zh-CN"/>
                      <w14:textFill>
                        <w14:solidFill>
                          <w14:schemeClr w14:val="tx1"/>
                        </w14:solidFill>
                      </w14:textFill>
                    </w:rPr>
                    <w:t>经静电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r>
                    <w:rPr>
                      <w:rFonts w:hint="default" w:ascii="Times New Roman" w:hAnsi="Times New Roman" w:cs="Times New Roman"/>
                      <w:color w:val="000000" w:themeColor="text1"/>
                      <w:szCs w:val="21"/>
                      <w14:textFill>
                        <w14:solidFill>
                          <w14:schemeClr w14:val="tx1"/>
                        </w14:solidFill>
                      </w14:textFill>
                    </w:rPr>
                    <w:t>处理</w:t>
                  </w:r>
                  <w:r>
                    <w:rPr>
                      <w:rFonts w:hint="default" w:ascii="Times New Roman" w:hAnsi="Times New Roman" w:cs="Times New Roman"/>
                      <w:color w:val="000000" w:themeColor="text1"/>
                      <w:szCs w:val="21"/>
                      <w:lang w:eastAsia="zh-CN"/>
                      <w14:textFill>
                        <w14:solidFill>
                          <w14:schemeClr w14:val="tx1"/>
                        </w14:solidFill>
                      </w14:textFill>
                    </w:rPr>
                    <w:t>后由</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lang w:eastAsia="zh-CN"/>
                      <w14:textFill>
                        <w14:solidFill>
                          <w14:schemeClr w14:val="tx1"/>
                        </w14:solidFill>
                      </w14:textFill>
                    </w:rPr>
                    <w:t>m高</w:t>
                  </w:r>
                  <w:r>
                    <w:rPr>
                      <w:rFonts w:hint="default" w:ascii="Times New Roman" w:hAnsi="Times New Roman" w:cs="Times New Roman"/>
                      <w:color w:val="000000" w:themeColor="text1"/>
                      <w:szCs w:val="21"/>
                      <w14:textFill>
                        <w14:solidFill>
                          <w14:schemeClr w14:val="tx1"/>
                        </w14:solidFill>
                      </w14:textFill>
                    </w:rPr>
                    <w:t>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14:textFill>
                        <w14:solidFill>
                          <w14:schemeClr w14:val="tx1"/>
                        </w14:solidFill>
                      </w14:textFill>
                    </w:rPr>
                    <w:t>排放</w:t>
                  </w:r>
                </w:p>
              </w:tc>
              <w:tc>
                <w:tcPr>
                  <w:tcW w:w="634" w:type="pct"/>
                  <w:vMerge w:val="restart"/>
                  <w:noWrap w:val="0"/>
                  <w:vAlign w:val="center"/>
                </w:tcPr>
                <w:p>
                  <w:pPr>
                    <w:pStyle w:val="38"/>
                    <w:ind w:left="0" w:leftChars="0" w:firstLine="0" w:firstLineChars="0"/>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260" w:type="pct"/>
                  <w:vMerge w:val="continue"/>
                  <w:noWrap w:val="0"/>
                  <w:vAlign w:val="center"/>
                </w:tcPr>
                <w:p>
                  <w:pPr>
                    <w:tabs>
                      <w:tab w:val="left" w:pos="325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466" w:type="pct"/>
                  <w:noWrap w:val="0"/>
                  <w:vAlign w:val="center"/>
                </w:tcPr>
                <w:p>
                  <w:pPr>
                    <w:tabs>
                      <w:tab w:val="left" w:pos="325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抛丸、抛光粉尘</w:t>
                  </w:r>
                </w:p>
              </w:tc>
              <w:tc>
                <w:tcPr>
                  <w:tcW w:w="2792" w:type="pct"/>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抛丸机密闭，设置抽风管道，废气收集后经设备自带的布袋除尘装置处理</w:t>
                  </w:r>
                  <w:r>
                    <w:rPr>
                      <w:rFonts w:hint="default" w:ascii="Times New Roman" w:hAnsi="Times New Roman" w:cs="Times New Roman"/>
                      <w:color w:val="000000" w:themeColor="text1"/>
                      <w:sz w:val="21"/>
                      <w:szCs w:val="24"/>
                      <w:lang w:val="en-US" w:eastAsia="zh-CN"/>
                      <w14:textFill>
                        <w14:solidFill>
                          <w14:schemeClr w14:val="tx1"/>
                        </w14:solidFill>
                      </w14:textFill>
                    </w:rPr>
                    <w:t>；抛光粉尘</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经</w:t>
                  </w:r>
                  <w:r>
                    <w:rPr>
                      <w:rFonts w:hint="default" w:ascii="Times New Roman" w:hAnsi="Times New Roman" w:cs="Times New Roman"/>
                      <w:bCs/>
                      <w:color w:val="000000" w:themeColor="text1"/>
                      <w:szCs w:val="18"/>
                      <w:lang w:val="en-US" w:eastAsia="zh-CN"/>
                      <w14:textFill>
                        <w14:solidFill>
                          <w14:schemeClr w14:val="tx1"/>
                        </w14:solidFill>
                      </w14:textFill>
                    </w:rPr>
                    <w:t>侧吸三面封闭集气罩</w:t>
                  </w:r>
                  <w:r>
                    <w:rPr>
                      <w:rFonts w:hint="default" w:ascii="Times New Roman" w:hAnsi="Times New Roman" w:eastAsia="宋体" w:cs="Times New Roman"/>
                      <w:bCs/>
                      <w:color w:val="000000" w:themeColor="text1"/>
                      <w:szCs w:val="18"/>
                      <w:lang w:val="en-US" w:eastAsia="zh-CN"/>
                      <w14:textFill>
                        <w14:solidFill>
                          <w14:schemeClr w14:val="tx1"/>
                        </w14:solidFill>
                      </w14:textFill>
                    </w:rPr>
                    <w:t>收集</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后经自带的湿式除尘器处理后和抛丸粉尘一起经15m高的排气筒（DA002）排放</w:t>
                  </w:r>
                </w:p>
              </w:tc>
              <w:tc>
                <w:tcPr>
                  <w:tcW w:w="634"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260" w:type="pct"/>
                  <w:vMerge w:val="continue"/>
                  <w:noWrap w:val="0"/>
                  <w:vAlign w:val="center"/>
                </w:tcPr>
                <w:p>
                  <w:pPr>
                    <w:tabs>
                      <w:tab w:val="left" w:pos="325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466" w:type="pct"/>
                  <w:noWrap w:val="0"/>
                  <w:vAlign w:val="center"/>
                </w:tcPr>
                <w:p>
                  <w:pPr>
                    <w:tabs>
                      <w:tab w:val="left" w:pos="3255"/>
                    </w:tab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危废暂存库废气</w:t>
                  </w:r>
                </w:p>
              </w:tc>
              <w:tc>
                <w:tcPr>
                  <w:tcW w:w="2792" w:type="pct"/>
                  <w:noWrap w:val="0"/>
                  <w:vAlign w:val="center"/>
                </w:tcPr>
                <w:p>
                  <w:pPr>
                    <w:adjustRightInd w:val="0"/>
                    <w:snapToGrid w:val="0"/>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危废库密闭，设置抽排风系统，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收集后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r>
                    <w:rPr>
                      <w:rFonts w:hint="default" w:ascii="Times New Roman" w:hAnsi="Times New Roman" w:cs="Times New Roman"/>
                      <w:color w:val="000000" w:themeColor="text1"/>
                      <w:szCs w:val="21"/>
                      <w14:textFill>
                        <w14:solidFill>
                          <w14:schemeClr w14:val="tx1"/>
                        </w14:solidFill>
                      </w14:textFill>
                    </w:rPr>
                    <w:t>处理</w:t>
                  </w:r>
                  <w:r>
                    <w:rPr>
                      <w:rFonts w:hint="default" w:ascii="Times New Roman" w:hAnsi="Times New Roman" w:cs="Times New Roman"/>
                      <w:color w:val="000000" w:themeColor="text1"/>
                      <w:szCs w:val="21"/>
                      <w:lang w:eastAsia="zh-CN"/>
                      <w14:textFill>
                        <w14:solidFill>
                          <w14:schemeClr w14:val="tx1"/>
                        </w14:solidFill>
                      </w14:textFill>
                    </w:rPr>
                    <w:t>后由</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高的排气筒</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（DA00</w:t>
                  </w:r>
                  <w:r>
                    <w:rPr>
                      <w:rFonts w:hint="default" w:ascii="Times New Roman" w:hAnsi="Times New Roman" w:cs="Times New Roman"/>
                      <w:color w:val="000000" w:themeColor="text1"/>
                      <w:sz w:val="21"/>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排放</w:t>
                  </w:r>
                </w:p>
              </w:tc>
              <w:tc>
                <w:tcPr>
                  <w:tcW w:w="634"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260" w:type="pct"/>
                  <w:vMerge w:val="continue"/>
                  <w:noWrap w:val="0"/>
                  <w:vAlign w:val="center"/>
                </w:tcPr>
                <w:p>
                  <w:pPr>
                    <w:tabs>
                      <w:tab w:val="left" w:pos="325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466" w:type="pct"/>
                  <w:noWrap w:val="0"/>
                  <w:vAlign w:val="center"/>
                </w:tcPr>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天然气</w:t>
                  </w:r>
                </w:p>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燃烧废气</w:t>
                  </w:r>
                </w:p>
              </w:tc>
              <w:tc>
                <w:tcPr>
                  <w:tcW w:w="2792" w:type="pct"/>
                  <w:noWrap w:val="0"/>
                  <w:vAlign w:val="center"/>
                </w:tcPr>
                <w:p>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采取低氮燃烧，废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气</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经</w:t>
                  </w:r>
                  <w:r>
                    <w:rPr>
                      <w:rFonts w:hint="default" w:ascii="Times New Roman" w:hAnsi="Times New Roman" w:eastAsia="宋体" w:cs="Times New Roman"/>
                      <w:color w:val="000000" w:themeColor="text1"/>
                      <w:sz w:val="21"/>
                      <w:szCs w:val="21"/>
                      <w14:textFill>
                        <w14:solidFill>
                          <w14:schemeClr w14:val="tx1"/>
                        </w14:solidFill>
                      </w14:textFill>
                    </w:rPr>
                    <w:t>一根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m高的排气筒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DA00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排放</w:t>
                  </w:r>
                </w:p>
              </w:tc>
              <w:tc>
                <w:tcPr>
                  <w:tcW w:w="634"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260" w:type="pct"/>
                  <w:vMerge w:val="continue"/>
                  <w:noWrap w:val="0"/>
                  <w:vAlign w:val="center"/>
                </w:tcPr>
                <w:p>
                  <w:pPr>
                    <w:tabs>
                      <w:tab w:val="left" w:pos="325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466" w:type="pct"/>
                  <w:noWrap w:val="0"/>
                  <w:vAlign w:val="center"/>
                </w:tcPr>
                <w:p>
                  <w:pPr>
                    <w:tabs>
                      <w:tab w:val="left" w:pos="325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4"/>
                      <w:lang w:eastAsia="zh-CN"/>
                      <w14:textFill>
                        <w14:solidFill>
                          <w14:schemeClr w14:val="tx1"/>
                        </w14:solidFill>
                      </w14:textFill>
                    </w:rPr>
                    <w:t>食堂油烟</w:t>
                  </w:r>
                </w:p>
              </w:tc>
              <w:tc>
                <w:tcPr>
                  <w:tcW w:w="2792" w:type="pct"/>
                  <w:noWrap w:val="0"/>
                  <w:vAlign w:val="center"/>
                </w:tcPr>
                <w:p>
                  <w:pPr>
                    <w:adjustRightInd w:val="0"/>
                    <w:snapToGrid w:val="0"/>
                    <w:jc w:val="center"/>
                    <w:rPr>
                      <w:rFonts w:hint="default" w:ascii="Times New Roman" w:hAnsi="Times New Roman" w:eastAsia="宋体" w:cs="Times New Roman"/>
                      <w:color w:val="000000" w:themeColor="text1"/>
                      <w:sz w:val="21"/>
                      <w:szCs w:val="24"/>
                      <w:lang w:eastAsia="zh-CN"/>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经油烟净化器处理后经过烟道排放</w:t>
                  </w:r>
                </w:p>
              </w:tc>
              <w:tc>
                <w:tcPr>
                  <w:tcW w:w="634"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vMerge w:val="restart"/>
                  <w:noWrap w:val="0"/>
                  <w:vAlign w:val="center"/>
                </w:tcPr>
                <w:p>
                  <w:pPr>
                    <w:tabs>
                      <w:tab w:val="left" w:pos="3255"/>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废水处理</w:t>
                  </w:r>
                </w:p>
              </w:tc>
              <w:tc>
                <w:tcPr>
                  <w:tcW w:w="2792" w:type="pct"/>
                  <w:noWrap w:val="0"/>
                  <w:vAlign w:val="center"/>
                </w:tcPr>
                <w:p>
                  <w:pPr>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项目采取雨污分流，雨水排入市政雨水管网；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项目脱模剂配比水、切削液配比水蒸发损耗不外排；</w:t>
                  </w:r>
                  <w:r>
                    <w:rPr>
                      <w:rFonts w:hint="default" w:ascii="Times New Roman" w:hAnsi="Times New Roman" w:cs="Times New Roman"/>
                      <w:color w:val="000000" w:themeColor="text1"/>
                      <w:szCs w:val="21"/>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理后回用，不外排；湿式除尘废水经过滤装置过滤后循环使用，不外排</w:t>
                  </w:r>
                </w:p>
              </w:tc>
              <w:tc>
                <w:tcPr>
                  <w:tcW w:w="634" w:type="pct"/>
                  <w:vMerge w:val="restart"/>
                  <w:noWrap w:val="0"/>
                  <w:vAlign w:val="center"/>
                </w:tcPr>
                <w:p>
                  <w:pPr>
                    <w:widowControl/>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安徽光世门业有限公司</w:t>
                  </w:r>
                  <w:r>
                    <w:rPr>
                      <w:rFonts w:hint="default" w:ascii="Times New Roman" w:hAnsi="Times New Roman" w:eastAsia="宋体" w:cs="Times New Roman"/>
                      <w:color w:val="000000" w:themeColor="text1"/>
                      <w:sz w:val="21"/>
                      <w:szCs w:val="21"/>
                      <w14:textFill>
                        <w14:solidFill>
                          <w14:schemeClr w14:val="tx1"/>
                        </w14:solidFill>
                      </w14:textFill>
                    </w:rPr>
                    <w:t>原有雨污管网、化粪池</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隔油池。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420" w:type="pct"/>
                  <w:vMerge w:val="continue"/>
                  <w:noWrap w:val="0"/>
                  <w:vAlign w:val="center"/>
                </w:tcPr>
                <w:p>
                  <w:pPr>
                    <w:widowControl/>
                    <w:jc w:val="center"/>
                    <w:rPr>
                      <w:rFonts w:hint="default" w:ascii="Times New Roman" w:hAnsi="Times New Roman" w:cs="Times New Roman"/>
                      <w:color w:val="000000" w:themeColor="text1"/>
                      <w14:textFill>
                        <w14:solidFill>
                          <w14:schemeClr w14:val="tx1"/>
                        </w14:solidFill>
                      </w14:textFill>
                    </w:rPr>
                  </w:pPr>
                </w:p>
              </w:tc>
              <w:tc>
                <w:tcPr>
                  <w:tcW w:w="425" w:type="pct"/>
                  <w:vMerge w:val="continue"/>
                  <w:noWrap w:val="0"/>
                  <w:vAlign w:val="center"/>
                </w:tcPr>
                <w:p>
                  <w:pPr>
                    <w:widowControl/>
                    <w:jc w:val="center"/>
                    <w:rPr>
                      <w:rFonts w:hint="default" w:ascii="Times New Roman" w:hAnsi="Times New Roman" w:cs="Times New Roman"/>
                      <w:color w:val="000000" w:themeColor="text1"/>
                      <w14:textFill>
                        <w14:solidFill>
                          <w14:schemeClr w14:val="tx1"/>
                        </w14:solidFill>
                      </w14:textFill>
                    </w:rPr>
                  </w:pPr>
                </w:p>
              </w:tc>
              <w:tc>
                <w:tcPr>
                  <w:tcW w:w="726" w:type="pct"/>
                  <w:gridSpan w:val="2"/>
                  <w:vMerge w:val="continue"/>
                  <w:noWrap w:val="0"/>
                  <w:vAlign w:val="center"/>
                </w:tcPr>
                <w:p>
                  <w:pPr>
                    <w:widowControl/>
                    <w:jc w:val="center"/>
                    <w:rPr>
                      <w:rFonts w:hint="default" w:ascii="Times New Roman" w:hAnsi="Times New Roman" w:cs="Times New Roman"/>
                      <w:color w:val="000000" w:themeColor="text1"/>
                      <w14:textFill>
                        <w14:solidFill>
                          <w14:schemeClr w14:val="tx1"/>
                        </w14:solidFill>
                      </w14:textFill>
                    </w:rPr>
                  </w:pPr>
                </w:p>
              </w:tc>
              <w:tc>
                <w:tcPr>
                  <w:tcW w:w="2792" w:type="pct"/>
                  <w:noWrap w:val="0"/>
                  <w:vAlign w:val="center"/>
                </w:tcPr>
                <w:p>
                  <w:pPr>
                    <w:widowControl/>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由于项目周边市政污水管网正在铺设过程中，因此在市政污水管网接通前，①循环冷却水循环使用，定期补充，每三个月排放一次，循环冷却水进入厂区暂存池暂存，定期委托罐车外运至舒城经济开发区污水处理厂；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w:t>
                  </w:r>
                </w:p>
              </w:tc>
              <w:tc>
                <w:tcPr>
                  <w:tcW w:w="634"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vMerge w:val="restart"/>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r>
                    <w:rPr>
                      <w:rFonts w:hint="default" w:ascii="Times New Roman" w:hAnsi="Times New Roman" w:eastAsia="宋体" w:cs="Times New Roman"/>
                      <w:color w:val="000000" w:themeColor="text1"/>
                      <w:szCs w:val="21"/>
                      <w:lang w:eastAsia="zh-CN"/>
                      <w14:textFill>
                        <w14:solidFill>
                          <w14:schemeClr w14:val="tx1"/>
                        </w14:solidFill>
                      </w14:textFill>
                    </w:rPr>
                    <w:t>处理</w:t>
                  </w:r>
                </w:p>
              </w:tc>
              <w:tc>
                <w:tcPr>
                  <w:tcW w:w="2792" w:type="pct"/>
                  <w:noWrap w:val="0"/>
                  <w:vAlign w:val="center"/>
                </w:tcPr>
                <w:p>
                  <w:pPr>
                    <w:keepNext w:val="0"/>
                    <w:keepLines w:val="0"/>
                    <w:pageBreakBefore w:val="0"/>
                    <w:kinsoku/>
                    <w:wordWrap/>
                    <w:overflowPunct/>
                    <w:topLinePunct w:val="0"/>
                    <w:bidi w:val="0"/>
                    <w:snapToGrid/>
                    <w:spacing w:line="240" w:lineRule="auto"/>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生活垃圾：</w:t>
                  </w:r>
                  <w:r>
                    <w:rPr>
                      <w:rFonts w:hint="default" w:ascii="Times New Roman" w:hAnsi="Times New Roman" w:eastAsia="宋体" w:cs="Times New Roman"/>
                      <w:color w:val="000000" w:themeColor="text1"/>
                      <w:sz w:val="21"/>
                      <w:szCs w:val="21"/>
                      <w14:textFill>
                        <w14:solidFill>
                          <w14:schemeClr w14:val="tx1"/>
                        </w14:solidFill>
                      </w14:textFill>
                    </w:rPr>
                    <w:t>含油手套及抹布</w:t>
                  </w:r>
                  <w:r>
                    <w:rPr>
                      <w:rFonts w:hint="default" w:ascii="Times New Roman" w:hAnsi="Times New Roman" w:eastAsia="宋体" w:cs="Times New Roman"/>
                      <w:color w:val="000000" w:themeColor="text1"/>
                      <w:sz w:val="21"/>
                      <w:szCs w:val="21"/>
                      <w:lang w:eastAsia="zh-CN"/>
                      <w14:textFill>
                        <w14:solidFill>
                          <w14:schemeClr w14:val="tx1"/>
                        </w14:solidFill>
                      </w14:textFill>
                    </w:rPr>
                    <w:t>混入生活垃圾，</w:t>
                  </w:r>
                  <w:r>
                    <w:rPr>
                      <w:rFonts w:hint="default" w:ascii="Times New Roman" w:hAnsi="Times New Roman" w:cs="Times New Roman"/>
                      <w:color w:val="000000" w:themeColor="text1"/>
                      <w:szCs w:val="21"/>
                      <w14:textFill>
                        <w14:solidFill>
                          <w14:schemeClr w14:val="tx1"/>
                        </w14:solidFill>
                      </w14:textFill>
                    </w:rPr>
                    <w:t>委托环卫部门清运处理</w:t>
                  </w:r>
                </w:p>
              </w:tc>
              <w:tc>
                <w:tcPr>
                  <w:tcW w:w="634" w:type="pct"/>
                  <w:vMerge w:val="restart"/>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20" w:type="pct"/>
                  <w:vMerge w:val="continue"/>
                  <w:noWrap w:val="0"/>
                  <w:vAlign w:val="center"/>
                </w:tcPr>
                <w:p>
                  <w:pPr>
                    <w:pStyle w:val="71"/>
                    <w:spacing w:line="260" w:lineRule="exact"/>
                    <w:ind w:right="0"/>
                    <w:jc w:val="center"/>
                    <w:rPr>
                      <w:rFonts w:hint="default" w:ascii="Times New Roman" w:hAnsi="Times New Roman" w:cs="Times New Roman"/>
                      <w:color w:val="000000" w:themeColor="text1"/>
                      <w14:textFill>
                        <w14:solidFill>
                          <w14:schemeClr w14:val="tx1"/>
                        </w14:solidFill>
                      </w14:textFill>
                    </w:rPr>
                  </w:pPr>
                </w:p>
              </w:tc>
              <w:tc>
                <w:tcPr>
                  <w:tcW w:w="425" w:type="pct"/>
                  <w:vMerge w:val="continue"/>
                  <w:noWrap w:val="0"/>
                  <w:vAlign w:val="center"/>
                </w:tcPr>
                <w:p>
                  <w:pPr>
                    <w:pStyle w:val="71"/>
                    <w:spacing w:line="260" w:lineRule="exact"/>
                    <w:ind w:right="0"/>
                    <w:jc w:val="center"/>
                    <w:rPr>
                      <w:rFonts w:hint="default" w:ascii="Times New Roman" w:hAnsi="Times New Roman" w:cs="Times New Roman"/>
                      <w:color w:val="000000" w:themeColor="text1"/>
                      <w14:textFill>
                        <w14:solidFill>
                          <w14:schemeClr w14:val="tx1"/>
                        </w14:solidFill>
                      </w14:textFill>
                    </w:rPr>
                  </w:pPr>
                </w:p>
              </w:tc>
              <w:tc>
                <w:tcPr>
                  <w:tcW w:w="726" w:type="pct"/>
                  <w:gridSpan w:val="2"/>
                  <w:vMerge w:val="continue"/>
                  <w:noWrap w:val="0"/>
                  <w:vAlign w:val="center"/>
                </w:tcPr>
                <w:p>
                  <w:pPr>
                    <w:pStyle w:val="71"/>
                    <w:spacing w:line="260" w:lineRule="exact"/>
                    <w:ind w:right="0"/>
                    <w:jc w:val="center"/>
                    <w:rPr>
                      <w:rFonts w:hint="default" w:ascii="Times New Roman" w:hAnsi="Times New Roman" w:cs="Times New Roman"/>
                      <w:color w:val="000000" w:themeColor="text1"/>
                      <w14:textFill>
                        <w14:solidFill>
                          <w14:schemeClr w14:val="tx1"/>
                        </w14:solidFill>
                      </w14:textFill>
                    </w:rPr>
                  </w:pPr>
                </w:p>
              </w:tc>
              <w:tc>
                <w:tcPr>
                  <w:tcW w:w="2792" w:type="pct"/>
                  <w:noWrap w:val="0"/>
                  <w:vAlign w:val="center"/>
                </w:tcPr>
                <w:p>
                  <w:pPr>
                    <w:keepNext w:val="0"/>
                    <w:keepLines w:val="0"/>
                    <w:pageBreakBefore w:val="0"/>
                    <w:kinsoku/>
                    <w:wordWrap/>
                    <w:overflowPunct/>
                    <w:topLinePunct w:val="0"/>
                    <w:bidi w:val="0"/>
                    <w:snapToGrid/>
                    <w:spacing w:line="240" w:lineRule="auto"/>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一般工业固废：</w:t>
                  </w:r>
                  <w:r>
                    <w:rPr>
                      <w:rFonts w:hint="default" w:ascii="Times New Roman" w:hAnsi="Times New Roman" w:cs="Times New Roman"/>
                      <w:color w:val="000000" w:themeColor="text1"/>
                      <w:szCs w:val="21"/>
                      <w14:textFill>
                        <w14:solidFill>
                          <w14:schemeClr w14:val="tx1"/>
                        </w14:solidFill>
                      </w14:textFill>
                    </w:rPr>
                    <w:t>设置一般固废暂存库一间，</w:t>
                  </w:r>
                  <w:r>
                    <w:rPr>
                      <w:rFonts w:hint="default" w:ascii="Times New Roman" w:hAnsi="Times New Roman" w:cs="Times New Roman"/>
                      <w:color w:val="000000" w:themeColor="text1"/>
                      <w:szCs w:val="21"/>
                      <w:lang w:eastAsia="zh-CN"/>
                      <w14:textFill>
                        <w14:solidFill>
                          <w14:schemeClr w14:val="tx1"/>
                        </w14:solidFill>
                      </w14:textFill>
                    </w:rPr>
                    <w:t>位于</w:t>
                  </w:r>
                  <w:r>
                    <w:rPr>
                      <w:rFonts w:hint="default" w:ascii="Times New Roman" w:hAnsi="Times New Roman" w:cs="Times New Roman"/>
                      <w:color w:val="000000" w:themeColor="text1"/>
                      <w:szCs w:val="21"/>
                      <w:lang w:val="en-US" w:eastAsia="zh-CN"/>
                      <w14:textFill>
                        <w14:solidFill>
                          <w14:schemeClr w14:val="tx1"/>
                        </w14:solidFill>
                      </w14:textFill>
                    </w:rPr>
                    <w:t>1F北侧，</w:t>
                  </w:r>
                  <w:r>
                    <w:rPr>
                      <w:rFonts w:hint="default" w:ascii="Times New Roman" w:hAnsi="Times New Roman" w:cs="Times New Roman"/>
                      <w:color w:val="000000" w:themeColor="text1"/>
                      <w:szCs w:val="21"/>
                      <w14:textFill>
                        <w14:solidFill>
                          <w14:schemeClr w14:val="tx1"/>
                        </w14:solidFill>
                      </w14:textFill>
                    </w:rPr>
                    <w:t>建筑面积为50m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；废边角料</w:t>
                  </w:r>
                  <w:r>
                    <w:rPr>
                      <w:rFonts w:hint="default" w:ascii="Times New Roman" w:hAnsi="Times New Roman" w:cs="Times New Roman"/>
                      <w:color w:val="000000" w:themeColor="text1"/>
                      <w:szCs w:val="21"/>
                      <w:lang w:eastAsia="zh-CN"/>
                      <w14:textFill>
                        <w14:solidFill>
                          <w14:schemeClr w14:val="tx1"/>
                        </w14:solidFill>
                      </w14:textFill>
                    </w:rPr>
                    <w:t>、废铝屑、不合格品收集后回用于</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eastAsia="zh-CN"/>
                      <w14:textFill>
                        <w14:solidFill>
                          <w14:schemeClr w14:val="tx1"/>
                        </w14:solidFill>
                      </w14:textFill>
                    </w:rPr>
                    <w:t>工序，</w:t>
                  </w:r>
                  <w:r>
                    <w:rPr>
                      <w:rFonts w:hint="default" w:ascii="Times New Roman" w:hAnsi="Times New Roman" w:cs="Times New Roman"/>
                      <w:color w:val="000000" w:themeColor="text1"/>
                      <w:szCs w:val="21"/>
                      <w14:textFill>
                        <w14:solidFill>
                          <w14:schemeClr w14:val="tx1"/>
                        </w14:solidFill>
                      </w14:textFill>
                    </w:rPr>
                    <w:t>废包装材料</w:t>
                  </w:r>
                  <w:r>
                    <w:rPr>
                      <w:rFonts w:hint="default" w:ascii="Times New Roman" w:hAnsi="Times New Roman" w:cs="Times New Roman"/>
                      <w:color w:val="000000" w:themeColor="text1"/>
                      <w:szCs w:val="21"/>
                      <w:lang w:eastAsia="zh-CN"/>
                      <w14:textFill>
                        <w14:solidFill>
                          <w14:schemeClr w14:val="tx1"/>
                        </w14:solidFill>
                      </w14:textFill>
                    </w:rPr>
                    <w:t>、废滤渣、废滤芯、抛丸除尘装置收集的粉尘</w:t>
                  </w:r>
                  <w:r>
                    <w:rPr>
                      <w:rFonts w:hint="default" w:ascii="Times New Roman" w:hAnsi="Times New Roman" w:cs="Times New Roman"/>
                      <w:color w:val="000000" w:themeColor="text1"/>
                      <w:szCs w:val="21"/>
                      <w14:textFill>
                        <w14:solidFill>
                          <w14:schemeClr w14:val="tx1"/>
                        </w14:solidFill>
                      </w14:textFill>
                    </w:rPr>
                    <w:t>收集后外售</w:t>
                  </w:r>
                </w:p>
              </w:tc>
              <w:tc>
                <w:tcPr>
                  <w:tcW w:w="634" w:type="pct"/>
                  <w:vMerge w:val="continue"/>
                  <w:noWrap w:val="0"/>
                  <w:vAlign w:val="center"/>
                </w:tcPr>
                <w:p>
                  <w:pPr>
                    <w:pStyle w:val="71"/>
                    <w:spacing w:line="260" w:lineRule="exact"/>
                    <w:ind w:right="0"/>
                    <w:jc w:val="center"/>
                    <w:rPr>
                      <w:rFonts w:hint="default" w:ascii="Times New Roman" w:hAnsi="Times New Roman" w:eastAsia="Times New Roman"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420" w:type="pct"/>
                  <w:vMerge w:val="continue"/>
                  <w:noWrap w:val="0"/>
                  <w:vAlign w:val="center"/>
                </w:tcPr>
                <w:p>
                  <w:pPr>
                    <w:pStyle w:val="71"/>
                    <w:spacing w:line="260" w:lineRule="exact"/>
                    <w:ind w:right="0"/>
                    <w:jc w:val="center"/>
                    <w:rPr>
                      <w:rFonts w:hint="default" w:ascii="Times New Roman" w:hAnsi="Times New Roman" w:cs="Times New Roman"/>
                      <w:color w:val="000000" w:themeColor="text1"/>
                      <w14:textFill>
                        <w14:solidFill>
                          <w14:schemeClr w14:val="tx1"/>
                        </w14:solidFill>
                      </w14:textFill>
                    </w:rPr>
                  </w:pPr>
                </w:p>
              </w:tc>
              <w:tc>
                <w:tcPr>
                  <w:tcW w:w="425" w:type="pct"/>
                  <w:vMerge w:val="continue"/>
                  <w:noWrap w:val="0"/>
                  <w:vAlign w:val="center"/>
                </w:tcPr>
                <w:p>
                  <w:pPr>
                    <w:pStyle w:val="71"/>
                    <w:spacing w:line="260" w:lineRule="exact"/>
                    <w:ind w:right="0"/>
                    <w:jc w:val="center"/>
                    <w:rPr>
                      <w:rFonts w:hint="default" w:ascii="Times New Roman" w:hAnsi="Times New Roman" w:cs="Times New Roman"/>
                      <w:color w:val="000000" w:themeColor="text1"/>
                      <w14:textFill>
                        <w14:solidFill>
                          <w14:schemeClr w14:val="tx1"/>
                        </w14:solidFill>
                      </w14:textFill>
                    </w:rPr>
                  </w:pPr>
                </w:p>
              </w:tc>
              <w:tc>
                <w:tcPr>
                  <w:tcW w:w="726" w:type="pct"/>
                  <w:gridSpan w:val="2"/>
                  <w:vMerge w:val="continue"/>
                  <w:noWrap w:val="0"/>
                  <w:vAlign w:val="center"/>
                </w:tcPr>
                <w:p>
                  <w:pPr>
                    <w:pStyle w:val="71"/>
                    <w:spacing w:line="260" w:lineRule="exact"/>
                    <w:ind w:right="0"/>
                    <w:jc w:val="center"/>
                    <w:rPr>
                      <w:rFonts w:hint="default" w:ascii="Times New Roman" w:hAnsi="Times New Roman" w:cs="Times New Roman"/>
                      <w:color w:val="000000" w:themeColor="text1"/>
                      <w14:textFill>
                        <w14:solidFill>
                          <w14:schemeClr w14:val="tx1"/>
                        </w14:solidFill>
                      </w14:textFill>
                    </w:rPr>
                  </w:pPr>
                </w:p>
              </w:tc>
              <w:tc>
                <w:tcPr>
                  <w:tcW w:w="2792" w:type="pct"/>
                  <w:noWrap w:val="0"/>
                  <w:vAlign w:val="center"/>
                </w:tcPr>
                <w:p>
                  <w:pPr>
                    <w:pStyle w:val="71"/>
                    <w:spacing w:line="260" w:lineRule="exact"/>
                    <w:ind w:right="0"/>
                    <w:jc w:val="left"/>
                    <w:rPr>
                      <w:rFonts w:hint="default" w:ascii="Times New Roman" w:hAnsi="Times New Roman" w:eastAsia="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危险废物：设置1间危废</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暂存库，位于1F北侧，建筑面积为15m</w:t>
                  </w:r>
                  <w:r>
                    <w:rPr>
                      <w:rFonts w:hint="default" w:ascii="Times New Roman" w:hAnsi="Times New Roman" w:eastAsia="宋体" w:cs="Times New Roman"/>
                      <w:color w:val="000000" w:themeColor="text1"/>
                      <w:spacing w:val="-4"/>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，铝灰渣、熔化、压铸耐高温布袋除尘器收集的粉尘、废机油、废脱模剂油、废化学品包装桶、含油铝屑、含油木屑、废切削液、污泥、废活性炭</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油雾净化器收集的废油</w:t>
                  </w:r>
                  <w:r>
                    <w:rPr>
                      <w:rFonts w:hint="default" w:ascii="Times New Roman" w:hAnsi="Times New Roman" w:cs="Times New Roman"/>
                      <w:color w:val="000000" w:themeColor="text1"/>
                      <w:szCs w:val="21"/>
                      <w14:textFill>
                        <w14:solidFill>
                          <w14:schemeClr w14:val="tx1"/>
                        </w14:solidFill>
                      </w14:textFill>
                    </w:rPr>
                    <w:t xml:space="preserve">收集后暂存于危险废物暂存库，定期委托有危废处理资质单位处置  </w:t>
                  </w:r>
                </w:p>
              </w:tc>
              <w:tc>
                <w:tcPr>
                  <w:tcW w:w="634" w:type="pct"/>
                  <w:vMerge w:val="continue"/>
                  <w:noWrap w:val="0"/>
                  <w:vAlign w:val="center"/>
                </w:tcPr>
                <w:p>
                  <w:pPr>
                    <w:pStyle w:val="71"/>
                    <w:spacing w:line="260" w:lineRule="exact"/>
                    <w:ind w:right="0"/>
                    <w:jc w:val="center"/>
                    <w:rPr>
                      <w:rFonts w:hint="default" w:ascii="Times New Roman" w:hAnsi="Times New Roman" w:eastAsia="Times New Roman"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noWrap w:val="0"/>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土壤及</w:t>
                  </w:r>
                  <w:r>
                    <w:rPr>
                      <w:rFonts w:hint="default" w:ascii="Times New Roman" w:hAnsi="Times New Roman" w:cs="Times New Roman"/>
                      <w:color w:val="000000" w:themeColor="text1"/>
                      <w:szCs w:val="21"/>
                      <w:lang w:val="zh-CN"/>
                      <w14:textFill>
                        <w14:solidFill>
                          <w14:schemeClr w14:val="tx1"/>
                        </w14:solidFill>
                      </w14:textFill>
                    </w:rPr>
                    <w:t>地下水防治</w:t>
                  </w:r>
                </w:p>
              </w:tc>
              <w:tc>
                <w:tcPr>
                  <w:tcW w:w="2792" w:type="pct"/>
                  <w:noWrap w:val="0"/>
                  <w:vAlign w:val="center"/>
                </w:tcPr>
                <w:p>
                  <w:pPr>
                    <w:keepNext w:val="0"/>
                    <w:keepLines w:val="0"/>
                    <w:pageBreakBefore w:val="0"/>
                    <w:kinsoku/>
                    <w:wordWrap/>
                    <w:overflowPunct/>
                    <w:topLinePunct w:val="0"/>
                    <w:bidi w:val="0"/>
                    <w:snapToGrid/>
                    <w:spacing w:line="240" w:lineRule="auto"/>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重点防渗区：</w:t>
                  </w:r>
                  <w:r>
                    <w:rPr>
                      <w:rFonts w:hint="default" w:ascii="Times New Roman" w:hAnsi="Times New Roman" w:cs="Times New Roman"/>
                      <w:color w:val="000000" w:themeColor="text1"/>
                      <w:kern w:val="0"/>
                      <w:szCs w:val="21"/>
                      <w:lang w:eastAsia="zh-CN"/>
                      <w14:textFill>
                        <w14:solidFill>
                          <w14:schemeClr w14:val="tx1"/>
                        </w14:solidFill>
                      </w14:textFill>
                    </w:rPr>
                    <w:t>油水分离池、自建污水处理设施、</w:t>
                  </w:r>
                  <w:r>
                    <w:rPr>
                      <w:rFonts w:hint="default" w:ascii="Times New Roman" w:hAnsi="Times New Roman" w:eastAsia="宋体" w:cs="Times New Roman"/>
                      <w:color w:val="000000" w:themeColor="text1"/>
                      <w:szCs w:val="21"/>
                      <w:lang w:eastAsia="zh-CN"/>
                      <w14:textFill>
                        <w14:solidFill>
                          <w14:schemeClr w14:val="tx1"/>
                        </w14:solidFill>
                      </w14:textFill>
                    </w:rPr>
                    <w:t>隔油池、</w:t>
                  </w:r>
                  <w:r>
                    <w:rPr>
                      <w:rFonts w:hint="default" w:ascii="Times New Roman" w:hAnsi="Times New Roman" w:cs="Times New Roman" w:eastAsiaTheme="minorEastAsia"/>
                      <w:color w:val="000000" w:themeColor="text1"/>
                      <w:szCs w:val="21"/>
                      <w:lang w:eastAsia="zh-CN"/>
                      <w14:textFill>
                        <w14:solidFill>
                          <w14:schemeClr w14:val="tx1"/>
                        </w14:solidFill>
                      </w14:textFill>
                    </w:rPr>
                    <w:t>辅料区、生产作业区、危废库</w:t>
                  </w:r>
                  <w:r>
                    <w:rPr>
                      <w:rFonts w:hint="default"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进行重点防渗处理，要求先用水泥对地面进行硬化，再刷上环氧树脂防渗涂层，确保等效黏土防渗层Mb≥6.0m，K≤1×10</w:t>
                  </w:r>
                  <w:r>
                    <w:rPr>
                      <w:rFonts w:hint="default" w:ascii="Times New Roman" w:hAnsi="Times New Roman" w:cs="Times New Roman"/>
                      <w:color w:val="000000" w:themeColor="text1"/>
                      <w:szCs w:val="21"/>
                      <w:vertAlign w:val="superscript"/>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cm/s</w:t>
                  </w:r>
                </w:p>
                <w:p>
                  <w:pPr>
                    <w:keepNext w:val="0"/>
                    <w:keepLines w:val="0"/>
                    <w:pageBreakBefore w:val="0"/>
                    <w:kinsoku/>
                    <w:wordWrap/>
                    <w:overflowPunct/>
                    <w:topLinePunct w:val="0"/>
                    <w:bidi w:val="0"/>
                    <w:snapToGrid/>
                    <w:spacing w:line="240" w:lineRule="auto"/>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一般防渗区：</w:t>
                  </w:r>
                  <w:r>
                    <w:rPr>
                      <w:rFonts w:hint="default" w:ascii="Times New Roman" w:hAnsi="Times New Roman" w:cs="Times New Roman"/>
                      <w:color w:val="000000" w:themeColor="text1"/>
                      <w:kern w:val="0"/>
                      <w:szCs w:val="21"/>
                      <w:lang w:eastAsia="zh-CN"/>
                      <w14:textFill>
                        <w14:solidFill>
                          <w14:schemeClr w14:val="tx1"/>
                        </w14:solidFill>
                      </w14:textFill>
                    </w:rPr>
                    <w:t>一般固废库、</w:t>
                  </w:r>
                  <w:r>
                    <w:rPr>
                      <w:rFonts w:hint="default" w:ascii="Times New Roman" w:hAnsi="Times New Roman" w:eastAsia="宋体" w:cs="Times New Roman"/>
                      <w:color w:val="000000" w:themeColor="text1"/>
                      <w:szCs w:val="21"/>
                      <w:lang w:eastAsia="zh-CN"/>
                      <w14:textFill>
                        <w14:solidFill>
                          <w14:schemeClr w14:val="tx1"/>
                        </w14:solidFill>
                      </w14:textFill>
                    </w:rPr>
                    <w:t>食</w:t>
                  </w:r>
                  <w:r>
                    <w:rPr>
                      <w:rFonts w:hint="default" w:ascii="Times New Roman" w:hAnsi="Times New Roman" w:eastAsia="宋体" w:cs="Times New Roman"/>
                      <w:color w:val="000000" w:themeColor="text1"/>
                      <w:szCs w:val="21"/>
                      <w:lang w:val="en-US" w:eastAsia="zh-CN"/>
                      <w14:textFill>
                        <w14:solidFill>
                          <w14:schemeClr w14:val="tx1"/>
                        </w14:solidFill>
                      </w14:textFill>
                    </w:rPr>
                    <w:t>堂</w:t>
                  </w:r>
                  <w:r>
                    <w:rPr>
                      <w:rFonts w:hint="default" w:ascii="Times New Roman" w:hAnsi="Times New Roman" w:cs="Times New Roman"/>
                      <w:color w:val="000000" w:themeColor="text1"/>
                      <w:szCs w:val="21"/>
                      <w:lang w:val="en-US" w:eastAsia="zh-CN"/>
                      <w14:textFill>
                        <w14:solidFill>
                          <w14:schemeClr w14:val="tx1"/>
                        </w14:solidFill>
                      </w14:textFill>
                    </w:rPr>
                    <w:t>、化粪池</w:t>
                  </w:r>
                  <w:r>
                    <w:rPr>
                      <w:rFonts w:hint="default" w:ascii="Times New Roman" w:hAnsi="Times New Roman" w:eastAsia="宋体" w:cs="Times New Roman"/>
                      <w:color w:val="000000" w:themeColor="text1"/>
                      <w:szCs w:val="21"/>
                      <w:lang w:val="en-US" w:eastAsia="zh-CN"/>
                      <w14:textFill>
                        <w14:solidFill>
                          <w14:schemeClr w14:val="tx1"/>
                        </w14:solidFill>
                      </w14:textFill>
                    </w:rPr>
                    <w:t>地</w:t>
                  </w:r>
                  <w:r>
                    <w:rPr>
                      <w:rFonts w:hint="default" w:ascii="Times New Roman" w:hAnsi="Times New Roman" w:eastAsia="宋体" w:cs="Times New Roman"/>
                      <w:color w:val="000000" w:themeColor="text1"/>
                      <w:szCs w:val="21"/>
                      <w14:textFill>
                        <w14:solidFill>
                          <w14:schemeClr w14:val="tx1"/>
                        </w14:solidFill>
                      </w14:textFill>
                    </w:rPr>
                    <w:t>面采用混凝土硬化，满足等效黏</w:t>
                  </w:r>
                  <w:r>
                    <w:rPr>
                      <w:rFonts w:hint="default" w:ascii="Times New Roman" w:hAnsi="Times New Roman" w:cs="Times New Roman"/>
                      <w:color w:val="000000" w:themeColor="text1"/>
                      <w:kern w:val="0"/>
                      <w:szCs w:val="21"/>
                      <w14:textFill>
                        <w14:solidFill>
                          <w14:schemeClr w14:val="tx1"/>
                        </w14:solidFill>
                      </w14:textFill>
                    </w:rPr>
                    <w:t>土防渗层Mb≥1.5m，K≤1×10</w:t>
                  </w:r>
                  <w:r>
                    <w:rPr>
                      <w:rFonts w:hint="default" w:ascii="Times New Roman" w:hAnsi="Times New Roman" w:cs="Times New Roman"/>
                      <w:color w:val="000000" w:themeColor="text1"/>
                      <w:kern w:val="0"/>
                      <w:szCs w:val="21"/>
                      <w:vertAlign w:val="superscript"/>
                      <w14:textFill>
                        <w14:solidFill>
                          <w14:schemeClr w14:val="tx1"/>
                        </w14:solidFill>
                      </w14:textFill>
                    </w:rPr>
                    <w:t>-7</w:t>
                  </w:r>
                  <w:r>
                    <w:rPr>
                      <w:rFonts w:hint="default" w:ascii="Times New Roman" w:hAnsi="Times New Roman" w:cs="Times New Roman"/>
                      <w:color w:val="000000" w:themeColor="text1"/>
                      <w:kern w:val="0"/>
                      <w:szCs w:val="21"/>
                      <w14:textFill>
                        <w14:solidFill>
                          <w14:schemeClr w14:val="tx1"/>
                        </w14:solidFill>
                      </w14:textFill>
                    </w:rPr>
                    <w:t>cm/s</w:t>
                  </w:r>
                </w:p>
                <w:p>
                  <w:pPr>
                    <w:pStyle w:val="38"/>
                    <w:keepNext w:val="0"/>
                    <w:keepLines w:val="0"/>
                    <w:pageBreakBefore w:val="0"/>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简单防渗区：办公区</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宿舍</w:t>
                  </w:r>
                  <w:r>
                    <w:rPr>
                      <w:rFonts w:hint="default" w:ascii="Times New Roman" w:hAnsi="Times New Roman" w:cs="Times New Roman"/>
                      <w:color w:val="000000" w:themeColor="text1"/>
                      <w:kern w:val="0"/>
                      <w:sz w:val="21"/>
                      <w:szCs w:val="21"/>
                      <w14:textFill>
                        <w14:solidFill>
                          <w14:schemeClr w14:val="tx1"/>
                        </w14:solidFill>
                      </w14:textFill>
                    </w:rPr>
                    <w:t>采用水泥硬化地面</w:t>
                  </w:r>
                </w:p>
              </w:tc>
              <w:tc>
                <w:tcPr>
                  <w:tcW w:w="634" w:type="pct"/>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425" w:type="pct"/>
                  <w:vMerge w:val="continue"/>
                  <w:noWrap w:val="0"/>
                  <w:vAlign w:val="center"/>
                </w:tcPr>
                <w:p>
                  <w:pPr>
                    <w:pStyle w:val="38"/>
                    <w:jc w:val="center"/>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p>
              </w:tc>
              <w:tc>
                <w:tcPr>
                  <w:tcW w:w="726" w:type="pct"/>
                  <w:gridSpan w:val="2"/>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风险防范</w:t>
                  </w:r>
                </w:p>
              </w:tc>
              <w:tc>
                <w:tcPr>
                  <w:tcW w:w="2792" w:type="pct"/>
                  <w:noWrap w:val="0"/>
                  <w:vAlign w:val="center"/>
                </w:tcPr>
                <w:p>
                  <w:pPr>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工程措施：辅料仓库</w:t>
                  </w:r>
                  <w:r>
                    <w:rPr>
                      <w:rFonts w:hint="default" w:ascii="Times New Roman" w:hAnsi="Times New Roman" w:eastAsia="宋体" w:cs="Times New Roman"/>
                      <w:color w:val="000000" w:themeColor="text1"/>
                      <w:sz w:val="21"/>
                      <w:szCs w:val="21"/>
                      <w14:textFill>
                        <w14:solidFill>
                          <w14:schemeClr w14:val="tx1"/>
                        </w14:solidFill>
                      </w14:textFill>
                    </w:rPr>
                    <w:t>及危废暂存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库</w:t>
                  </w:r>
                  <w:r>
                    <w:rPr>
                      <w:rFonts w:hint="default" w:ascii="Times New Roman" w:hAnsi="Times New Roman" w:eastAsia="宋体" w:cs="Times New Roman"/>
                      <w:color w:val="000000" w:themeColor="text1"/>
                      <w:sz w:val="21"/>
                      <w:szCs w:val="21"/>
                      <w14:textFill>
                        <w14:solidFill>
                          <w14:schemeClr w14:val="tx1"/>
                        </w14:solidFill>
                      </w14:textFill>
                    </w:rPr>
                    <w:t>进行重点防渗处理，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入口处</w:t>
                  </w:r>
                  <w:r>
                    <w:rPr>
                      <w:rFonts w:hint="default" w:ascii="Times New Roman" w:hAnsi="Times New Roman" w:eastAsia="宋体" w:cs="Times New Roman"/>
                      <w:color w:val="000000" w:themeColor="text1"/>
                      <w:sz w:val="21"/>
                      <w:szCs w:val="21"/>
                      <w14:textFill>
                        <w14:solidFill>
                          <w14:schemeClr w14:val="tx1"/>
                        </w14:solidFill>
                      </w14:textFill>
                    </w:rPr>
                    <w:t>设置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10cm高</w:t>
                  </w:r>
                  <w:r>
                    <w:rPr>
                      <w:rFonts w:hint="default" w:ascii="Times New Roman" w:hAnsi="Times New Roman" w:eastAsia="宋体" w:cs="Times New Roman"/>
                      <w:color w:val="000000" w:themeColor="text1"/>
                      <w:sz w:val="21"/>
                      <w:szCs w:val="21"/>
                      <w14:textFill>
                        <w14:solidFill>
                          <w14:schemeClr w14:val="tx1"/>
                        </w14:solidFill>
                      </w14:textFill>
                    </w:rPr>
                    <w:t>围堰，</w:t>
                  </w:r>
                  <w:r>
                    <w:rPr>
                      <w:rFonts w:hint="default" w:ascii="Times New Roman" w:hAnsi="Times New Roman" w:eastAsia="宋体" w:cs="Times New Roman"/>
                      <w:color w:val="000000" w:themeColor="text1"/>
                      <w:kern w:val="0"/>
                      <w:sz w:val="21"/>
                      <w:szCs w:val="21"/>
                      <w14:textFill>
                        <w14:solidFill>
                          <w14:schemeClr w14:val="tx1"/>
                        </w14:solidFill>
                      </w14:textFill>
                    </w:rPr>
                    <w:t>车间及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辅料仓库</w:t>
                  </w:r>
                  <w:r>
                    <w:rPr>
                      <w:rFonts w:hint="default" w:ascii="Times New Roman" w:hAnsi="Times New Roman" w:eastAsia="宋体" w:cs="Times New Roman"/>
                      <w:color w:val="000000" w:themeColor="text1"/>
                      <w:kern w:val="0"/>
                      <w:sz w:val="21"/>
                      <w:szCs w:val="21"/>
                      <w14:textFill>
                        <w14:solidFill>
                          <w14:schemeClr w14:val="tx1"/>
                        </w14:solidFill>
                      </w14:textFill>
                    </w:rPr>
                    <w:t>设置火灾报警系统</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辅料仓库</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设置</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严禁烟火</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标识</w:t>
                  </w:r>
                  <w:r>
                    <w:rPr>
                      <w:rFonts w:hint="default" w:ascii="Times New Roman" w:hAnsi="Times New Roman" w:eastAsia="宋体" w:cs="Times New Roman"/>
                      <w:color w:val="000000" w:themeColor="text1"/>
                      <w:kern w:val="0"/>
                      <w:sz w:val="21"/>
                      <w:szCs w:val="21"/>
                      <w14:textFill>
                        <w14:solidFill>
                          <w14:schemeClr w14:val="tx1"/>
                        </w14:solidFill>
                      </w14:textFill>
                    </w:rPr>
                    <w:t>，配备应急器材</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废气处理设施的</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每日巡检</w:t>
                  </w:r>
                  <w:r>
                    <w:rPr>
                      <w:rFonts w:hint="default" w:ascii="Times New Roman" w:hAnsi="Times New Roman" w:eastAsia="宋体" w:cs="Times New Roman"/>
                      <w:color w:val="000000" w:themeColor="text1"/>
                      <w:kern w:val="0"/>
                      <w:sz w:val="21"/>
                      <w:szCs w:val="21"/>
                      <w14:textFill>
                        <w14:solidFill>
                          <w14:schemeClr w14:val="tx1"/>
                        </w14:solidFill>
                      </w14:textFill>
                    </w:rPr>
                    <w:t>，定期更换活性炭</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滤芯</w:t>
                  </w:r>
                  <w:r>
                    <w:rPr>
                      <w:rFonts w:hint="default" w:ascii="Times New Roman" w:hAnsi="Times New Roman" w:eastAsia="宋体" w:cs="Times New Roman"/>
                      <w:color w:val="000000" w:themeColor="text1"/>
                      <w:kern w:val="0"/>
                      <w:sz w:val="21"/>
                      <w:szCs w:val="21"/>
                      <w14:textFill>
                        <w14:solidFill>
                          <w14:schemeClr w14:val="tx1"/>
                        </w14:solidFill>
                      </w14:textFill>
                    </w:rPr>
                    <w:t>、布袋等；</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机加工设备下方安装防渗漏托盘</w:t>
                  </w:r>
                  <w:r>
                    <w:rPr>
                      <w:rFonts w:hint="default" w:ascii="Times New Roman" w:hAnsi="Times New Roman" w:eastAsia="宋体" w:cs="Times New Roman"/>
                      <w:color w:val="000000" w:themeColor="text1"/>
                      <w:sz w:val="21"/>
                      <w:szCs w:val="21"/>
                      <w:lang w:val="zh-CN"/>
                      <w14:textFill>
                        <w14:solidFill>
                          <w14:schemeClr w14:val="tx1"/>
                        </w14:solidFill>
                      </w14:textFill>
                    </w:rPr>
                    <w:t>；危废仓库设置</w:t>
                  </w:r>
                  <w:r>
                    <w:rPr>
                      <w:rFonts w:hint="default" w:ascii="Times New Roman" w:hAnsi="Times New Roman" w:eastAsia="宋体" w:cs="Times New Roman"/>
                      <w:b w:val="0"/>
                      <w:bCs/>
                      <w:color w:val="000000" w:themeColor="text1"/>
                      <w:sz w:val="21"/>
                      <w:szCs w:val="21"/>
                      <w14:textFill>
                        <w14:solidFill>
                          <w14:schemeClr w14:val="tx1"/>
                        </w14:solidFill>
                      </w14:textFill>
                    </w:rPr>
                    <w:t>红外线成像监测预警系统</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和</w:t>
                  </w:r>
                  <w:r>
                    <w:rPr>
                      <w:rFonts w:hint="default" w:ascii="Times New Roman" w:hAnsi="Times New Roman" w:eastAsia="宋体" w:cs="Times New Roman"/>
                      <w:b w:val="0"/>
                      <w:bCs/>
                      <w:color w:val="000000" w:themeColor="text1"/>
                      <w:sz w:val="21"/>
                      <w:szCs w:val="21"/>
                      <w14:textFill>
                        <w14:solidFill>
                          <w14:schemeClr w14:val="tx1"/>
                        </w14:solidFill>
                      </w14:textFill>
                    </w:rPr>
                    <w:t>红外线温度检测报警</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系统，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于项目区北侧设置250m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事故应急池一座，敷设事故管道与生产车间、辅料仓库、危废暂存库相连接，</w:t>
                  </w:r>
                  <w:r>
                    <w:rPr>
                      <w:rFonts w:hint="default" w:ascii="Times New Roman" w:hAnsi="Times New Roman" w:eastAsia="宋体" w:cs="Times New Roman"/>
                      <w:color w:val="000000" w:themeColor="text1"/>
                      <w:spacing w:val="-5"/>
                      <w:sz w:val="21"/>
                      <w:szCs w:val="21"/>
                      <w14:textFill>
                        <w14:solidFill>
                          <w14:schemeClr w14:val="tx1"/>
                        </w14:solidFill>
                      </w14:textFill>
                    </w:rPr>
                    <w:t>厂区雨水总排口、污水总排口设置闸阀</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w:t>
                  </w:r>
                </w:p>
                <w:p>
                  <w:pPr>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管理措施：</w:t>
                  </w:r>
                  <w:r>
                    <w:rPr>
                      <w:rFonts w:hint="default" w:ascii="Times New Roman" w:hAnsi="Times New Roman" w:eastAsia="宋体" w:cs="Times New Roman"/>
                      <w:color w:val="000000" w:themeColor="text1"/>
                      <w:sz w:val="21"/>
                      <w:szCs w:val="21"/>
                      <w:lang w:val="zh-CN"/>
                      <w14:textFill>
                        <w14:solidFill>
                          <w14:schemeClr w14:val="tx1"/>
                        </w14:solidFill>
                      </w14:textFill>
                    </w:rPr>
                    <w:t>制定应急预案，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定期进行应急演练</w:t>
                  </w:r>
                  <w:r>
                    <w:rPr>
                      <w:rFonts w:hint="default" w:ascii="Times New Roman" w:hAnsi="Times New Roman" w:eastAsia="宋体" w:cs="Times New Roman"/>
                      <w:color w:val="000000" w:themeColor="text1"/>
                      <w:sz w:val="21"/>
                      <w:szCs w:val="21"/>
                      <w:lang w:val="zh-CN"/>
                      <w14:textFill>
                        <w14:solidFill>
                          <w14:schemeClr w14:val="tx1"/>
                        </w14:solidFill>
                      </w14:textFill>
                    </w:rPr>
                    <w:t>。</w:t>
                  </w:r>
                </w:p>
              </w:tc>
              <w:tc>
                <w:tcPr>
                  <w:tcW w:w="634"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bl>
          <w:p>
            <w:pPr>
              <w:spacing w:before="100" w:beforeAutospacing="1" w:line="360" w:lineRule="auto"/>
              <w:ind w:firstLine="482" w:firstLineChars="200"/>
              <w:rPr>
                <w:rFonts w:hint="default" w:ascii="Times New Roman" w:hAnsi="Times New Roman" w:eastAsia="宋体" w:cs="Times New Roman"/>
                <w:b/>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4"/>
                <w14:textFill>
                  <w14:solidFill>
                    <w14:schemeClr w14:val="tx1"/>
                  </w14:solidFill>
                </w14:textFill>
              </w:rPr>
              <w:t>产品方案、生产规模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本项目产品方案见下表。</w:t>
            </w:r>
          </w:p>
          <w:p>
            <w:pPr>
              <w:widowControl/>
              <w:spacing w:before="100" w:beforeAutospacing="1"/>
              <w:jc w:val="center"/>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b/>
                <w:color w:val="000000" w:themeColor="text1"/>
                <w:kern w:val="0"/>
                <w:sz w:val="24"/>
                <w:szCs w:val="20"/>
                <w14:textFill>
                  <w14:solidFill>
                    <w14:schemeClr w14:val="tx1"/>
                  </w14:solidFill>
                </w14:textFill>
              </w:rPr>
              <w:t>表</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0"/>
                <w14:textFill>
                  <w14:solidFill>
                    <w14:schemeClr w14:val="tx1"/>
                  </w14:solidFill>
                </w14:textFill>
              </w:rPr>
              <w:t>-</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szCs w:val="20"/>
                <w14:textFill>
                  <w14:solidFill>
                    <w14:schemeClr w14:val="tx1"/>
                  </w14:solidFill>
                </w14:textFill>
              </w:rPr>
              <w:t xml:space="preserve">  本项目产品方案</w:t>
            </w:r>
          </w:p>
          <w:tbl>
            <w:tblPr>
              <w:tblStyle w:val="31"/>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38"/>
              <w:gridCol w:w="1898"/>
              <w:gridCol w:w="1899"/>
              <w:gridCol w:w="1737"/>
              <w:gridCol w:w="1044"/>
              <w:gridCol w:w="10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blHeader/>
                <w:jc w:val="center"/>
              </w:trPr>
              <w:tc>
                <w:tcPr>
                  <w:tcW w:w="599" w:type="pct"/>
                  <w:noWrap w:val="0"/>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095" w:type="pct"/>
                  <w:noWrap w:val="0"/>
                  <w:vAlign w:val="center"/>
                </w:tcPr>
                <w:p>
                  <w:pPr>
                    <w:adjustRightInd w:val="0"/>
                    <w:snapToGrid w:val="0"/>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产品</w:t>
                  </w:r>
                  <w:r>
                    <w:rPr>
                      <w:rFonts w:hint="default" w:ascii="Times New Roman" w:hAnsi="Times New Roman" w:cs="Times New Roman"/>
                      <w:b/>
                      <w:bCs/>
                      <w:color w:val="000000" w:themeColor="text1"/>
                      <w:szCs w:val="21"/>
                      <w:lang w:eastAsia="zh-CN"/>
                      <w14:textFill>
                        <w14:solidFill>
                          <w14:schemeClr w14:val="tx1"/>
                        </w14:solidFill>
                      </w14:textFill>
                    </w:rPr>
                    <w:t>类别</w:t>
                  </w:r>
                </w:p>
              </w:tc>
              <w:tc>
                <w:tcPr>
                  <w:tcW w:w="1095" w:type="pct"/>
                  <w:noWrap w:val="0"/>
                  <w:vAlign w:val="center"/>
                </w:tcPr>
                <w:p>
                  <w:pPr>
                    <w:adjustRightInd w:val="0"/>
                    <w:snapToGrid w:val="0"/>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产品名称</w:t>
                  </w:r>
                </w:p>
              </w:tc>
              <w:tc>
                <w:tcPr>
                  <w:tcW w:w="1002" w:type="pct"/>
                  <w:noWrap w:val="0"/>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年生产量</w:t>
                  </w:r>
                </w:p>
              </w:tc>
              <w:tc>
                <w:tcPr>
                  <w:tcW w:w="602" w:type="pct"/>
                  <w:noWrap w:val="0"/>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单位</w:t>
                  </w:r>
                </w:p>
              </w:tc>
              <w:tc>
                <w:tcPr>
                  <w:tcW w:w="602" w:type="pct"/>
                  <w:noWrap w:val="0"/>
                  <w:vAlign w:val="center"/>
                </w:tcPr>
                <w:p>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产品重量（kg/套）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6" w:hRule="atLeast"/>
                <w:tblHeader/>
                <w:jc w:val="center"/>
              </w:trPr>
              <w:tc>
                <w:tcPr>
                  <w:tcW w:w="599"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095" w:type="pct"/>
                  <w:vMerge w:val="restart"/>
                  <w:tcBorders>
                    <w:top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汽车零部件</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合力叉车脚踏板</w:t>
                  </w:r>
                </w:p>
              </w:tc>
              <w:tc>
                <w:tcPr>
                  <w:tcW w:w="10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20万</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套</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6" w:hRule="atLeast"/>
                <w:tblHeader/>
                <w:jc w:val="center"/>
              </w:trPr>
              <w:tc>
                <w:tcPr>
                  <w:tcW w:w="599"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095" w:type="pct"/>
                  <w:vMerge w:val="continue"/>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电机外壳系列产品</w:t>
                  </w:r>
                </w:p>
              </w:tc>
              <w:tc>
                <w:tcPr>
                  <w:tcW w:w="10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10万</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套</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6" w:hRule="atLeast"/>
                <w:tblHeader/>
                <w:jc w:val="center"/>
              </w:trPr>
              <w:tc>
                <w:tcPr>
                  <w:tcW w:w="599" w:type="pct"/>
                  <w:tcBorders>
                    <w:top w:val="single" w:color="000000" w:sz="6" w:space="0"/>
                    <w:bottom w:val="single" w:color="000000" w:sz="6" w:space="0"/>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家电配件</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洗衣机滚筒连接法兰盘</w:t>
                  </w:r>
                </w:p>
              </w:tc>
              <w:tc>
                <w:tcPr>
                  <w:tcW w:w="10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10万</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套</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6" w:hRule="atLeast"/>
                <w:tblHeader/>
                <w:jc w:val="center"/>
              </w:trPr>
              <w:tc>
                <w:tcPr>
                  <w:tcW w:w="599" w:type="pct"/>
                  <w:tcBorders>
                    <w:top w:val="single" w:color="000000" w:sz="6" w:space="0"/>
                    <w:bottom w:val="single" w:color="000000" w:sz="6" w:space="0"/>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门业配件</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门业扭簧法兰</w:t>
                  </w:r>
                </w:p>
              </w:tc>
              <w:tc>
                <w:tcPr>
                  <w:tcW w:w="10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10万</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套</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blHeader/>
                <w:jc w:val="center"/>
              </w:trPr>
              <w:tc>
                <w:tcPr>
                  <w:tcW w:w="599" w:type="pct"/>
                  <w:tcBorders>
                    <w:top w:val="single" w:color="000000" w:sz="6" w:space="0"/>
                    <w:bottom w:val="single" w:color="000000" w:sz="6" w:space="0"/>
                  </w:tcBorders>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合计</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95"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铝合金压铸件</w:t>
                  </w:r>
                </w:p>
              </w:tc>
              <w:tc>
                <w:tcPr>
                  <w:tcW w:w="10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50万</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套</w:t>
                  </w:r>
                </w:p>
              </w:tc>
              <w:tc>
                <w:tcPr>
                  <w:tcW w:w="602" w:type="pct"/>
                  <w:tcBorders>
                    <w:top w:val="single" w:color="000000" w:sz="6" w:space="0"/>
                    <w:bottom w:val="single" w:color="000000" w:sz="6" w:space="0"/>
                  </w:tcBorders>
                  <w:noWrap w:val="0"/>
                  <w:vAlign w:val="center"/>
                </w:tcPr>
                <w:p>
                  <w:pPr>
                    <w:widowControl/>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铝消耗量合计3100t/a</w:t>
                  </w:r>
                </w:p>
              </w:tc>
            </w:tr>
          </w:tbl>
          <w:p>
            <w:pPr>
              <w:widowControl/>
              <w:spacing w:line="360" w:lineRule="auto"/>
              <w:ind w:firstLine="480" w:firstLineChars="200"/>
              <w:jc w:val="left"/>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经查《产业结构调整指导目录（20</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4"/>
                <w:szCs w:val="20"/>
                <w14:textFill>
                  <w14:solidFill>
                    <w14:schemeClr w14:val="tx1"/>
                  </w14:solidFill>
                </w14:textFill>
              </w:rPr>
              <w:t>年本）》，上述产品均不属于“限制类”和“淘汰类”产品。</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2" w:firstLineChars="200"/>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14:textFill>
                  <w14:solidFill>
                    <w14:schemeClr w14:val="tx1"/>
                  </w14:solidFill>
                </w14:textFill>
              </w:rPr>
              <w:t>主要生产设备</w:t>
            </w:r>
          </w:p>
          <w:p>
            <w:pPr>
              <w:spacing w:line="360" w:lineRule="auto"/>
              <w:ind w:firstLine="480" w:firstLineChars="200"/>
              <w:textAlignment w:val="baseline"/>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本项目主要生产设备详见</w:t>
            </w:r>
            <w:r>
              <w:rPr>
                <w:rFonts w:hint="default" w:ascii="Times New Roman" w:hAnsi="Times New Roman" w:eastAsia="宋体" w:cs="Times New Roman"/>
                <w:color w:val="000000" w:themeColor="text1"/>
                <w:sz w:val="24"/>
                <w:lang w:eastAsia="zh-CN"/>
                <w14:textFill>
                  <w14:solidFill>
                    <w14:schemeClr w14:val="tx1"/>
                  </w14:solidFill>
                </w14:textFill>
              </w:rPr>
              <w:t>下表</w:t>
            </w:r>
            <w:r>
              <w:rPr>
                <w:rFonts w:hint="default" w:ascii="Times New Roman" w:hAnsi="Times New Roman" w:eastAsia="宋体" w:cs="Times New Roman"/>
                <w:color w:val="000000" w:themeColor="text1"/>
                <w:sz w:val="24"/>
                <w14:textFill>
                  <w14:solidFill>
                    <w14:schemeClr w14:val="tx1"/>
                  </w14:solidFill>
                </w14:textFill>
              </w:rPr>
              <w:t>所示。</w:t>
            </w:r>
          </w:p>
          <w:p>
            <w:pPr>
              <w:widowControl/>
              <w:spacing w:before="100" w:beforeAutospacing="1"/>
              <w:jc w:val="center"/>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b/>
                <w:color w:val="000000" w:themeColor="text1"/>
                <w:kern w:val="0"/>
                <w:sz w:val="24"/>
                <w:szCs w:val="20"/>
                <w14:textFill>
                  <w14:solidFill>
                    <w14:schemeClr w14:val="tx1"/>
                  </w14:solidFill>
                </w14:textFill>
              </w:rPr>
              <w:t>表</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0"/>
                <w14:textFill>
                  <w14:solidFill>
                    <w14:schemeClr w14:val="tx1"/>
                  </w14:solidFill>
                </w14:textFill>
              </w:rPr>
              <w:t>-</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0"/>
                <w14:textFill>
                  <w14:solidFill>
                    <w14:schemeClr w14:val="tx1"/>
                  </w14:solidFill>
                </w14:textFill>
              </w:rPr>
              <w:t>主要设备情况一览表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648"/>
              <w:gridCol w:w="808"/>
              <w:gridCol w:w="1749"/>
              <w:gridCol w:w="1094"/>
              <w:gridCol w:w="1095"/>
              <w:gridCol w:w="1782"/>
              <w:gridCol w:w="556"/>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70" w:type="pct"/>
                  <w:noWrap w:val="0"/>
                  <w:vAlign w:val="center"/>
                </w:tcPr>
                <w:p>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376" w:type="pct"/>
                  <w:noWrap w:val="0"/>
                  <w:vAlign w:val="center"/>
                </w:tcPr>
                <w:p>
                  <w:pPr>
                    <w:widowControl/>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主要生产单元</w:t>
                  </w:r>
                </w:p>
              </w:tc>
              <w:tc>
                <w:tcPr>
                  <w:tcW w:w="468" w:type="pct"/>
                  <w:noWrap w:val="0"/>
                  <w:vAlign w:val="center"/>
                </w:tcPr>
                <w:p>
                  <w:pPr>
                    <w:widowControl/>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主要生产工艺</w:t>
                  </w:r>
                </w:p>
              </w:tc>
              <w:tc>
                <w:tcPr>
                  <w:tcW w:w="1011" w:type="pct"/>
                  <w:noWrap w:val="0"/>
                  <w:vAlign w:val="center"/>
                </w:tcPr>
                <w:p>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设备名称</w:t>
                  </w:r>
                </w:p>
              </w:tc>
              <w:tc>
                <w:tcPr>
                  <w:tcW w:w="633" w:type="pct"/>
                  <w:noWrap w:val="0"/>
                  <w:vAlign w:val="center"/>
                </w:tcPr>
                <w:p>
                  <w:pPr>
                    <w:widowControl/>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设施参数</w:t>
                  </w:r>
                </w:p>
              </w:tc>
              <w:tc>
                <w:tcPr>
                  <w:tcW w:w="614" w:type="pct"/>
                  <w:noWrap w:val="0"/>
                  <w:vAlign w:val="center"/>
                </w:tcPr>
                <w:p>
                  <w:pPr>
                    <w:widowControl/>
                    <w:jc w:val="center"/>
                    <w:rPr>
                      <w:rFonts w:hint="default" w:ascii="Times New Roman" w:hAnsi="Times New Roman"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设施参数单位</w:t>
                  </w:r>
                </w:p>
              </w:tc>
              <w:tc>
                <w:tcPr>
                  <w:tcW w:w="1030" w:type="pct"/>
                  <w:noWrap w:val="0"/>
                  <w:vAlign w:val="center"/>
                </w:tcPr>
                <w:p>
                  <w:pPr>
                    <w:widowControl/>
                    <w:jc w:val="center"/>
                    <w:rPr>
                      <w:rFonts w:hint="default" w:ascii="Times New Roman" w:hAnsi="Times New Roman"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设备型号</w:t>
                  </w:r>
                </w:p>
              </w:tc>
              <w:tc>
                <w:tcPr>
                  <w:tcW w:w="323" w:type="pct"/>
                  <w:noWrap w:val="0"/>
                  <w:vAlign w:val="center"/>
                </w:tcPr>
                <w:p>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数量</w:t>
                  </w:r>
                </w:p>
              </w:tc>
              <w:tc>
                <w:tcPr>
                  <w:tcW w:w="272" w:type="pct"/>
                  <w:noWrap w:val="0"/>
                  <w:vAlign w:val="center"/>
                </w:tcPr>
                <w:p>
                  <w:pPr>
                    <w:widowControl/>
                    <w:jc w:val="center"/>
                    <w:rPr>
                      <w:rFonts w:hint="default" w:ascii="Times New Roman" w:hAnsi="Times New Roman"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376" w:type="pct"/>
                  <w:vMerge w:val="restar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p>
              </w:tc>
              <w:tc>
                <w:tcPr>
                  <w:tcW w:w="468" w:type="pct"/>
                  <w:vMerge w:val="restar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天然气熔铝炉，尺寸为炉体尺寸</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11"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63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容量</w:t>
                  </w:r>
                </w:p>
              </w:tc>
              <w:tc>
                <w:tcPr>
                  <w:tcW w:w="6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0.4t</w:t>
                  </w:r>
                </w:p>
              </w:tc>
              <w:tc>
                <w:tcPr>
                  <w:tcW w:w="1030"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BM-20179（长1.35m宽1.05m高1m）</w:t>
                  </w:r>
                </w:p>
              </w:tc>
              <w:tc>
                <w:tcPr>
                  <w:tcW w:w="32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376"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468"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1011"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633"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容量</w:t>
                  </w:r>
                </w:p>
              </w:tc>
              <w:tc>
                <w:tcPr>
                  <w:tcW w:w="6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0.6t</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BM-20179（长1.4m宽1.1m高1.1m）</w:t>
                  </w:r>
                </w:p>
              </w:tc>
              <w:tc>
                <w:tcPr>
                  <w:tcW w:w="32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376"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468"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1011"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63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容量</w:t>
                  </w:r>
                </w:p>
              </w:tc>
              <w:tc>
                <w:tcPr>
                  <w:tcW w:w="6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0.8t</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BM-20179（长1.5m宽1.15m高1.2m）</w:t>
                  </w:r>
                </w:p>
              </w:tc>
              <w:tc>
                <w:tcPr>
                  <w:tcW w:w="32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376" w:type="pct"/>
                  <w:vMerge w:val="restar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w:t>
                  </w:r>
                </w:p>
              </w:tc>
              <w:tc>
                <w:tcPr>
                  <w:tcW w:w="468" w:type="pct"/>
                  <w:vMerge w:val="restar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w:t>
                  </w:r>
                </w:p>
              </w:tc>
              <w:tc>
                <w:tcPr>
                  <w:tcW w:w="101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冷室压铸机</w:t>
                  </w:r>
                </w:p>
              </w:tc>
              <w:tc>
                <w:tcPr>
                  <w:tcW w:w="63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锁型力</w:t>
                  </w:r>
                </w:p>
              </w:tc>
              <w:tc>
                <w:tcPr>
                  <w:tcW w:w="6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2800kN</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IMPRESS-III PLUS-DCC280</w:t>
                  </w:r>
                </w:p>
              </w:tc>
              <w:tc>
                <w:tcPr>
                  <w:tcW w:w="32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376"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468"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101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冷室压铸机</w:t>
                  </w:r>
                </w:p>
              </w:tc>
              <w:tc>
                <w:tcPr>
                  <w:tcW w:w="63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锁形力</w:t>
                  </w:r>
                </w:p>
              </w:tc>
              <w:tc>
                <w:tcPr>
                  <w:tcW w:w="6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4000kN</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IMPRESS-III PLUS-DCC400</w:t>
                  </w:r>
                </w:p>
              </w:tc>
              <w:tc>
                <w:tcPr>
                  <w:tcW w:w="32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376"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468" w:type="pct"/>
                  <w:vMerge w:val="continue"/>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101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冷室压铸机</w:t>
                  </w:r>
                </w:p>
              </w:tc>
              <w:tc>
                <w:tcPr>
                  <w:tcW w:w="63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锁形力</w:t>
                  </w:r>
                </w:p>
              </w:tc>
              <w:tc>
                <w:tcPr>
                  <w:tcW w:w="6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5000kN</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IMPRESS-III PLUS-DCC500</w:t>
                  </w:r>
                </w:p>
              </w:tc>
              <w:tc>
                <w:tcPr>
                  <w:tcW w:w="32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376" w:type="pct"/>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抛光</w:t>
                  </w:r>
                </w:p>
              </w:tc>
              <w:tc>
                <w:tcPr>
                  <w:tcW w:w="468"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抛光</w:t>
                  </w:r>
                </w:p>
              </w:tc>
              <w:tc>
                <w:tcPr>
                  <w:tcW w:w="1011"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砂磨抛光机</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3kW</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ZY-SF300</w:t>
                  </w:r>
                </w:p>
              </w:tc>
              <w:tc>
                <w:tcPr>
                  <w:tcW w:w="32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376"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去毛刺水口</w:t>
                  </w:r>
                </w:p>
              </w:tc>
              <w:tc>
                <w:tcPr>
                  <w:tcW w:w="468"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去毛刺水口</w:t>
                  </w:r>
                </w:p>
              </w:tc>
              <w:tc>
                <w:tcPr>
                  <w:tcW w:w="1011" w:type="pct"/>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油压切边机</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5.5kW</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CX108K-30T</w:t>
                  </w:r>
                </w:p>
              </w:tc>
              <w:tc>
                <w:tcPr>
                  <w:tcW w:w="32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376" w:type="pct"/>
                  <w:vMerge w:val="restar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粗加工</w:t>
                  </w:r>
                </w:p>
              </w:tc>
              <w:tc>
                <w:tcPr>
                  <w:tcW w:w="468" w:type="pct"/>
                  <w:vMerge w:val="restar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粗加工</w:t>
                  </w:r>
                </w:p>
              </w:tc>
              <w:tc>
                <w:tcPr>
                  <w:tcW w:w="101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数控机床</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6kW</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CK6130、CK36Z</w:t>
                  </w:r>
                </w:p>
              </w:tc>
              <w:tc>
                <w:tcPr>
                  <w:tcW w:w="32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376" w:type="pct"/>
                  <w:vMerge w:val="continue"/>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68" w:type="pct"/>
                  <w:vMerge w:val="continue"/>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01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多孔钻系列钻床</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6kW</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YDZ</w:t>
                  </w:r>
                </w:p>
              </w:tc>
              <w:tc>
                <w:tcPr>
                  <w:tcW w:w="32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p>
              </w:tc>
              <w:tc>
                <w:tcPr>
                  <w:tcW w:w="376"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精加工</w:t>
                  </w:r>
                </w:p>
              </w:tc>
              <w:tc>
                <w:tcPr>
                  <w:tcW w:w="468"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精加工</w:t>
                  </w:r>
                </w:p>
              </w:tc>
              <w:tc>
                <w:tcPr>
                  <w:tcW w:w="101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CNC加工中心</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10kW</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323"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376"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抛丸</w:t>
                  </w:r>
                </w:p>
              </w:tc>
              <w:tc>
                <w:tcPr>
                  <w:tcW w:w="468"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抛丸</w:t>
                  </w:r>
                </w:p>
              </w:tc>
              <w:tc>
                <w:tcPr>
                  <w:tcW w:w="1011" w:type="pct"/>
                  <w:noWrap w:val="0"/>
                  <w:vAlign w:val="center"/>
                </w:tcPr>
                <w:p>
                  <w:pPr>
                    <w:widowControl/>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抛丸机（挂抛式、滚抛式）</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13kW</w:t>
                  </w:r>
                </w:p>
              </w:tc>
              <w:tc>
                <w:tcPr>
                  <w:tcW w:w="103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Q312型</w:t>
                  </w:r>
                </w:p>
              </w:tc>
              <w:tc>
                <w:tcPr>
                  <w:tcW w:w="323"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0"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w:t>
                  </w:r>
                </w:p>
              </w:tc>
              <w:tc>
                <w:tcPr>
                  <w:tcW w:w="376"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光</w:t>
                  </w:r>
                  <w:r>
                    <w:rPr>
                      <w:rFonts w:hint="default" w:ascii="Times New Roman" w:hAnsi="Times New Roman" w:cs="Times New Roman"/>
                      <w:color w:val="000000" w:themeColor="text1"/>
                      <w:lang w:val="en-US" w:eastAsia="zh-CN"/>
                      <w14:textFill>
                        <w14:solidFill>
                          <w14:schemeClr w14:val="tx1"/>
                        </w14:solidFill>
                      </w14:textFill>
                    </w:rPr>
                    <w:t>饰</w:t>
                  </w:r>
                </w:p>
              </w:tc>
              <w:tc>
                <w:tcPr>
                  <w:tcW w:w="468"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光</w:t>
                  </w:r>
                  <w:r>
                    <w:rPr>
                      <w:rFonts w:hint="default" w:ascii="Times New Roman" w:hAnsi="Times New Roman" w:cs="Times New Roman"/>
                      <w:color w:val="000000" w:themeColor="text1"/>
                      <w:lang w:val="en-US" w:eastAsia="zh-CN"/>
                      <w14:textFill>
                        <w14:solidFill>
                          <w14:schemeClr w14:val="tx1"/>
                        </w14:solidFill>
                      </w14:textFill>
                    </w:rPr>
                    <w:t>饰</w:t>
                  </w:r>
                </w:p>
              </w:tc>
              <w:tc>
                <w:tcPr>
                  <w:tcW w:w="1011"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振动光饰机</w:t>
                  </w:r>
                </w:p>
              </w:tc>
              <w:tc>
                <w:tcPr>
                  <w:tcW w:w="633"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614"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4kW</w:t>
                  </w:r>
                </w:p>
              </w:tc>
              <w:tc>
                <w:tcPr>
                  <w:tcW w:w="1030"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323"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72" w:type="pct"/>
                  <w:noWrap w:val="0"/>
                  <w:vAlign w:val="center"/>
                </w:tcPr>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0" w:type="pct"/>
                  <w:noWrap w:val="0"/>
                  <w:vAlign w:val="center"/>
                </w:tcPr>
                <w:p>
                  <w:pPr>
                    <w:widowControl/>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w:t>
                  </w:r>
                </w:p>
              </w:tc>
              <w:tc>
                <w:tcPr>
                  <w:tcW w:w="376"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压铸冷却</w:t>
                  </w:r>
                </w:p>
              </w:tc>
              <w:tc>
                <w:tcPr>
                  <w:tcW w:w="468"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压铸冷却</w:t>
                  </w:r>
                </w:p>
              </w:tc>
              <w:tc>
                <w:tcPr>
                  <w:tcW w:w="101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冷却塔</w:t>
                  </w:r>
                </w:p>
              </w:tc>
              <w:tc>
                <w:tcPr>
                  <w:tcW w:w="633" w:type="pct"/>
                  <w:noWrap w:val="0"/>
                  <w:vAlign w:val="center"/>
                </w:tcPr>
                <w:p>
                  <w:pPr>
                    <w:widowControl/>
                    <w:jc w:val="center"/>
                    <w:rPr>
                      <w:rFonts w:hint="default" w:ascii="Times New Roman" w:hAnsi="Times New Roman" w:eastAsia="宋体" w:cs="Times New Roman"/>
                      <w:b w:val="0"/>
                      <w:bCs w:val="0"/>
                      <w:color w:val="000000" w:themeColor="text1"/>
                      <w:sz w:val="21"/>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生产能力</w:t>
                  </w:r>
                </w:p>
              </w:tc>
              <w:tc>
                <w:tcPr>
                  <w:tcW w:w="614" w:type="pct"/>
                  <w:noWrap w:val="0"/>
                  <w:vAlign w:val="center"/>
                </w:tcPr>
                <w:p>
                  <w:pPr>
                    <w:widowControl/>
                    <w:jc w:val="center"/>
                    <w:rPr>
                      <w:rFonts w:hint="default" w:ascii="Times New Roman" w:hAnsi="Times New Roman" w:cs="Times New Roman"/>
                      <w:b w:val="0"/>
                      <w:bCs w:val="0"/>
                      <w:color w:val="000000" w:themeColor="text1"/>
                      <w:sz w:val="21"/>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10m</w:t>
                  </w:r>
                  <w:r>
                    <w:rPr>
                      <w:rFonts w:hint="default" w:ascii="Times New Roman" w:hAnsi="Times New Roman" w:cs="Times New Roman"/>
                      <w:b w:val="0"/>
                      <w:bCs w:val="0"/>
                      <w:color w:val="000000" w:themeColor="text1"/>
                      <w:sz w:val="21"/>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/h</w:t>
                  </w:r>
                </w:p>
              </w:tc>
              <w:tc>
                <w:tcPr>
                  <w:tcW w:w="1030" w:type="pct"/>
                  <w:noWrap w:val="0"/>
                  <w:vAlign w:val="center"/>
                </w:tcPr>
                <w:p>
                  <w:pPr>
                    <w:widowControl/>
                    <w:jc w:val="center"/>
                    <w:rPr>
                      <w:rFonts w:hint="default" w:ascii="Times New Roman" w:hAnsi="Times New Roman" w:cs="Times New Roman"/>
                      <w:b w:val="0"/>
                      <w:bCs w:val="0"/>
                      <w:color w:val="000000" w:themeColor="text1"/>
                      <w:sz w:val="21"/>
                      <w:szCs w:val="24"/>
                      <w:lang w:val="en-US" w:eastAsia="zh-CN"/>
                      <w14:textFill>
                        <w14:solidFill>
                          <w14:schemeClr w14:val="tx1"/>
                        </w14:solidFill>
                      </w14:textFill>
                    </w:rPr>
                  </w:pPr>
                </w:p>
              </w:tc>
              <w:tc>
                <w:tcPr>
                  <w:tcW w:w="323"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272"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0"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376"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公共工程</w:t>
                  </w:r>
                </w:p>
              </w:tc>
              <w:tc>
                <w:tcPr>
                  <w:tcW w:w="468"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公共工程</w:t>
                  </w:r>
                </w:p>
              </w:tc>
              <w:tc>
                <w:tcPr>
                  <w:tcW w:w="101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空压机</w:t>
                  </w:r>
                </w:p>
              </w:tc>
              <w:tc>
                <w:tcPr>
                  <w:tcW w:w="633" w:type="pct"/>
                  <w:noWrap w:val="0"/>
                  <w:vAlign w:val="center"/>
                </w:tcPr>
                <w:p>
                  <w:pPr>
                    <w:widowControl/>
                    <w:jc w:val="center"/>
                    <w:rPr>
                      <w:rFonts w:hint="default" w:ascii="Times New Roman" w:hAnsi="Times New Roman" w:eastAsia="宋体" w:cs="Times New Roman"/>
                      <w:b w:val="0"/>
                      <w:bCs w:val="0"/>
                      <w:color w:val="000000" w:themeColor="text1"/>
                      <w:sz w:val="21"/>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容量</w:t>
                  </w:r>
                </w:p>
              </w:tc>
              <w:tc>
                <w:tcPr>
                  <w:tcW w:w="614" w:type="pct"/>
                  <w:noWrap w:val="0"/>
                  <w:vAlign w:val="center"/>
                </w:tcPr>
                <w:p>
                  <w:pPr>
                    <w:widowControl/>
                    <w:jc w:val="center"/>
                    <w:rPr>
                      <w:rFonts w:hint="default" w:ascii="Times New Roman" w:hAnsi="Times New Roman" w:cs="Times New Roman"/>
                      <w:b w:val="0"/>
                      <w:bCs w:val="0"/>
                      <w:color w:val="000000" w:themeColor="text1"/>
                      <w:sz w:val="21"/>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3.2m</w:t>
                  </w:r>
                  <w:r>
                    <w:rPr>
                      <w:rFonts w:hint="default" w:ascii="Times New Roman" w:hAnsi="Times New Roman" w:cs="Times New Roman"/>
                      <w:b w:val="0"/>
                      <w:bCs w:val="0"/>
                      <w:color w:val="000000" w:themeColor="text1"/>
                      <w:sz w:val="21"/>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/min</w:t>
                  </w:r>
                </w:p>
              </w:tc>
              <w:tc>
                <w:tcPr>
                  <w:tcW w:w="1030" w:type="pct"/>
                  <w:noWrap w:val="0"/>
                  <w:vAlign w:val="center"/>
                </w:tcPr>
                <w:p>
                  <w:pPr>
                    <w:widowControl/>
                    <w:jc w:val="center"/>
                    <w:rPr>
                      <w:rFonts w:hint="default" w:ascii="Times New Roman" w:hAnsi="Times New Roman" w:cs="Times New Roman"/>
                      <w:b w:val="0"/>
                      <w:bCs w:val="0"/>
                      <w:color w:val="000000" w:themeColor="text1"/>
                      <w:sz w:val="21"/>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U022A-10C</w:t>
                  </w:r>
                </w:p>
              </w:tc>
              <w:tc>
                <w:tcPr>
                  <w:tcW w:w="323"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272"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台</w:t>
                  </w:r>
                </w:p>
              </w:tc>
            </w:tr>
          </w:tbl>
          <w:p>
            <w:pPr>
              <w:widowControl/>
              <w:spacing w:line="360" w:lineRule="auto"/>
              <w:ind w:firstLine="482" w:firstLineChars="200"/>
              <w:jc w:val="left"/>
              <w:rPr>
                <w:rFonts w:hint="default" w:ascii="Times New Roman" w:hAnsi="Times New Roman" w:cs="Times New Roman"/>
                <w:b/>
                <w:bCs/>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0"/>
                <w:lang w:eastAsia="zh-CN"/>
                <w14:textFill>
                  <w14:solidFill>
                    <w14:schemeClr w14:val="tx1"/>
                  </w14:solidFill>
                </w14:textFill>
              </w:rPr>
              <w:t>项目压铸</w:t>
            </w:r>
            <w:r>
              <w:rPr>
                <w:rFonts w:hint="default" w:ascii="Times New Roman" w:hAnsi="Times New Roman" w:cs="Times New Roman"/>
                <w:b/>
                <w:bCs/>
                <w:color w:val="000000" w:themeColor="text1"/>
                <w:kern w:val="0"/>
                <w:sz w:val="24"/>
                <w:szCs w:val="20"/>
                <w:lang w:eastAsia="zh-CN"/>
                <w14:textFill>
                  <w14:solidFill>
                    <w14:schemeClr w14:val="tx1"/>
                  </w14:solidFill>
                </w14:textFill>
              </w:rPr>
              <w:t>设备先进性分析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本次评价要求项目所使用的压铸机及天然气熔铝炉在设备选型过程中，采用能耗水平不低于二级的设备。此外，本项目针对压铸废气、熔化烟尘采取</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在每台压铸机及熔铝炉上方设置半密闭式集气罩</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，废气收集经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静电式油雾净化器+</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高温</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布袋除尘器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+二级活性炭吸附装置</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处理后，通过一根</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m高的排气筒排放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；项目天然气熔铝炉采用低氮燃烧技术。本项目</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压铸废气、熔化烟尘</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采取的污染治理设施均符合《关于推动铸造和锻压行业高质量发展的指导意见》（工信部联通装〔2023〕40号）、《铸造企业规范条件》（T/CFA0310021-2023）、《铸造工业大气污染防治可行技术指南》（HJ1292-2023）以及《排污许可证申请与核发技术规范 金属铸造工业》（HJ 1115-2020）中相关规定。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因此，项目使用的压铸机和天然气熔铝炉具有一定的先进性。</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2" w:firstLineChars="200"/>
              <w:textAlignment w:val="auto"/>
              <w:rPr>
                <w:rFonts w:hint="default" w:ascii="Times New Roman" w:hAnsi="Times New Roman" w:eastAsia="宋体" w:cs="Times New Roman"/>
                <w:b/>
                <w:color w:val="000000" w:themeColor="text1"/>
                <w:kern w:val="0"/>
                <w:sz w:val="24"/>
                <w:lang w:eastAsia="zh-CN"/>
                <w14:textFill>
                  <w14:solidFill>
                    <w14:schemeClr w14:val="tx1"/>
                  </w14:solidFill>
                </w14:textFill>
              </w:rPr>
            </w:pP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14:textFill>
                  <w14:solidFill>
                    <w14:schemeClr w14:val="tx1"/>
                  </w14:solidFill>
                </w14:textFill>
              </w:rPr>
              <w:t>原辅材料消耗及理化性质</w:t>
            </w:r>
          </w:p>
          <w:p>
            <w:pPr>
              <w:widowControl/>
              <w:spacing w:before="100" w:beforeAutospacing="1"/>
              <w:jc w:val="center"/>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b/>
                <w:color w:val="000000" w:themeColor="text1"/>
                <w:kern w:val="0"/>
                <w:sz w:val="24"/>
                <w:szCs w:val="20"/>
                <w14:textFill>
                  <w14:solidFill>
                    <w14:schemeClr w14:val="tx1"/>
                  </w14:solidFill>
                </w14:textFill>
              </w:rPr>
              <w:t>表</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0"/>
                <w14:textFill>
                  <w14:solidFill>
                    <w14:schemeClr w14:val="tx1"/>
                  </w14:solidFill>
                </w14:textFill>
              </w:rPr>
              <w:t>-</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4"/>
                <w:szCs w:val="20"/>
                <w14:textFill>
                  <w14:solidFill>
                    <w14:schemeClr w14:val="tx1"/>
                  </w14:solidFill>
                </w14:textFill>
              </w:rPr>
              <w:t xml:space="preserve">  项目主要原辅材料消耗情况一览表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8"/>
              <w:gridCol w:w="1752"/>
              <w:gridCol w:w="757"/>
              <w:gridCol w:w="574"/>
              <w:gridCol w:w="1256"/>
              <w:gridCol w:w="1007"/>
              <w:gridCol w:w="5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011" w:type="pct"/>
                  <w:noWrap w:val="0"/>
                  <w:vAlign w:val="center"/>
                </w:tcPr>
                <w:p>
                  <w:pPr>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原、辅材料名称</w:t>
                  </w:r>
                </w:p>
              </w:tc>
              <w:tc>
                <w:tcPr>
                  <w:tcW w:w="437" w:type="pct"/>
                  <w:noWrap w:val="0"/>
                  <w:vAlign w:val="center"/>
                </w:tcPr>
                <w:p>
                  <w:pPr>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年用量</w:t>
                  </w:r>
                </w:p>
              </w:tc>
              <w:tc>
                <w:tcPr>
                  <w:tcW w:w="331" w:type="pct"/>
                  <w:noWrap w:val="0"/>
                  <w:vAlign w:val="center"/>
                </w:tcPr>
                <w:p>
                  <w:pPr>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单位</w:t>
                  </w:r>
                </w:p>
              </w:tc>
              <w:tc>
                <w:tcPr>
                  <w:tcW w:w="725" w:type="pct"/>
                  <w:noWrap w:val="0"/>
                  <w:vAlign w:val="center"/>
                </w:tcPr>
                <w:p>
                  <w:pPr>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最大储存量</w:t>
                  </w:r>
                </w:p>
              </w:tc>
              <w:tc>
                <w:tcPr>
                  <w:tcW w:w="581" w:type="pct"/>
                  <w:noWrap w:val="0"/>
                  <w:vAlign w:val="center"/>
                </w:tcPr>
                <w:p>
                  <w:pPr>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包装方式</w:t>
                  </w:r>
                </w:p>
              </w:tc>
              <w:tc>
                <w:tcPr>
                  <w:tcW w:w="292" w:type="pct"/>
                  <w:noWrap w:val="0"/>
                  <w:vAlign w:val="center"/>
                </w:tcPr>
                <w:p>
                  <w:pPr>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形态</w:t>
                  </w:r>
                </w:p>
              </w:tc>
              <w:tc>
                <w:tcPr>
                  <w:tcW w:w="1327" w:type="pct"/>
                  <w:noWrap w:val="0"/>
                  <w:vAlign w:val="center"/>
                </w:tcPr>
                <w:p>
                  <w:pPr>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011"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水性脱模剂</w:t>
                  </w:r>
                </w:p>
              </w:tc>
              <w:tc>
                <w:tcPr>
                  <w:tcW w:w="437"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331"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58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200kg/桶</w:t>
                  </w:r>
                </w:p>
              </w:tc>
              <w:tc>
                <w:tcPr>
                  <w:tcW w:w="292"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液态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011"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切削液</w:t>
                  </w:r>
                </w:p>
              </w:tc>
              <w:tc>
                <w:tcPr>
                  <w:tcW w:w="437"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331" w:type="pct"/>
                  <w:noWrap w:val="0"/>
                  <w:vAlign w:val="top"/>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581" w:type="pct"/>
                  <w:noWrap w:val="0"/>
                  <w:vAlign w:val="top"/>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20kg/桶</w:t>
                  </w:r>
                </w:p>
              </w:tc>
              <w:tc>
                <w:tcPr>
                  <w:tcW w:w="292"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液态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011"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机油</w:t>
                  </w:r>
                </w:p>
              </w:tc>
              <w:tc>
                <w:tcPr>
                  <w:tcW w:w="437"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331" w:type="pct"/>
                  <w:noWrap w:val="0"/>
                  <w:vAlign w:val="top"/>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581" w:type="pct"/>
                  <w:noWrap w:val="0"/>
                  <w:vAlign w:val="top"/>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200kg/桶</w:t>
                  </w:r>
                </w:p>
              </w:tc>
              <w:tc>
                <w:tcPr>
                  <w:tcW w:w="292"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液态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机械设备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3"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1011"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铝合金锭</w:t>
                  </w:r>
                </w:p>
              </w:tc>
              <w:tc>
                <w:tcPr>
                  <w:tcW w:w="437"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31</w:t>
                  </w:r>
                  <w:r>
                    <w:rPr>
                      <w:rFonts w:hint="default" w:ascii="Times New Roman" w:hAnsi="Times New Roman" w:eastAsia="宋体" w:cs="Times New Roman"/>
                      <w:color w:val="000000" w:themeColor="text1"/>
                      <w:lang w:val="en-US" w:eastAsia="zh-CN"/>
                      <w14:textFill>
                        <w14:solidFill>
                          <w14:schemeClr w14:val="tx1"/>
                        </w14:solidFill>
                      </w14:textFill>
                    </w:rPr>
                    <w:t>00</w:t>
                  </w:r>
                </w:p>
              </w:tc>
              <w:tc>
                <w:tcPr>
                  <w:tcW w:w="331" w:type="pct"/>
                  <w:noWrap w:val="0"/>
                  <w:vAlign w:val="top"/>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310</w:t>
                  </w:r>
                </w:p>
              </w:tc>
              <w:tc>
                <w:tcPr>
                  <w:tcW w:w="581" w:type="pct"/>
                  <w:noWrap w:val="0"/>
                  <w:vAlign w:val="top"/>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散装</w:t>
                  </w:r>
                </w:p>
              </w:tc>
              <w:tc>
                <w:tcPr>
                  <w:tcW w:w="292"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1011"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模具</w:t>
                  </w:r>
                </w:p>
              </w:tc>
              <w:tc>
                <w:tcPr>
                  <w:tcW w:w="437"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331"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副</w:t>
                  </w:r>
                </w:p>
              </w:tc>
              <w:tc>
                <w:tcPr>
                  <w:tcW w:w="725"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581"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散装</w:t>
                  </w:r>
                </w:p>
              </w:tc>
              <w:tc>
                <w:tcPr>
                  <w:tcW w:w="292"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固态</w:t>
                  </w:r>
                </w:p>
              </w:tc>
              <w:tc>
                <w:tcPr>
                  <w:tcW w:w="1327"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压铸用H13/H45钢模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101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冲头</w:t>
                  </w:r>
                </w:p>
              </w:tc>
              <w:tc>
                <w:tcPr>
                  <w:tcW w:w="43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2500</w:t>
                  </w:r>
                </w:p>
              </w:tc>
              <w:tc>
                <w:tcPr>
                  <w:tcW w:w="33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件</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8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散装</w:t>
                  </w:r>
                </w:p>
              </w:tc>
              <w:tc>
                <w:tcPr>
                  <w:tcW w:w="292"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c>
                <w:tcPr>
                  <w:tcW w:w="101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砂带</w:t>
                  </w:r>
                </w:p>
              </w:tc>
              <w:tc>
                <w:tcPr>
                  <w:tcW w:w="43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500</w:t>
                  </w:r>
                </w:p>
              </w:tc>
              <w:tc>
                <w:tcPr>
                  <w:tcW w:w="33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条</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8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散装</w:t>
                  </w:r>
                </w:p>
              </w:tc>
              <w:tc>
                <w:tcPr>
                  <w:tcW w:w="292" w:type="pct"/>
                  <w:noWrap w:val="0"/>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砂磨抛光机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c>
                <w:tcPr>
                  <w:tcW w:w="101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不锈钢丸</w:t>
                  </w:r>
                </w:p>
              </w:tc>
              <w:tc>
                <w:tcPr>
                  <w:tcW w:w="43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33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p>
              </w:tc>
              <w:tc>
                <w:tcPr>
                  <w:tcW w:w="725"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81"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p>
              </w:tc>
              <w:tc>
                <w:tcPr>
                  <w:tcW w:w="292"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固态</w:t>
                  </w:r>
                </w:p>
              </w:tc>
              <w:tc>
                <w:tcPr>
                  <w:tcW w:w="1327"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w:t>
                  </w:r>
                </w:p>
              </w:tc>
              <w:tc>
                <w:tcPr>
                  <w:tcW w:w="1011" w:type="pct"/>
                  <w:noWrap w:val="0"/>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木屑</w:t>
                  </w:r>
                </w:p>
              </w:tc>
              <w:tc>
                <w:tcPr>
                  <w:tcW w:w="437" w:type="pct"/>
                  <w:noWrap w:val="0"/>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0.06</w:t>
                  </w:r>
                </w:p>
              </w:tc>
              <w:tc>
                <w:tcPr>
                  <w:tcW w:w="331" w:type="pct"/>
                  <w:noWrap w:val="0"/>
                  <w:vAlign w:val="center"/>
                </w:tcPr>
                <w:p>
                  <w:pPr>
                    <w:widowControl/>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p>
              </w:tc>
              <w:tc>
                <w:tcPr>
                  <w:tcW w:w="725" w:type="pct"/>
                  <w:noWrap w:val="0"/>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0.06</w:t>
                  </w:r>
                </w:p>
              </w:tc>
              <w:tc>
                <w:tcPr>
                  <w:tcW w:w="581" w:type="pct"/>
                  <w:noWrap w:val="0"/>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p>
              </w:tc>
              <w:tc>
                <w:tcPr>
                  <w:tcW w:w="292" w:type="pct"/>
                  <w:noWrap w:val="0"/>
                  <w:vAlign w:val="center"/>
                </w:tcPr>
                <w:p>
                  <w:pPr>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固态</w:t>
                  </w:r>
                </w:p>
              </w:tc>
              <w:tc>
                <w:tcPr>
                  <w:tcW w:w="1327" w:type="pct"/>
                  <w:noWrap w:val="0"/>
                  <w:vAlign w:val="center"/>
                </w:tcPr>
                <w:p>
                  <w:pPr>
                    <w:pStyle w:val="117"/>
                    <w:snapToGrid/>
                    <w:spacing w:line="360" w:lineRule="exact"/>
                    <w:ind w:firstLine="0" w:firstLine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用于地面清洁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1011" w:type="pct"/>
                  <w:noWrap w:val="0"/>
                  <w:vAlign w:val="center"/>
                </w:tcPr>
                <w:p>
                  <w:pPr>
                    <w:widowControl/>
                    <w:jc w:val="center"/>
                    <w:rPr>
                      <w:rFonts w:hint="default" w:ascii="Times New Roman" w:hAnsi="Times New Roman"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振动研磨剂</w:t>
                  </w:r>
                </w:p>
              </w:tc>
              <w:tc>
                <w:tcPr>
                  <w:tcW w:w="437" w:type="pct"/>
                  <w:noWrap w:val="0"/>
                  <w:vAlign w:val="center"/>
                </w:tcPr>
                <w:p>
                  <w:pPr>
                    <w:widowControl/>
                    <w:jc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w:t>
                  </w:r>
                </w:p>
              </w:tc>
              <w:tc>
                <w:tcPr>
                  <w:tcW w:w="331" w:type="pct"/>
                  <w:noWrap w:val="0"/>
                  <w:vAlign w:val="center"/>
                </w:tcPr>
                <w:p>
                  <w:pPr>
                    <w:widowControl/>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p>
              </w:tc>
              <w:tc>
                <w:tcPr>
                  <w:tcW w:w="725" w:type="pct"/>
                  <w:noWrap w:val="0"/>
                  <w:vAlign w:val="center"/>
                </w:tcPr>
                <w:p>
                  <w:pPr>
                    <w:widowControl/>
                    <w:jc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0.1</w:t>
                  </w:r>
                </w:p>
              </w:tc>
              <w:tc>
                <w:tcPr>
                  <w:tcW w:w="581" w:type="pct"/>
                  <w:noWrap w:val="0"/>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20kg/桶</w:t>
                  </w:r>
                </w:p>
              </w:tc>
              <w:tc>
                <w:tcPr>
                  <w:tcW w:w="292"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液态</w:t>
                  </w:r>
                </w:p>
              </w:tc>
              <w:tc>
                <w:tcPr>
                  <w:tcW w:w="1327" w:type="pct"/>
                  <w:noWrap w:val="0"/>
                  <w:vAlign w:val="center"/>
                </w:tcPr>
                <w:p>
                  <w:pPr>
                    <w:pStyle w:val="117"/>
                    <w:snapToGrid/>
                    <w:spacing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光饰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11</w:t>
                  </w:r>
                </w:p>
              </w:tc>
              <w:tc>
                <w:tcPr>
                  <w:tcW w:w="1011" w:type="pct"/>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w:t>
                  </w:r>
                </w:p>
              </w:tc>
              <w:tc>
                <w:tcPr>
                  <w:tcW w:w="437"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390万</w:t>
                  </w:r>
                </w:p>
              </w:tc>
              <w:tc>
                <w:tcPr>
                  <w:tcW w:w="331" w:type="pct"/>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kW·h</w:t>
                  </w:r>
                </w:p>
              </w:tc>
              <w:tc>
                <w:tcPr>
                  <w:tcW w:w="725"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供电管网</w:t>
                  </w:r>
                </w:p>
              </w:tc>
              <w:tc>
                <w:tcPr>
                  <w:tcW w:w="581"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bookmarkStart w:id="2" w:name="OLE_LINK4"/>
                  <w:r>
                    <w:rPr>
                      <w:rFonts w:hint="default" w:ascii="Times New Roman" w:hAnsi="Times New Roman" w:cs="Times New Roman"/>
                      <w:color w:val="000000" w:themeColor="text1"/>
                      <w:szCs w:val="21"/>
                      <w:lang w:val="en-US" w:eastAsia="zh-CN"/>
                      <w14:textFill>
                        <w14:solidFill>
                          <w14:schemeClr w14:val="tx1"/>
                        </w14:solidFill>
                      </w14:textFill>
                    </w:rPr>
                    <w:t>/</w:t>
                  </w:r>
                  <w:bookmarkEnd w:id="2"/>
                </w:p>
              </w:tc>
              <w:tc>
                <w:tcPr>
                  <w:tcW w:w="292" w:type="pct"/>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327"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1011" w:type="pct"/>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水</w:t>
                  </w:r>
                </w:p>
              </w:tc>
              <w:tc>
                <w:tcPr>
                  <w:tcW w:w="437"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767.6</w:t>
                  </w:r>
                </w:p>
              </w:tc>
              <w:tc>
                <w:tcPr>
                  <w:tcW w:w="331" w:type="pct"/>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w:t>
                  </w:r>
                </w:p>
              </w:tc>
              <w:tc>
                <w:tcPr>
                  <w:tcW w:w="725"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供水管网</w:t>
                  </w:r>
                </w:p>
              </w:tc>
              <w:tc>
                <w:tcPr>
                  <w:tcW w:w="581"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92" w:type="pct"/>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327"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293"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13</w:t>
                  </w:r>
                </w:p>
              </w:tc>
              <w:tc>
                <w:tcPr>
                  <w:tcW w:w="1011" w:type="pct"/>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天然气</w:t>
                  </w:r>
                </w:p>
              </w:tc>
              <w:tc>
                <w:tcPr>
                  <w:tcW w:w="437"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486000</w:t>
                  </w:r>
                </w:p>
              </w:tc>
              <w:tc>
                <w:tcPr>
                  <w:tcW w:w="331"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w:t>
                  </w:r>
                  <w:r>
                    <w:rPr>
                      <w:rFonts w:hint="default" w:ascii="Times New Roman" w:hAnsi="Times New Roman" w:cs="Times New Roman"/>
                      <w:color w:val="000000" w:themeColor="text1"/>
                      <w:kern w:val="0"/>
                      <w:szCs w:val="21"/>
                      <w:vertAlign w:val="superscript"/>
                      <w:lang w:bidi="ar"/>
                      <w14:textFill>
                        <w14:solidFill>
                          <w14:schemeClr w14:val="tx1"/>
                        </w14:solidFill>
                      </w14:textFill>
                    </w:rPr>
                    <w:t>3</w:t>
                  </w:r>
                  <w:r>
                    <w:rPr>
                      <w:rFonts w:hint="default" w:ascii="Times New Roman" w:hAnsi="Times New Roman" w:cs="Times New Roman"/>
                      <w:color w:val="000000" w:themeColor="text1"/>
                      <w:kern w:val="0"/>
                      <w:szCs w:val="21"/>
                      <w:lang w:bidi="ar"/>
                      <w14:textFill>
                        <w14:solidFill>
                          <w14:schemeClr w14:val="tx1"/>
                        </w14:solidFill>
                      </w14:textFill>
                    </w:rPr>
                    <w:t xml:space="preserve"> /a</w:t>
                  </w:r>
                </w:p>
              </w:tc>
              <w:tc>
                <w:tcPr>
                  <w:tcW w:w="725" w:type="pct"/>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供气管网</w:t>
                  </w:r>
                </w:p>
              </w:tc>
              <w:tc>
                <w:tcPr>
                  <w:tcW w:w="581"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92" w:type="pct"/>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327" w:type="pc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原辅材料理化性质</w:t>
            </w:r>
            <w:r>
              <w:rPr>
                <w:rFonts w:hint="default" w:ascii="Times New Roman" w:hAnsi="Times New Roman" w:cs="Times New Roman"/>
                <w:b/>
                <w:bCs/>
                <w:color w:val="000000" w:themeColor="text1"/>
                <w:sz w:val="24"/>
                <w:lang w:eastAsia="zh-CN"/>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val="0"/>
              <w:snapToGrid/>
              <w:spacing w:before="0" w:line="360" w:lineRule="auto"/>
              <w:ind w:firstLine="480" w:firstLineChars="200"/>
              <w:textAlignment w:val="baseline"/>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①水性脱模剂：脱模剂是一种介于模具和成品之间的功能性物质。在压铸模型腔表面可形成致密的耐高温、抗冲刷的保护膜，具有极好的高型效果，大大提高了压铸件的合格率；冷却效果好、平衡模温，可有效防止模具由于热疲劳而产生龟裂纹，能有效延长模具的使用寿命。</w:t>
            </w:r>
          </w:p>
          <w:p>
            <w:pPr>
              <w:pStyle w:val="17"/>
              <w:keepNext w:val="0"/>
              <w:keepLines w:val="0"/>
              <w:pageBreakBefore w:val="0"/>
              <w:widowControl w:val="0"/>
              <w:kinsoku/>
              <w:wordWrap/>
              <w:overflowPunct/>
              <w:topLinePunct w:val="0"/>
              <w:autoSpaceDE/>
              <w:autoSpaceDN/>
              <w:bidi w:val="0"/>
              <w:adjustRightInd w:val="0"/>
              <w:snapToGrid/>
              <w:spacing w:before="0" w:line="360" w:lineRule="auto"/>
              <w:ind w:firstLine="480" w:firstLineChars="200"/>
              <w:textAlignment w:val="baseline"/>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本项目使用脱模剂为水性乳液，主要成分主要为54%水、31-32%硅油、5-6%有机酯类、5%异构醇、3%吐温80。主要特点为不易污染模具，减少清洗模具的次数，二次加工容易；只需涂上薄薄一层，不会积留在角落，故可提高尺寸的精确性：脱模剂为外观性状为白色乳液，气味温和，无毒，不伤皮肤，对人体无害：由于极低的表面张力及优越的热安定性，能广泛应用在严酷的温度中，有着极高的安定性及安全性，也根本无刺激性及危害性：具有易于分散、添加比例低等特点。</w:t>
            </w:r>
          </w:p>
          <w:p>
            <w:pPr>
              <w:spacing w:line="360" w:lineRule="auto"/>
              <w:ind w:firstLine="48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本项目脱模剂与水按1:80的比例配比后，脱膜液经喷枪喷洒在模具内，未附着在模具上的脱模液收集经油水分离池处理后回用，油水分离池分离的废脱模剂油作危险废物处置。</w:t>
            </w:r>
          </w:p>
          <w:p>
            <w:pPr>
              <w:spacing w:line="360" w:lineRule="auto"/>
              <w:ind w:firstLine="480" w:firstLineChars="200"/>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②切削液：切削液是一种金属切、削、磨加工过程中，用来冷却和润滑刀具和加工件的工业液体。本项目切削液与水按1:40的比例调配，进行</w:t>
            </w:r>
            <w:r>
              <w:rPr>
                <w:rFonts w:hint="default" w:ascii="Times New Roman" w:hAnsi="Times New Roman" w:cs="Times New Roman"/>
                <w:color w:val="000000" w:themeColor="text1"/>
                <w:spacing w:val="0"/>
                <w:kern w:val="2"/>
                <w:sz w:val="24"/>
                <w:szCs w:val="24"/>
                <w:lang w:val="en-US" w:eastAsia="zh-CN" w:bidi="ar-SA"/>
                <w14:textFill>
                  <w14:solidFill>
                    <w14:schemeClr w14:val="tx1"/>
                  </w14:solidFill>
                </w14:textFill>
              </w:rPr>
              <w:t>机加工湿式作业。</w:t>
            </w:r>
          </w:p>
          <w:p>
            <w:pPr>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③</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机油，即润滑油，密度约为0.91×10³（kg/m³）能对机械起到润滑减磨、辅助冷却降温、密封防漏、防锈防蚀、减震缓冲等作用。</w:t>
            </w:r>
          </w:p>
          <w:p>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④振动研磨剂：</w:t>
            </w:r>
            <w:r>
              <w:rPr>
                <w:rFonts w:hint="default" w:ascii="Times New Roman" w:hAnsi="Times New Roman" w:cs="Times New Roman"/>
                <w:color w:val="000000" w:themeColor="text1"/>
                <w:spacing w:val="0"/>
                <w:kern w:val="2"/>
                <w:sz w:val="24"/>
                <w:szCs w:val="24"/>
                <w:lang w:val="en-US" w:eastAsia="zh-CN" w:bidi="ar-SA"/>
                <w14:textFill>
                  <w14:solidFill>
                    <w14:schemeClr w14:val="tx1"/>
                  </w14:solidFill>
                </w14:textFill>
              </w:rPr>
              <w:t>本项目光饰工序需用到研磨剂，主要成分为脂肪聚氧乙烯醚和增稠剂，使用时研磨剂与水按1:40的比例调配，进行光饰作业。其中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脂肪聚氧乙烯醚的理化特性为熔点为 41- 45°C，沸点为 100°C，是最重要的一类非离子表面活性剂。分子中的醚键不易被酸、碱破坏，所以稳定性较高，水溶性较好，耐电解质，易于生物降解，泡沫小。大量用于复配低泡液体洗涤剂。</w:t>
            </w:r>
            <w:r>
              <w:rPr>
                <w:rFonts w:hint="default" w:ascii="Times New Roman" w:hAnsi="Times New Roman" w:cs="Times New Roman"/>
                <w:color w:val="000000" w:themeColor="text1"/>
                <w:spacing w:val="0"/>
                <w:kern w:val="2"/>
                <w:sz w:val="24"/>
                <w:szCs w:val="24"/>
                <w:lang w:val="en-US" w:eastAsia="zh-CN" w:bidi="ar-SA"/>
                <w14:textFill>
                  <w14:solidFill>
                    <w14:schemeClr w14:val="tx1"/>
                  </w14:solidFill>
                </w14:textFill>
              </w:rPr>
              <w:t>增稠剂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的理化特性为对硬水不敏感，低温洗涤性能好，但随着水温的升高，其溶解度会逐渐降低。在 pH 为3~11的范围内，脂肪醇聚氧乙烯醚水解稳定。然而，它们也会在空气中缓慢氧化，产生一些氧化产物，比如乙醛和氢过氧化物，这些氧化物比那些尚未发生类似情况的表面活性剂对皮肤毒性更大。</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天然气：主要成分烷烃，其中甲烷占绝大多数，另有少量的乙烷、丙烷和丁烷，此外一般有硫化氢、二氧化碳、氮和水汽和少量一氧化碳及微量的稀有气体，如氦和氩等。不溶于水，密度为0.7174kg/m</w:t>
            </w:r>
            <w:r>
              <w:rPr>
                <w:rFonts w:hint="default" w:ascii="Times New Roman" w:hAnsi="Times New Roman" w:eastAsia="宋体" w:cs="Times New Roman"/>
                <w:color w:val="000000" w:themeColor="text1"/>
                <w:spacing w:val="0"/>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，相对密度（水）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0.45（液化）燃点（℃）为650，爆炸极限（V%）为5-15。在标准状况下，甲烷至丁烷以气体状态存在，戊烷以上为液体。甲烷是最短和最轻的烃分子。天然气每立方燃烧热值为8000大卡至8500大卡。每公斤液化气燃烧热值为11000大卡。气态液化气的比重为0.55。每立方液化气燃烧热值为25200大卡。根据《天然气》（GB17820-2018）表1：天然气的质量要求，天然气总硫应≤100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widowControl/>
              <w:spacing w:before="100" w:beforeAutospacing="1"/>
              <w:jc w:val="cente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表</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2-</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7</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 xml:space="preserve">  本项目</w:t>
            </w:r>
            <w:r>
              <w:rPr>
                <w:rFonts w:hint="default" w:ascii="Times New Roman" w:hAnsi="Times New Roman" w:cs="Times New Roman"/>
                <w:b/>
                <w:color w:val="000000" w:themeColor="text1"/>
                <w:kern w:val="0"/>
                <w:sz w:val="24"/>
                <w:szCs w:val="20"/>
                <w:lang w:eastAsia="zh-CN"/>
                <w14:textFill>
                  <w14:solidFill>
                    <w14:schemeClr w14:val="tx1"/>
                  </w14:solidFill>
                </w14:textFill>
              </w:rPr>
              <w:t>水性脱模剂</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126"/>
              <w:gridCol w:w="2738"/>
              <w:gridCol w:w="1947"/>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5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t>名称</w:t>
                  </w:r>
                </w:p>
              </w:tc>
              <w:tc>
                <w:tcPr>
                  <w:tcW w:w="223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t>主要成分</w:t>
                  </w:r>
                </w:p>
              </w:tc>
              <w:tc>
                <w:tcPr>
                  <w:tcW w:w="112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t>浓度或浓度范围（重量比）（%）</w:t>
                  </w:r>
                </w:p>
              </w:tc>
              <w:tc>
                <w:tcPr>
                  <w:tcW w:w="8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shd w:val="clear" w:color="auto" w:fill="FFFFFF"/>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FFFFFF"/>
                      <w:lang w:val="zh-CN"/>
                      <w14:textFill>
                        <w14:solidFill>
                          <w14:schemeClr w14:val="tx1"/>
                        </w14:solidFill>
                      </w14:textFill>
                    </w:rPr>
                    <w:t>CAS 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5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eastAsia="zh-CN"/>
                      <w14:textFill>
                        <w14:solidFill>
                          <w14:schemeClr w14:val="tx1"/>
                        </w14:solidFill>
                      </w14:textFill>
                    </w:rPr>
                    <w:t>水性脱模剂</w:t>
                  </w:r>
                </w:p>
              </w:tc>
              <w:tc>
                <w:tcPr>
                  <w:tcW w:w="65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挥发份</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46%</w:t>
                  </w:r>
                </w:p>
              </w:tc>
              <w:tc>
                <w:tcPr>
                  <w:tcW w:w="1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zh-CN"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有机酯类</w:t>
                  </w:r>
                </w:p>
              </w:tc>
              <w:tc>
                <w:tcPr>
                  <w:tcW w:w="112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zh-CN"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5-6</w:t>
                  </w:r>
                </w:p>
              </w:tc>
              <w:tc>
                <w:tcPr>
                  <w:tcW w:w="8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57675-44-2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zh-CN"/>
                      <w14:textFill>
                        <w14:solidFill>
                          <w14:schemeClr w14:val="tx1"/>
                        </w14:solidFill>
                      </w14:textFill>
                    </w:rPr>
                  </w:pPr>
                </w:p>
              </w:tc>
              <w:tc>
                <w:tcPr>
                  <w:tcW w:w="65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p>
              </w:tc>
              <w:tc>
                <w:tcPr>
                  <w:tcW w:w="1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zh-CN"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异构醇</w:t>
                  </w:r>
                </w:p>
              </w:tc>
              <w:tc>
                <w:tcPr>
                  <w:tcW w:w="112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zh-CN"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5</w:t>
                  </w:r>
                </w:p>
              </w:tc>
              <w:tc>
                <w:tcPr>
                  <w:tcW w:w="8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68526-84-1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5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zh-CN"/>
                      <w14:textFill>
                        <w14:solidFill>
                          <w14:schemeClr w14:val="tx1"/>
                        </w14:solidFill>
                      </w14:textFill>
                    </w:rPr>
                  </w:pPr>
                </w:p>
              </w:tc>
              <w:tc>
                <w:tcPr>
                  <w:tcW w:w="65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1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硅油</w:t>
                  </w:r>
                </w:p>
              </w:tc>
              <w:tc>
                <w:tcPr>
                  <w:tcW w:w="112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31-32</w:t>
                  </w:r>
                </w:p>
              </w:tc>
              <w:tc>
                <w:tcPr>
                  <w:tcW w:w="8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68037-76-3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5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zh-CN"/>
                      <w14:textFill>
                        <w14:solidFill>
                          <w14:schemeClr w14:val="tx1"/>
                        </w14:solidFill>
                      </w14:textFill>
                    </w:rPr>
                  </w:pPr>
                </w:p>
              </w:tc>
              <w:tc>
                <w:tcPr>
                  <w:tcW w:w="65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p>
              </w:tc>
              <w:tc>
                <w:tcPr>
                  <w:tcW w:w="1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吐温80</w:t>
                  </w:r>
                </w:p>
              </w:tc>
              <w:tc>
                <w:tcPr>
                  <w:tcW w:w="112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3</w:t>
                  </w:r>
                </w:p>
              </w:tc>
              <w:tc>
                <w:tcPr>
                  <w:tcW w:w="8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9005-65-6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zh-CN"/>
                      <w14:textFill>
                        <w14:solidFill>
                          <w14:schemeClr w14:val="tx1"/>
                        </w14:solidFill>
                      </w14:textFill>
                    </w:rPr>
                  </w:pPr>
                </w:p>
              </w:tc>
              <w:tc>
                <w:tcPr>
                  <w:tcW w:w="65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54%</w:t>
                  </w:r>
                </w:p>
              </w:tc>
              <w:tc>
                <w:tcPr>
                  <w:tcW w:w="158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zh-CN" w:eastAsia="zh-CN"/>
                      <w14:textFill>
                        <w14:solidFill>
                          <w14:schemeClr w14:val="tx1"/>
                        </w14:solidFill>
                      </w14:textFill>
                    </w:rPr>
                  </w:pPr>
                  <w:r>
                    <w:rPr>
                      <w:rFonts w:hint="default" w:ascii="Times New Roman" w:hAnsi="Times New Roman" w:cs="Times New Roman"/>
                      <w:color w:val="000000" w:themeColor="text1"/>
                      <w:vertAlign w:val="baseline"/>
                      <w:lang w:val="zh-CN" w:eastAsia="zh-CN"/>
                      <w14:textFill>
                        <w14:solidFill>
                          <w14:schemeClr w14:val="tx1"/>
                        </w14:solidFill>
                      </w14:textFill>
                    </w:rPr>
                    <w:t>水</w:t>
                  </w:r>
                </w:p>
              </w:tc>
              <w:tc>
                <w:tcPr>
                  <w:tcW w:w="112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54</w:t>
                  </w:r>
                </w:p>
              </w:tc>
              <w:tc>
                <w:tcPr>
                  <w:tcW w:w="8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zh-CN"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15625-89-5</w:t>
                  </w:r>
                </w:p>
              </w:tc>
            </w:tr>
          </w:tbl>
          <w:p>
            <w:pPr>
              <w:spacing w:line="360" w:lineRule="auto"/>
              <w:ind w:firstLine="42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职工人数及工作制度</w:t>
            </w:r>
          </w:p>
          <w:p>
            <w:pPr>
              <w:tabs>
                <w:tab w:val="left" w:pos="770"/>
              </w:tab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劳动定员：本项目劳动定员</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人，</w:t>
            </w:r>
            <w:r>
              <w:rPr>
                <w:rFonts w:hint="default" w:ascii="Times New Roman" w:hAnsi="Times New Roman" w:cs="Times New Roman"/>
                <w:color w:val="000000" w:themeColor="text1"/>
                <w:sz w:val="24"/>
                <w:lang w:eastAsia="zh-CN"/>
                <w14:textFill>
                  <w14:solidFill>
                    <w14:schemeClr w14:val="tx1"/>
                  </w14:solidFill>
                </w14:textFill>
              </w:rPr>
              <w:t>在厂区内食宿</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工作制度：年工作300天，</w:t>
            </w:r>
            <w:r>
              <w:rPr>
                <w:rFonts w:hint="default" w:ascii="Times New Roman" w:hAnsi="Times New Roman" w:cs="Times New Roman"/>
                <w:color w:val="000000" w:themeColor="text1"/>
                <w:sz w:val="24"/>
                <w:lang w:eastAsia="zh-CN"/>
                <w14:textFill>
                  <w14:solidFill>
                    <w14:schemeClr w14:val="tx1"/>
                  </w14:solidFill>
                </w14:textFill>
              </w:rPr>
              <w:t>实行</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班制，每班</w:t>
            </w:r>
            <w:r>
              <w:rPr>
                <w:rFonts w:hint="default" w:ascii="Times New Roman" w:hAnsi="Times New Roman" w:eastAsia="宋体" w:cs="Times New Roman"/>
                <w:color w:val="000000" w:themeColor="text1"/>
                <w:sz w:val="24"/>
                <w14:textFill>
                  <w14:solidFill>
                    <w14:schemeClr w14:val="tx1"/>
                  </w14:solidFill>
                </w14:textFill>
              </w:rPr>
              <w:t>工作8小时。</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公用工程</w:t>
            </w:r>
          </w:p>
          <w:p>
            <w:pPr>
              <w:tabs>
                <w:tab w:val="left" w:pos="770"/>
              </w:tab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（1）给、排水</w:t>
            </w:r>
          </w:p>
          <w:p>
            <w:pPr>
              <w:spacing w:line="360" w:lineRule="auto"/>
              <w:ind w:firstLine="482" w:firstLineChars="20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供水：市政供水。</w:t>
            </w:r>
          </w:p>
          <w:p>
            <w:pPr>
              <w:spacing w:line="360" w:lineRule="auto"/>
              <w:ind w:firstLine="482" w:firstLineChars="201"/>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排水：项目排水实行雨污分流制，其中雨水排入</w:t>
            </w:r>
            <w:r>
              <w:rPr>
                <w:rFonts w:hint="default" w:ascii="Times New Roman" w:hAnsi="Times New Roman" w:eastAsia="宋体" w:cs="Times New Roman"/>
                <w:color w:val="000000" w:themeColor="text1"/>
                <w:sz w:val="24"/>
                <w:lang w:val="en-US" w:eastAsia="zh-CN"/>
                <w14:textFill>
                  <w14:solidFill>
                    <w14:schemeClr w14:val="tx1"/>
                  </w14:solidFill>
                </w14:textFill>
              </w:rPr>
              <w:t>经龙津大道</w:t>
            </w:r>
            <w:r>
              <w:rPr>
                <w:rFonts w:hint="default" w:ascii="Times New Roman" w:hAnsi="Times New Roman" w:eastAsia="宋体" w:cs="Times New Roman"/>
                <w:color w:val="000000" w:themeColor="text1"/>
                <w:sz w:val="24"/>
                <w14:textFill>
                  <w14:solidFill>
                    <w14:schemeClr w14:val="tx1"/>
                  </w14:solidFill>
                </w14:textFill>
              </w:rPr>
              <w:t>市政雨水管网；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项目脱模剂配比水、切削液配比水蒸发损耗不外排；</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理后回用，不外排；湿式除尘废水经过滤装置过滤后循环使用，不外排。</w:t>
            </w:r>
            <w:r>
              <w:rPr>
                <w:rFonts w:hint="default" w:ascii="Times New Roman" w:hAnsi="Times New Roman" w:eastAsia="宋体" w:cs="Times New Roman"/>
                <w:color w:val="000000" w:themeColor="text1"/>
                <w:sz w:val="24"/>
                <w14:textFill>
                  <w14:solidFill>
                    <w14:schemeClr w14:val="tx1"/>
                  </w14:solidFill>
                </w14:textFill>
              </w:rPr>
              <w:t>项目外排废水主要为员工生活污水</w:t>
            </w:r>
            <w:r>
              <w:rPr>
                <w:rFonts w:hint="default" w:ascii="Times New Roman" w:hAnsi="Times New Roman" w:cs="Times New Roman"/>
                <w:color w:val="000000" w:themeColor="text1"/>
                <w:sz w:val="24"/>
                <w:lang w:eastAsia="zh-CN"/>
                <w14:textFill>
                  <w14:solidFill>
                    <w14:schemeClr w14:val="tx1"/>
                  </w14:solidFill>
                </w14:textFill>
              </w:rPr>
              <w:t>和循环冷却水</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p>
          <w:p>
            <w:pPr>
              <w:tabs>
                <w:tab w:val="left" w:pos="770"/>
              </w:tab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（2）供电</w:t>
            </w:r>
          </w:p>
          <w:p>
            <w:pPr>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市政供电。</w:t>
            </w:r>
          </w:p>
          <w:p>
            <w:pPr>
              <w:numPr>
                <w:ilvl w:val="0"/>
                <w:numId w:val="3"/>
              </w:numPr>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供气</w:t>
            </w:r>
          </w:p>
          <w:p>
            <w:pPr>
              <w:pStyle w:val="14"/>
              <w:numPr>
                <w:ilvl w:val="0"/>
                <w:numId w:val="0"/>
              </w:numPr>
              <w:ind w:right="113" w:right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市政供气</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8、</w:t>
            </w:r>
            <w:r>
              <w:rPr>
                <w:rFonts w:hint="default" w:ascii="Times New Roman" w:hAnsi="Times New Roman" w:cs="Times New Roman"/>
                <w:b/>
                <w:bCs/>
                <w:color w:val="000000" w:themeColor="text1"/>
                <w:sz w:val="24"/>
                <w14:textFill>
                  <w14:solidFill>
                    <w14:schemeClr w14:val="tx1"/>
                  </w14:solidFill>
                </w14:textFill>
              </w:rPr>
              <w:t>厂区平面布置</w:t>
            </w:r>
          </w:p>
          <w:p>
            <w:pPr>
              <w:spacing w:line="360" w:lineRule="auto"/>
              <w:ind w:firstLine="480" w:firstLineChars="200"/>
              <w:jc w:val="left"/>
              <w:rPr>
                <w:rFonts w:hint="default" w:ascii="Times New Roman" w:hAnsi="Times New Roman" w:cs="Times New Roman"/>
                <w:color w:val="000000" w:themeColor="text1"/>
                <w:spacing w:val="0"/>
                <w:sz w:val="24"/>
                <w:lang w:val="en-US" w:eastAsia="zh-CN"/>
                <w14:textFill>
                  <w14:solidFill>
                    <w14:schemeClr w14:val="tx1"/>
                  </w14:solidFill>
                </w14:textFill>
              </w:rPr>
            </w:pPr>
            <w:r>
              <w:rPr>
                <w:rFonts w:hint="default" w:ascii="Times New Roman" w:hAnsi="Times New Roman" w:cs="Times New Roman"/>
                <w:color w:val="000000" w:themeColor="text1"/>
                <w:spacing w:val="0"/>
                <w:sz w:val="24"/>
                <w:lang w:val="en-US" w:eastAsia="zh-CN"/>
                <w14:textFill>
                  <w14:solidFill>
                    <w14:schemeClr w14:val="tx1"/>
                  </w14:solidFill>
                </w14:textFill>
              </w:rPr>
              <w:t>本项目选址位于</w:t>
            </w:r>
            <w:r>
              <w:rPr>
                <w:rFonts w:hint="default" w:ascii="Times New Roman" w:hAnsi="Times New Roman" w:cs="Times New Roman"/>
                <w:color w:val="000000" w:themeColor="text1"/>
                <w:sz w:val="24"/>
                <w:u w:val="none"/>
                <w:lang w:val="en-US" w:eastAsia="zh-CN"/>
                <w14:textFill>
                  <w14:solidFill>
                    <w14:schemeClr w14:val="tx1"/>
                  </w14:solidFill>
                </w14:textFill>
              </w:rPr>
              <w:t>安徽省六安市舒城县龙津大道光世集团院内</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r>
              <w:rPr>
                <w:rFonts w:hint="default" w:ascii="Times New Roman" w:hAnsi="Times New Roman" w:cs="Times New Roman"/>
                <w:color w:val="000000" w:themeColor="text1"/>
                <w:sz w:val="24"/>
                <w:u w:val="none"/>
                <w:lang w:val="en-US" w:eastAsia="zh-CN"/>
                <w14:textFill>
                  <w14:solidFill>
                    <w14:schemeClr w14:val="tx1"/>
                  </w14:solidFill>
                </w14:textFill>
              </w:rPr>
              <w:t>项目租赁安徽光世门业有限公司</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空置厂房。厂房为矩形，厂房北侧从西到东依次设置模具维修、存放区、熔铝炉、压铸机、抛丸机等设备（熔化、压铸、抛丸等工序）。南侧从西到东依次设置检验区、不良品退货区、机加工区、原料区、成品、半成品区等；办公区、食堂位于生产车间外东侧。一般固废库、危废库位于生产车间北侧，人员活</w:t>
            </w:r>
            <w:r>
              <w:rPr>
                <w:rFonts w:hint="default" w:ascii="Times New Roman" w:hAnsi="Times New Roman" w:cs="Times New Roman"/>
                <w:color w:val="000000" w:themeColor="text1"/>
                <w:sz w:val="24"/>
                <w:u w:val="none"/>
                <w:lang w:val="en-US" w:eastAsia="zh-CN"/>
                <w14:textFill>
                  <w14:solidFill>
                    <w14:schemeClr w14:val="tx1"/>
                  </w14:solidFill>
                </w14:textFill>
              </w:rPr>
              <w:t>动较少区域</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0"/>
                <w:sz w:val="24"/>
                <w:lang w:val="en-US" w:eastAsia="zh-CN"/>
                <w14:textFill>
                  <w14:solidFill>
                    <w14:schemeClr w14:val="tx1"/>
                  </w14:solidFill>
                </w14:textFill>
              </w:rPr>
              <w:t>本项目人流、物流路线清晰，厂区平面布置有利于项目生产运行过程中各部门的生产协作，提高生产效率。总体来说，拟建项目的总平面布置较为合理。</w:t>
            </w:r>
          </w:p>
          <w:p>
            <w:pPr>
              <w:pStyle w:val="14"/>
              <w:spacing w:before="0" w:after="0" w:line="360" w:lineRule="auto"/>
              <w:ind w:right="0" w:firstLine="360" w:firstLineChars="200"/>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、项目水平衡</w:t>
            </w:r>
          </w:p>
          <w:p>
            <w:pPr>
              <w:widowControl/>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项目运营期用水主要为</w:t>
            </w:r>
            <w:r>
              <w:rPr>
                <w:rFonts w:hint="default" w:ascii="Times New Roman" w:hAnsi="Times New Roman" w:eastAsia="宋体" w:cs="Times New Roman"/>
                <w:color w:val="000000" w:themeColor="text1"/>
                <w:kern w:val="0"/>
                <w:sz w:val="24"/>
                <w:lang w:eastAsia="zh-CN"/>
                <w14:textFill>
                  <w14:solidFill>
                    <w14:schemeClr w14:val="tx1"/>
                  </w14:solidFill>
                </w14:textFill>
              </w:rPr>
              <w:t>脱模剂配比用水、切削液配比用水、冷却塔</w:t>
            </w:r>
            <w:r>
              <w:rPr>
                <w:rFonts w:hint="default" w:ascii="Times New Roman" w:hAnsi="Times New Roman" w:cs="Times New Roman"/>
                <w:color w:val="000000" w:themeColor="text1"/>
                <w:kern w:val="0"/>
                <w:sz w:val="24"/>
                <w:lang w:eastAsia="zh-CN"/>
                <w14:textFill>
                  <w14:solidFill>
                    <w14:schemeClr w14:val="tx1"/>
                  </w14:solidFill>
                </w14:textFill>
              </w:rPr>
              <w:t>用水及排水</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eastAsia="zh-CN"/>
                <w14:textFill>
                  <w14:solidFill>
                    <w14:schemeClr w14:val="tx1"/>
                  </w14:solidFill>
                </w14:textFill>
              </w:rPr>
              <w:t>湿式除尘</w:t>
            </w:r>
            <w:r>
              <w:rPr>
                <w:rFonts w:hint="default" w:ascii="Times New Roman" w:hAnsi="Times New Roman" w:eastAsia="宋体" w:cs="Times New Roman"/>
                <w:color w:val="000000" w:themeColor="text1"/>
                <w:kern w:val="0"/>
                <w:sz w:val="24"/>
                <w:lang w:eastAsia="zh-CN"/>
                <w14:textFill>
                  <w14:solidFill>
                    <w14:schemeClr w14:val="tx1"/>
                  </w14:solidFill>
                </w14:textFill>
              </w:rPr>
              <w:t>用水</w:t>
            </w:r>
            <w:r>
              <w:rPr>
                <w:rFonts w:hint="default" w:ascii="Times New Roman" w:hAnsi="Times New Roman" w:cs="Times New Roman"/>
                <w:color w:val="000000" w:themeColor="text1"/>
                <w:kern w:val="0"/>
                <w:sz w:val="24"/>
                <w:lang w:eastAsia="zh-CN"/>
                <w14:textFill>
                  <w14:solidFill>
                    <w14:schemeClr w14:val="tx1"/>
                  </w14:solidFill>
                </w14:textFill>
              </w:rPr>
              <w:t>、湿式光饰用水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以及</w:t>
            </w:r>
            <w:r>
              <w:rPr>
                <w:rFonts w:hint="default" w:ascii="Times New Roman" w:hAnsi="Times New Roman" w:eastAsia="宋体" w:cs="Times New Roman"/>
                <w:color w:val="000000" w:themeColor="text1"/>
                <w:kern w:val="0"/>
                <w:sz w:val="24"/>
                <w14:textFill>
                  <w14:solidFill>
                    <w14:schemeClr w14:val="tx1"/>
                  </w14:solidFill>
                </w14:textFill>
              </w:rPr>
              <w:t>职工的办公生活用水。</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1）用水量估算</w:t>
            </w:r>
          </w:p>
          <w:p>
            <w:pPr>
              <w:widowControl/>
              <w:numPr>
                <w:ilvl w:val="0"/>
                <w:numId w:val="0"/>
              </w:numPr>
              <w:spacing w:line="360" w:lineRule="auto"/>
              <w:ind w:firstLine="480" w:firstLineChars="200"/>
              <w:jc w:val="left"/>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①</w:t>
            </w:r>
            <w:r>
              <w:rPr>
                <w:rFonts w:hint="default" w:ascii="Times New Roman" w:hAnsi="Times New Roman" w:cs="Times New Roman"/>
                <w:color w:val="000000" w:themeColor="text1"/>
                <w:sz w:val="24"/>
                <w:lang w:eastAsia="zh-CN"/>
                <w14:textFill>
                  <w14:solidFill>
                    <w14:schemeClr w14:val="tx1"/>
                  </w14:solidFill>
                </w14:textFill>
              </w:rPr>
              <w:t>生活用水及排水</w:t>
            </w:r>
          </w:p>
          <w:p>
            <w:pPr>
              <w:widowControl/>
              <w:autoSpaceDE w:val="0"/>
              <w:autoSpaceDN w:val="0"/>
              <w:adjustRightIn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项目劳动定员</w:t>
            </w:r>
            <w:r>
              <w:rPr>
                <w:rFonts w:hint="default" w:ascii="Times New Roman" w:hAnsi="Times New Roman" w:cs="Times New Roman"/>
                <w:color w:val="000000" w:themeColor="text1"/>
                <w:sz w:val="24"/>
                <w:lang w:val="en-US" w:eastAsia="zh-CN"/>
                <w14:textFill>
                  <w14:solidFill>
                    <w14:schemeClr w14:val="tx1"/>
                  </w14:solidFill>
                </w14:textFill>
              </w:rPr>
              <w:t>20人，年工作300天，</w:t>
            </w:r>
            <w:r>
              <w:rPr>
                <w:rFonts w:hint="default" w:ascii="Times New Roman" w:hAnsi="Times New Roman" w:cs="Times New Roman"/>
                <w:color w:val="000000" w:themeColor="text1"/>
                <w:kern w:val="0"/>
                <w:sz w:val="24"/>
                <w14:textFill>
                  <w14:solidFill>
                    <w14:schemeClr w14:val="tx1"/>
                  </w14:solidFill>
                </w14:textFill>
              </w:rPr>
              <w:t>生活用水以60L/人·d计，因此生活用水量</w:t>
            </w:r>
            <w:r>
              <w:rPr>
                <w:rFonts w:hint="default" w:ascii="Times New Roman" w:hAnsi="Times New Roman" w:cs="Times New Roman"/>
                <w:color w:val="000000" w:themeColor="text1"/>
                <w:kern w:val="0"/>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r>
              <w:rPr>
                <w:rFonts w:hint="default" w:ascii="Times New Roman" w:hAnsi="Times New Roman" w:cs="Times New Roman"/>
                <w:color w:val="000000" w:themeColor="text1"/>
                <w:kern w:val="0"/>
                <w:sz w:val="24"/>
                <w:lang w:val="en-US" w:eastAsia="zh-CN"/>
                <w14:textFill>
                  <w14:solidFill>
                    <w14:schemeClr w14:val="tx1"/>
                  </w14:solidFill>
                </w14:textFill>
              </w:rPr>
              <w:t>360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w:t>
            </w:r>
            <w:r>
              <w:rPr>
                <w:rFonts w:hint="default" w:ascii="Times New Roman" w:hAnsi="Times New Roman" w:cs="Times New Roman"/>
                <w:color w:val="000000" w:themeColor="text1"/>
                <w:kern w:val="0"/>
                <w:sz w:val="24"/>
                <w14:textFill>
                  <w14:solidFill>
                    <w14:schemeClr w14:val="tx1"/>
                  </w14:solidFill>
                </w14:textFill>
              </w:rPr>
              <w:t>，产污系数按80%计算，生活污水排放量为</w:t>
            </w:r>
            <w:r>
              <w:rPr>
                <w:rFonts w:hint="default" w:ascii="Times New Roman" w:hAnsi="Times New Roman" w:cs="Times New Roman"/>
                <w:color w:val="000000" w:themeColor="text1"/>
                <w:kern w:val="0"/>
                <w:sz w:val="24"/>
                <w:lang w:val="en-US" w:eastAsia="zh-CN"/>
                <w14:textFill>
                  <w14:solidFill>
                    <w14:schemeClr w14:val="tx1"/>
                  </w14:solidFill>
                </w14:textFill>
              </w:rPr>
              <w:t>0.96</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r>
              <w:rPr>
                <w:rFonts w:hint="default" w:ascii="Times New Roman" w:hAnsi="Times New Roman" w:cs="Times New Roman"/>
                <w:color w:val="000000" w:themeColor="text1"/>
                <w:kern w:val="0"/>
                <w:sz w:val="24"/>
                <w:lang w:val="en-US" w:eastAsia="zh-CN"/>
                <w14:textFill>
                  <w14:solidFill>
                    <w14:schemeClr w14:val="tx1"/>
                  </w14:solidFill>
                </w14:textFill>
              </w:rPr>
              <w:t>288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w:t>
            </w:r>
            <w:r>
              <w:rPr>
                <w:rFonts w:hint="default" w:ascii="Times New Roman" w:hAnsi="Times New Roman" w:cs="Times New Roman"/>
                <w:color w:val="000000" w:themeColor="text1"/>
                <w:kern w:val="0"/>
                <w:sz w:val="24"/>
                <w14:textFill>
                  <w14:solidFill>
                    <w14:schemeClr w14:val="tx1"/>
                  </w14:solidFill>
                </w14:textFill>
              </w:rPr>
              <w:t>。</w:t>
            </w:r>
          </w:p>
          <w:p>
            <w:pPr>
              <w:widowControl/>
              <w:numPr>
                <w:ilvl w:val="0"/>
                <w:numId w:val="0"/>
              </w:numPr>
              <w:autoSpaceDE w:val="0"/>
              <w:autoSpaceDN w:val="0"/>
              <w:adjustRightInd w:val="0"/>
              <w:spacing w:line="360" w:lineRule="auto"/>
              <w:ind w:leftChars="200"/>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kern w:val="0"/>
                <w:sz w:val="24"/>
                <w:lang w:eastAsia="zh-CN"/>
                <w14:textFill>
                  <w14:solidFill>
                    <w14:schemeClr w14:val="tx1"/>
                  </w14:solidFill>
                </w14:textFill>
              </w:rPr>
              <w:t>脱模剂用水及排水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本项目脱模剂使用量为</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0.003t/d。</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根据企业提供资料，按照脱模剂与水1:80的比例调配，则脱模剂调配用水量为8</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0.27</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t/d。本项目脱膜液经喷枪喷洒在模具内，未附着在模具上的脱模液收集经油水分离池处理后回用，日回用量为1m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，调配的脱模剂在使用中损耗9</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%，剩余</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%随油水分离池分离的废脱模剂油一起作危险废物处置，作危险废物处置的废脱膜油量0.0</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027</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t/d，</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0.81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t/a。脱膜液</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经油水分离池处理后回用</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，不外排</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w:t>
            </w:r>
          </w:p>
          <w:p>
            <w:pPr>
              <w:widowControl/>
              <w:numPr>
                <w:ilvl w:val="0"/>
                <w:numId w:val="0"/>
              </w:numPr>
              <w:autoSpaceDE w:val="0"/>
              <w:autoSpaceDN w:val="0"/>
              <w:adjustRightInd w:val="0"/>
              <w:spacing w:line="360" w:lineRule="auto"/>
              <w:ind w:leftChars="200"/>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kern w:val="0"/>
                <w:sz w:val="24"/>
                <w:lang w:eastAsia="zh-CN"/>
                <w14:textFill>
                  <w14:solidFill>
                    <w14:schemeClr w14:val="tx1"/>
                  </w14:solidFill>
                </w14:textFill>
              </w:rPr>
              <w:t>切削液用水及排水</w:t>
            </w:r>
          </w:p>
          <w:p>
            <w:pPr>
              <w:pStyle w:val="12"/>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本项目切削液使用量为</w:t>
            </w:r>
            <w:r>
              <w:rPr>
                <w:rFonts w:hint="default" w:ascii="Times New Roman" w:hAnsi="Times New Roman" w:cs="Times New Roman"/>
                <w:color w:val="000000" w:themeColor="text1"/>
                <w:szCs w:val="24"/>
                <w:lang w:val="en-US" w:eastAsia="zh-CN"/>
                <w14:textFill>
                  <w14:solidFill>
                    <w14:schemeClr w14:val="tx1"/>
                  </w14:solidFill>
                </w14:textFill>
              </w:rPr>
              <w:t>0.5</w:t>
            </w:r>
            <w:r>
              <w:rPr>
                <w:rFonts w:hint="default" w:ascii="Times New Roman" w:hAnsi="Times New Roman" w:cs="Times New Roman"/>
                <w:color w:val="000000" w:themeColor="text1"/>
                <w:szCs w:val="24"/>
                <w14:textFill>
                  <w14:solidFill>
                    <w14:schemeClr w14:val="tx1"/>
                  </w14:solidFill>
                </w14:textFill>
              </w:rPr>
              <w:t>t/a，</w:t>
            </w:r>
            <w:r>
              <w:rPr>
                <w:rFonts w:hint="default" w:ascii="Times New Roman" w:hAnsi="Times New Roman" w:cs="Times New Roman"/>
                <w:color w:val="000000" w:themeColor="text1"/>
                <w:szCs w:val="24"/>
                <w:lang w:val="en-US" w:eastAsia="zh-CN"/>
                <w14:textFill>
                  <w14:solidFill>
                    <w14:schemeClr w14:val="tx1"/>
                  </w14:solidFill>
                </w14:textFill>
              </w:rPr>
              <w:t>0.0017t/d。</w:t>
            </w:r>
            <w:r>
              <w:rPr>
                <w:rFonts w:hint="default" w:ascii="Times New Roman" w:hAnsi="Times New Roman" w:cs="Times New Roman"/>
                <w:color w:val="000000" w:themeColor="text1"/>
                <w:szCs w:val="24"/>
                <w14:textFill>
                  <w14:solidFill>
                    <w14:schemeClr w14:val="tx1"/>
                  </w14:solidFill>
                </w14:textFill>
              </w:rPr>
              <w:t>根据企业提供资料，按照切削液与水1:</w:t>
            </w:r>
            <w:r>
              <w:rPr>
                <w:rFonts w:hint="default" w:ascii="Times New Roman" w:hAnsi="Times New Roman" w:cs="Times New Roman"/>
                <w:color w:val="000000" w:themeColor="text1"/>
                <w:szCs w:val="24"/>
                <w:lang w:val="en-US" w:eastAsia="zh-CN"/>
                <w14:textFill>
                  <w14:solidFill>
                    <w14:schemeClr w14:val="tx1"/>
                  </w14:solidFill>
                </w14:textFill>
              </w:rPr>
              <w:t>4</w:t>
            </w:r>
            <w:r>
              <w:rPr>
                <w:rFonts w:hint="default" w:ascii="Times New Roman" w:hAnsi="Times New Roman" w:cs="Times New Roman"/>
                <w:color w:val="000000" w:themeColor="text1"/>
                <w:szCs w:val="24"/>
                <w14:textFill>
                  <w14:solidFill>
                    <w14:schemeClr w14:val="tx1"/>
                  </w14:solidFill>
                </w14:textFill>
              </w:rPr>
              <w:t>0的比例调配，则切削液调配用水量为</w:t>
            </w:r>
            <w:r>
              <w:rPr>
                <w:rFonts w:hint="default" w:ascii="Times New Roman" w:hAnsi="Times New Roman" w:cs="Times New Roman"/>
                <w:color w:val="000000" w:themeColor="text1"/>
                <w:szCs w:val="24"/>
                <w:lang w:val="en-US" w:eastAsia="zh-CN"/>
                <w14:textFill>
                  <w14:solidFill>
                    <w14:schemeClr w14:val="tx1"/>
                  </w14:solidFill>
                </w14:textFill>
              </w:rPr>
              <w:t>20</w:t>
            </w:r>
            <w:r>
              <w:rPr>
                <w:rFonts w:hint="default" w:ascii="Times New Roman" w:hAnsi="Times New Roman" w:cs="Times New Roman"/>
                <w:color w:val="000000" w:themeColor="text1"/>
                <w:szCs w:val="24"/>
                <w14:textFill>
                  <w14:solidFill>
                    <w14:schemeClr w14:val="tx1"/>
                  </w14:solidFill>
                </w14:textFill>
              </w:rPr>
              <w:t>t/a，0.</w:t>
            </w:r>
            <w:r>
              <w:rPr>
                <w:rFonts w:hint="default" w:ascii="Times New Roman" w:hAnsi="Times New Roman" w:cs="Times New Roman"/>
                <w:color w:val="000000" w:themeColor="text1"/>
                <w:szCs w:val="24"/>
                <w:lang w:val="en-US" w:eastAsia="zh-CN"/>
                <w14:textFill>
                  <w14:solidFill>
                    <w14:schemeClr w14:val="tx1"/>
                  </w14:solidFill>
                </w14:textFill>
              </w:rPr>
              <w:t>067</w:t>
            </w:r>
            <w:r>
              <w:rPr>
                <w:rFonts w:hint="default" w:ascii="Times New Roman" w:hAnsi="Times New Roman" w:cs="Times New Roman"/>
                <w:color w:val="000000" w:themeColor="text1"/>
                <w:szCs w:val="24"/>
                <w14:textFill>
                  <w14:solidFill>
                    <w14:schemeClr w14:val="tx1"/>
                  </w14:solidFill>
                </w14:textFill>
              </w:rPr>
              <w:t>t/d。</w:t>
            </w:r>
            <w:r>
              <w:rPr>
                <w:rFonts w:hint="default" w:ascii="Times New Roman" w:hAnsi="Times New Roman" w:eastAsia="宋体" w:cs="Times New Roman"/>
                <w:color w:val="000000" w:themeColor="text1"/>
                <w:szCs w:val="24"/>
                <w:lang w:val="en-US" w:eastAsia="zh-CN"/>
                <w14:textFill>
                  <w14:solidFill>
                    <w14:schemeClr w14:val="tx1"/>
                  </w14:solidFill>
                </w14:textFill>
              </w:rPr>
              <w:t>调配的切削液在使用中损耗9</w:t>
            </w:r>
            <w:r>
              <w:rPr>
                <w:rFonts w:hint="default" w:ascii="Times New Roman" w:hAnsi="Times New Roman" w:cs="Times New Roman"/>
                <w:color w:val="000000" w:themeColor="text1"/>
                <w:szCs w:val="24"/>
                <w:lang w:val="en-US" w:eastAsia="zh-CN"/>
                <w14:textFill>
                  <w14:solidFill>
                    <w14:schemeClr w14:val="tx1"/>
                  </w14:solidFill>
                </w14:textFill>
              </w:rPr>
              <w:t>9</w:t>
            </w:r>
            <w:r>
              <w:rPr>
                <w:rFonts w:hint="default" w:ascii="Times New Roman" w:hAnsi="Times New Roman" w:eastAsia="宋体" w:cs="Times New Roman"/>
                <w:color w:val="000000" w:themeColor="text1"/>
                <w:szCs w:val="24"/>
                <w:lang w:val="en-US" w:eastAsia="zh-CN"/>
                <w14:textFill>
                  <w14:solidFill>
                    <w14:schemeClr w14:val="tx1"/>
                  </w14:solidFill>
                </w14:textFill>
              </w:rPr>
              <w:t>%，剩余作危险废物处置，作危险废物处置的废切削液量0.00</w:t>
            </w:r>
            <w:r>
              <w:rPr>
                <w:rFonts w:hint="default" w:ascii="Times New Roman" w:hAnsi="Times New Roman" w:cs="Times New Roman"/>
                <w:color w:val="000000" w:themeColor="text1"/>
                <w:szCs w:val="24"/>
                <w:lang w:val="en-US" w:eastAsia="zh-CN"/>
                <w14:textFill>
                  <w14:solidFill>
                    <w14:schemeClr w14:val="tx1"/>
                  </w14:solidFill>
                </w14:textFill>
              </w:rPr>
              <w:t>07</w:t>
            </w:r>
            <w:r>
              <w:rPr>
                <w:rFonts w:hint="default" w:ascii="Times New Roman" w:hAnsi="Times New Roman" w:eastAsia="宋体" w:cs="Times New Roman"/>
                <w:color w:val="000000" w:themeColor="text1"/>
                <w:szCs w:val="24"/>
                <w:lang w:val="en-US" w:eastAsia="zh-CN"/>
                <w14:textFill>
                  <w14:solidFill>
                    <w14:schemeClr w14:val="tx1"/>
                  </w14:solidFill>
                </w14:textFill>
              </w:rPr>
              <w:t>t/d，</w:t>
            </w:r>
            <w:r>
              <w:rPr>
                <w:rFonts w:hint="default" w:ascii="Times New Roman" w:hAnsi="Times New Roman" w:cs="Times New Roman"/>
                <w:color w:val="000000" w:themeColor="text1"/>
                <w:szCs w:val="24"/>
                <w:lang w:val="en-US" w:eastAsia="zh-CN"/>
                <w14:textFill>
                  <w14:solidFill>
                    <w14:schemeClr w14:val="tx1"/>
                  </w14:solidFill>
                </w14:textFill>
              </w:rPr>
              <w:t>0.205</w:t>
            </w:r>
            <w:r>
              <w:rPr>
                <w:rFonts w:hint="default" w:ascii="Times New Roman" w:hAnsi="Times New Roman" w:eastAsia="宋体" w:cs="Times New Roman"/>
                <w:color w:val="000000" w:themeColor="text1"/>
                <w:szCs w:val="24"/>
                <w:lang w:val="en-US" w:eastAsia="zh-CN"/>
                <w14:textFill>
                  <w14:solidFill>
                    <w14:schemeClr w14:val="tx1"/>
                  </w14:solidFill>
                </w14:textFill>
              </w:rPr>
              <w:t>t/a。</w:t>
            </w:r>
          </w:p>
          <w:p>
            <w:pPr>
              <w:widowControl/>
              <w:numPr>
                <w:ilvl w:val="0"/>
                <w:numId w:val="0"/>
              </w:numPr>
              <w:autoSpaceDE w:val="0"/>
              <w:autoSpaceDN w:val="0"/>
              <w:adjustRightInd w:val="0"/>
              <w:spacing w:line="360" w:lineRule="auto"/>
              <w:ind w:leftChars="200"/>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④</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cs="Times New Roman"/>
                <w:color w:val="000000" w:themeColor="text1"/>
                <w:kern w:val="0"/>
                <w:sz w:val="24"/>
                <w:lang w:eastAsia="zh-CN"/>
                <w14:textFill>
                  <w14:solidFill>
                    <w14:schemeClr w14:val="tx1"/>
                  </w14:solidFill>
                </w14:textFill>
              </w:rPr>
              <w:t>冷却塔用水及排水</w:t>
            </w:r>
          </w:p>
          <w:p>
            <w:pPr>
              <w:spacing w:line="360" w:lineRule="auto"/>
              <w:ind w:firstLine="48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冷却塔用水：</w:t>
            </w:r>
            <w:r>
              <w:rPr>
                <w:rFonts w:hint="default" w:ascii="Times New Roman" w:hAnsi="Times New Roman" w:cs="Times New Roman"/>
                <w:color w:val="000000" w:themeColor="text1"/>
                <w:sz w:val="24"/>
                <w14:textFill>
                  <w14:solidFill>
                    <w14:schemeClr w14:val="tx1"/>
                  </w14:solidFill>
                </w14:textFill>
              </w:rPr>
              <w:t>本项目设有1台冷却塔，单台水泵的循环水量为</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r>
              <w:rPr>
                <w:rFonts w:hint="default" w:ascii="Times New Roman" w:hAnsi="Times New Roman" w:cs="Times New Roman"/>
                <w:color w:val="000000" w:themeColor="text1"/>
                <w:sz w:val="24"/>
                <w:lang w:eastAsia="zh-CN"/>
                <w14:textFill>
                  <w14:solidFill>
                    <w14:schemeClr w14:val="tx1"/>
                  </w14:solidFill>
                </w14:textFill>
              </w:rPr>
              <w:t>，则总</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循环水量为</w:t>
            </w:r>
            <w:r>
              <w:rPr>
                <w:rFonts w:hint="default" w:ascii="Times New Roman" w:hAnsi="Times New Roman" w:cs="Times New Roman"/>
                <w:b w:val="0"/>
                <w:bCs/>
                <w:color w:val="000000" w:themeColor="text1"/>
                <w:sz w:val="24"/>
                <w:lang w:val="en-US" w:eastAsia="zh-CN"/>
                <w14:textFill>
                  <w14:solidFill>
                    <w14:schemeClr w14:val="tx1"/>
                  </w14:solidFill>
                </w14:textFill>
              </w:rPr>
              <w:t>10</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/h*</w:t>
            </w:r>
            <w:r>
              <w:rPr>
                <w:rFonts w:hint="default" w:ascii="Times New Roman" w:hAnsi="Times New Roman" w:cs="Times New Roman"/>
                <w:b w:val="0"/>
                <w:bCs/>
                <w:color w:val="000000" w:themeColor="text1"/>
                <w:sz w:val="24"/>
                <w:lang w:val="en-US" w:eastAsia="zh-CN"/>
                <w14:textFill>
                  <w14:solidFill>
                    <w14:schemeClr w14:val="tx1"/>
                  </w14:solidFill>
                </w14:textFill>
              </w:rPr>
              <w:t>16</w:t>
            </w:r>
            <w:r>
              <w:rPr>
                <w:rFonts w:hint="default" w:ascii="Times New Roman" w:hAnsi="Times New Roman" w:cs="Times New Roman"/>
                <w:b w:val="0"/>
                <w:bCs/>
                <w:color w:val="000000" w:themeColor="text1"/>
                <w:sz w:val="24"/>
                <w14:textFill>
                  <w14:solidFill>
                    <w14:schemeClr w14:val="tx1"/>
                  </w14:solidFill>
                </w14:textFill>
              </w:rPr>
              <w:t>h/d *300d/a*1=</w:t>
            </w:r>
            <w:r>
              <w:rPr>
                <w:rFonts w:hint="default" w:ascii="Times New Roman" w:hAnsi="Times New Roman" w:cs="Times New Roman"/>
                <w:b w:val="0"/>
                <w:bCs/>
                <w:color w:val="000000" w:themeColor="text1"/>
                <w:sz w:val="24"/>
                <w:lang w:val="en-US" w:eastAsia="zh-CN"/>
                <w14:textFill>
                  <w14:solidFill>
                    <w14:schemeClr w14:val="tx1"/>
                  </w14:solidFill>
                </w14:textFill>
              </w:rPr>
              <w:t>4800</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/a</w:t>
            </w:r>
            <w:r>
              <w:rPr>
                <w:rFonts w:hint="default" w:ascii="Times New Roman" w:hAnsi="Times New Roman" w:cs="Times New Roman"/>
                <w:b w:val="0"/>
                <w:bCs/>
                <w:color w:val="000000" w:themeColor="text1"/>
                <w:sz w:val="24"/>
                <w:lang w:val="en-US" w:eastAsia="zh-CN"/>
                <w14:textFill>
                  <w14:solidFill>
                    <w14:schemeClr w14:val="tx1"/>
                  </w14:solidFill>
                </w14:textFill>
              </w:rPr>
              <w:t>，160</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d</w:t>
            </w:r>
            <w:r>
              <w:rPr>
                <w:rFonts w:hint="default" w:ascii="Times New Roman" w:hAnsi="Times New Roman" w:cs="Times New Roman"/>
                <w:b w:val="0"/>
                <w:bCs/>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根据</w:t>
            </w:r>
            <w:r>
              <w:rPr>
                <w:rFonts w:hint="default" w:ascii="Times New Roman" w:hAnsi="Times New Roman" w:cs="Times New Roman"/>
                <w:color w:val="000000" w:themeColor="text1"/>
                <w:sz w:val="24"/>
                <w:szCs w:val="24"/>
                <w:highlight w:val="none"/>
                <w:lang w:eastAsia="zh-CN"/>
                <w14:textFill>
                  <w14:solidFill>
                    <w14:schemeClr w14:val="tx1"/>
                  </w14:solidFill>
                </w14:textFill>
              </w:rPr>
              <w:t>《工业循环冷却水处理设计规范》（GB/T50050-2017），</w:t>
            </w:r>
            <w:r>
              <w:rPr>
                <w:rFonts w:hint="default" w:ascii="Times New Roman" w:hAnsi="Times New Roman" w:cs="Times New Roman"/>
                <w:color w:val="000000" w:themeColor="text1"/>
                <w:sz w:val="24"/>
                <w:szCs w:val="24"/>
                <w14:textFill>
                  <w14:solidFill>
                    <w14:schemeClr w14:val="tx1"/>
                  </w14:solidFill>
                </w14:textFill>
              </w:rPr>
              <w:t>冷却塔补充水量按冷却塔循环水量的1-2%确定，本项目取1%。本项目年工作300天，日工作</w:t>
            </w:r>
            <w:r>
              <w:rPr>
                <w:rFonts w:hint="default"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小时，故本项目冷却塔循环补水量为</w:t>
            </w:r>
            <w:r>
              <w:rPr>
                <w:rFonts w:hint="default" w:ascii="Times New Roman" w:hAnsi="Times New Roman" w:cs="Times New Roman"/>
                <w:color w:val="000000" w:themeColor="text1"/>
                <w:sz w:val="24"/>
                <w:szCs w:val="24"/>
                <w:lang w:val="en-US" w:eastAsia="zh-CN"/>
                <w14:textFill>
                  <w14:solidFill>
                    <w14:schemeClr w14:val="tx1"/>
                  </w14:solidFill>
                </w14:textFill>
              </w:rPr>
              <w:t>0.8</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240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lang w:eastAsia="zh-CN"/>
                <w14:textFill>
                  <w14:solidFill>
                    <w14:schemeClr w14:val="tx1"/>
                  </w14:solidFill>
                </w14:textFill>
              </w:rPr>
              <w:t>循环冷却水循环使用，定期补充，</w:t>
            </w:r>
            <w:r>
              <w:rPr>
                <w:rFonts w:hint="default" w:ascii="Times New Roman" w:hAnsi="Times New Roman" w:cs="Times New Roman"/>
                <w:color w:val="000000" w:themeColor="text1"/>
                <w:sz w:val="24"/>
                <w:szCs w:val="24"/>
                <w:highlight w:val="none"/>
                <w:lang w:eastAsia="zh-CN"/>
                <w14:textFill>
                  <w14:solidFill>
                    <w14:schemeClr w14:val="tx1"/>
                  </w14:solidFill>
                </w14:textFill>
              </w:rPr>
              <w:t>每三个月排水一次，每次排水量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，排水量为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，0.012t/d</w:t>
            </w:r>
            <w:r>
              <w:rPr>
                <w:rFonts w:hint="default" w:ascii="Times New Roman" w:hAnsi="Times New Roman" w:cs="Times New Roman"/>
                <w:color w:val="000000" w:themeColor="text1"/>
                <w:sz w:val="24"/>
                <w:szCs w:val="24"/>
                <w:highlight w:val="none"/>
                <w:lang w:eastAsia="zh-CN"/>
                <w14:textFill>
                  <w14:solidFill>
                    <w14:schemeClr w14:val="tx1"/>
                  </w14:solidFill>
                </w14:textFill>
              </w:rPr>
              <w:t>。循环冷却水排水进入厂区暂存池暂存，定期委托罐车外运至舒城经济开发区污水处理厂。</w:t>
            </w:r>
          </w:p>
          <w:p>
            <w:pPr>
              <w:widowControl/>
              <w:numPr>
                <w:ilvl w:val="0"/>
                <w:numId w:val="0"/>
              </w:numPr>
              <w:autoSpaceDE w:val="0"/>
              <w:autoSpaceDN w:val="0"/>
              <w:adjustRightInd w:val="0"/>
              <w:spacing w:line="360" w:lineRule="auto"/>
              <w:ind w:leftChars="200"/>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5 \* GB3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⑤</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lang w:eastAsia="zh-CN"/>
                <w14:textFill>
                  <w14:solidFill>
                    <w14:schemeClr w14:val="tx1"/>
                  </w14:solidFill>
                </w14:textFill>
              </w:rPr>
              <w:t>湿式除尘</w:t>
            </w:r>
            <w:r>
              <w:rPr>
                <w:rFonts w:hint="default" w:ascii="Times New Roman" w:hAnsi="Times New Roman" w:cs="Times New Roman"/>
                <w:color w:val="000000" w:themeColor="text1"/>
                <w:kern w:val="0"/>
                <w:sz w:val="24"/>
                <w:lang w:eastAsia="zh-CN"/>
                <w14:textFill>
                  <w14:solidFill>
                    <w14:schemeClr w14:val="tx1"/>
                  </w14:solidFill>
                </w14:textFill>
              </w:rPr>
              <w:t>用水及排水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kern w:val="0"/>
                <w:sz w:val="24"/>
                <w:lang w:eastAsia="zh-CN"/>
                <w14:textFill>
                  <w14:solidFill>
                    <w14:schemeClr w14:val="tx1"/>
                  </w14:solidFill>
                </w14:textFill>
              </w:rPr>
              <w:t>项</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目</w:t>
            </w:r>
            <w:r>
              <w:rPr>
                <w:rFonts w:hint="default" w:ascii="Times New Roman" w:hAnsi="Times New Roman" w:cs="Times New Roman"/>
                <w:b w:val="0"/>
                <w:bCs/>
                <w:color w:val="000000" w:themeColor="text1"/>
                <w:kern w:val="0"/>
                <w:sz w:val="24"/>
                <w:szCs w:val="24"/>
                <w:lang w:val="en-US" w:eastAsia="zh-CN" w:bidi="ar-SA"/>
                <w14:textFill>
                  <w14:solidFill>
                    <w14:schemeClr w14:val="tx1"/>
                  </w14:solidFill>
                </w14:textFill>
              </w:rPr>
              <w:t>砂磨抛光机</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经自带的湿式除尘器处理，底部有储水槽，储水槽尺寸为0.5m*0.3m*0.5m，有效容积按0.06m</w:t>
            </w:r>
            <w:r>
              <w:rPr>
                <w:rFonts w:hint="default" w:ascii="Times New Roman" w:hAnsi="Times New Roman" w:eastAsia="宋体" w:cs="Times New Roman"/>
                <w:b w:val="0"/>
                <w:bCs/>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w:t>
            </w:r>
            <w:r>
              <w:rPr>
                <w:rFonts w:hint="default" w:ascii="Times New Roman" w:hAnsi="Times New Roman" w:cs="Times New Roman"/>
                <w:b w:val="0"/>
                <w:bCs/>
                <w:color w:val="000000" w:themeColor="text1"/>
                <w:kern w:val="0"/>
                <w:sz w:val="24"/>
                <w:szCs w:val="24"/>
                <w:lang w:val="en-US" w:eastAsia="zh-CN" w:bidi="ar-SA"/>
                <w14:textFill>
                  <w14:solidFill>
                    <w14:schemeClr w14:val="tx1"/>
                  </w14:solidFill>
                </w14:textFill>
              </w:rPr>
              <w:t>根据企业提供资料，</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湿式除尘器循环水量为0.25m</w:t>
            </w:r>
            <w:r>
              <w:rPr>
                <w:rFonts w:hint="default" w:ascii="Times New Roman" w:hAnsi="Times New Roman" w:eastAsia="宋体" w:cs="Times New Roman"/>
                <w:b w:val="0"/>
                <w:bCs/>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/h，则总循环水量为</w:t>
            </w:r>
            <w:r>
              <w:rPr>
                <w:rFonts w:hint="default" w:ascii="Times New Roman" w:hAnsi="Times New Roman" w:cs="Times New Roman"/>
                <w:b w:val="0"/>
                <w:bCs/>
                <w:color w:val="000000" w:themeColor="text1"/>
                <w:sz w:val="24"/>
                <w:lang w:val="en-US" w:eastAsia="zh-CN"/>
                <w14:textFill>
                  <w14:solidFill>
                    <w14:schemeClr w14:val="tx1"/>
                  </w14:solidFill>
                </w14:textFill>
              </w:rPr>
              <w:t>0.25</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/h*</w:t>
            </w:r>
            <w:r>
              <w:rPr>
                <w:rFonts w:hint="default" w:ascii="Times New Roman" w:hAnsi="Times New Roman" w:cs="Times New Roman"/>
                <w:b w:val="0"/>
                <w:bCs/>
                <w:color w:val="000000" w:themeColor="text1"/>
                <w:sz w:val="24"/>
                <w:lang w:val="en-US" w:eastAsia="zh-CN"/>
                <w14:textFill>
                  <w14:solidFill>
                    <w14:schemeClr w14:val="tx1"/>
                  </w14:solidFill>
                </w14:textFill>
              </w:rPr>
              <w:t>16</w:t>
            </w:r>
            <w:r>
              <w:rPr>
                <w:rFonts w:hint="default" w:ascii="Times New Roman" w:hAnsi="Times New Roman" w:cs="Times New Roman"/>
                <w:b w:val="0"/>
                <w:bCs/>
                <w:color w:val="000000" w:themeColor="text1"/>
                <w:sz w:val="24"/>
                <w14:textFill>
                  <w14:solidFill>
                    <w14:schemeClr w14:val="tx1"/>
                  </w14:solidFill>
                </w14:textFill>
              </w:rPr>
              <w:t>h/d *300d/a*1=</w:t>
            </w:r>
            <w:r>
              <w:rPr>
                <w:rFonts w:hint="default" w:ascii="Times New Roman" w:hAnsi="Times New Roman" w:cs="Times New Roman"/>
                <w:b w:val="0"/>
                <w:bCs/>
                <w:color w:val="000000" w:themeColor="text1"/>
                <w:sz w:val="24"/>
                <w:lang w:val="en-US" w:eastAsia="zh-CN"/>
                <w14:textFill>
                  <w14:solidFill>
                    <w14:schemeClr w14:val="tx1"/>
                  </w14:solidFill>
                </w14:textFill>
              </w:rPr>
              <w:t>1200</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/a</w:t>
            </w:r>
            <w:r>
              <w:rPr>
                <w:rFonts w:hint="default" w:ascii="Times New Roman" w:hAnsi="Times New Roman" w:cs="Times New Roman"/>
                <w:b w:val="0"/>
                <w:bCs/>
                <w:color w:val="000000" w:themeColor="text1"/>
                <w:sz w:val="24"/>
                <w:lang w:eastAsia="zh-CN"/>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4</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d</w:t>
            </w:r>
            <w:r>
              <w:rPr>
                <w:rFonts w:hint="default" w:ascii="Times New Roman" w:hAnsi="Times New Roman" w:cs="Times New Roman"/>
                <w:b w:val="0"/>
                <w:bCs/>
                <w:color w:val="000000" w:themeColor="text1"/>
                <w:sz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废</w:t>
            </w:r>
            <w:r>
              <w:rPr>
                <w:rFonts w:hint="default" w:ascii="Times New Roman" w:hAnsi="Times New Roman" w:cs="Times New Roman"/>
                <w:b w:val="0"/>
                <w:bCs/>
                <w:color w:val="000000" w:themeColor="text1"/>
                <w:sz w:val="24"/>
                <w:szCs w:val="24"/>
                <w:highlight w:val="none"/>
                <w14:textFill>
                  <w14:solidFill>
                    <w14:schemeClr w14:val="tx1"/>
                  </w14:solidFill>
                </w14:textFill>
              </w:rPr>
              <w:t>水由</w:t>
            </w:r>
            <w:r>
              <w:rPr>
                <w:rFonts w:hint="default" w:ascii="Times New Roman" w:hAnsi="Times New Roman" w:cs="Times New Roman"/>
                <w:b w:val="0"/>
                <w:bCs/>
                <w:color w:val="000000" w:themeColor="text1"/>
                <w:kern w:val="0"/>
                <w:sz w:val="24"/>
                <w:szCs w:val="24"/>
                <w:lang w:val="en-US" w:eastAsia="zh-CN" w:bidi="ar-SA"/>
                <w14:textFill>
                  <w14:solidFill>
                    <w14:schemeClr w14:val="tx1"/>
                  </w14:solidFill>
                </w14:textFill>
              </w:rPr>
              <w:t>砂磨抛光机</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自带的湿式除尘器</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配套的过滤装置过滤</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后回用，不外排</w:t>
            </w:r>
            <w:r>
              <w:rPr>
                <w:rFonts w:hint="default" w:ascii="Times New Roman" w:hAnsi="Times New Roman" w:cs="Times New Roman"/>
                <w:b w:val="0"/>
                <w:bCs/>
                <w:color w:val="000000" w:themeColor="text1"/>
                <w:sz w:val="24"/>
                <w:szCs w:val="24"/>
                <w:highlight w:val="none"/>
                <w14:textFill>
                  <w14:solidFill>
                    <w14:schemeClr w14:val="tx1"/>
                  </w14:solidFill>
                </w14:textFill>
              </w:rPr>
              <w:t>，</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定期补充损耗</w:t>
            </w:r>
            <w:r>
              <w:rPr>
                <w:rFonts w:hint="default" w:ascii="Times New Roman" w:hAnsi="Times New Roman" w:cs="Times New Roman"/>
                <w:b w:val="0"/>
                <w:bCs/>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补充水量按循环水量的2%确定</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本项目年工作300天，</w:t>
            </w:r>
            <w:r>
              <w:rPr>
                <w:rFonts w:hint="default" w:ascii="Times New Roman" w:hAnsi="Times New Roman" w:eastAsia="宋体" w:cs="Times New Roman"/>
                <w:color w:val="000000" w:themeColor="text1"/>
                <w:sz w:val="24"/>
                <w:szCs w:val="24"/>
                <w:highlight w:val="none"/>
                <w14:textFill>
                  <w14:solidFill>
                    <w14:schemeClr w14:val="tx1"/>
                  </w14:solidFill>
                </w14:textFill>
              </w:rPr>
              <w:t>日工作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小时</w:t>
            </w:r>
            <w:r>
              <w:rPr>
                <w:rFonts w:hint="default" w:ascii="Times New Roman" w:hAnsi="Times New Roman" w:cs="Times New Roman"/>
                <w:color w:val="000000" w:themeColor="text1"/>
                <w:sz w:val="24"/>
                <w:szCs w:val="24"/>
                <w:highlight w:val="none"/>
                <w14:textFill>
                  <w14:solidFill>
                    <w14:schemeClr w14:val="tx1"/>
                  </w14:solidFill>
                </w14:textFill>
              </w:rPr>
              <w:t>，故循环补水量为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0.08</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/d</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/a。</w:t>
            </w:r>
          </w:p>
          <w:p>
            <w:pPr>
              <w:pStyle w:val="21"/>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⑥</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湿式光饰用水及排水</w:t>
            </w:r>
          </w:p>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项目光饰采用湿式加工，在光饰机内操作，根据企业提供资料，</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振动研磨</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剂使用量为</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t/a，按照</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振动研磨剂</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与水</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1:40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的比例调配，则</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振动研磨</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剂调配用水量为</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0.133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t/d</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b w:val="0"/>
                <w:bCs/>
                <w:color w:val="000000" w:themeColor="text1"/>
                <w:kern w:val="0"/>
                <w:sz w:val="24"/>
                <w:szCs w:val="24"/>
                <w:lang w:val="en-US" w:eastAsia="zh-CN" w:bidi="ar-SA"/>
                <w14:textFill>
                  <w14:solidFill>
                    <w14:schemeClr w14:val="tx1"/>
                  </w14:solidFill>
                </w14:textFill>
              </w:rPr>
              <w:t>项目拟自建污水处理设施</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cs="Times New Roman"/>
                <w:b w:val="0"/>
                <w:bCs/>
                <w:color w:val="000000" w:themeColor="text1"/>
                <w:sz w:val="24"/>
                <w:szCs w:val="24"/>
                <w:highlight w:val="none"/>
                <w:u w:val="none"/>
                <w:lang w:eastAsia="zh-CN"/>
                <w14:textFill>
                  <w14:solidFill>
                    <w14:schemeClr w14:val="tx1"/>
                  </w14:solidFill>
                </w14:textFill>
              </w:rPr>
              <w:t>耗损量按</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20%计，</w:t>
            </w:r>
            <w:r>
              <w:rPr>
                <w:rFonts w:hint="default" w:ascii="Times New Roman" w:hAnsi="Times New Roman" w:cs="Times New Roman"/>
                <w:color w:val="000000" w:themeColor="text1"/>
                <w:sz w:val="24"/>
                <w:szCs w:val="24"/>
                <w:highlight w:val="none"/>
                <w14:textFill>
                  <w14:solidFill>
                    <w14:schemeClr w14:val="tx1"/>
                  </w14:solidFill>
                </w14:textFill>
              </w:rPr>
              <w:t>本项目年工作300天，</w:t>
            </w:r>
            <w:r>
              <w:rPr>
                <w:rFonts w:hint="default" w:ascii="Times New Roman" w:hAnsi="Times New Roman" w:cs="Times New Roman"/>
                <w:color w:val="000000" w:themeColor="text1"/>
                <w:sz w:val="24"/>
                <w:szCs w:val="24"/>
                <w:highlight w:val="none"/>
                <w:lang w:eastAsia="zh-CN"/>
                <w14:textFill>
                  <w14:solidFill>
                    <w14:schemeClr w14:val="tx1"/>
                  </w14:solidFill>
                </w14:textFill>
              </w:rPr>
              <w:t>则光饰补水量为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0.027t/d，8.2t/a，光饰废水量为0.109t/d，32.8t/a。</w:t>
            </w:r>
          </w:p>
          <w:p>
            <w:pPr>
              <w:pStyle w:val="21"/>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（2）废水量估算</w:t>
            </w:r>
          </w:p>
          <w:p>
            <w:pPr>
              <w:spacing w:line="360" w:lineRule="auto"/>
              <w:ind w:firstLine="482" w:firstLineChars="20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项目脱模剂配比水、切削液配比水蒸发损耗不外排；项目压铸工序采用冷却水进行间接冷却，冷却水循环使用不外排；</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理后回用，不外排；湿式除尘废水经过滤装置过滤后循环使用，不外排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spacing w:beforeLines="0" w:afterLines="0" w:line="360" w:lineRule="auto"/>
              <w:ind w:firstLine="480" w:firstLineChars="200"/>
              <w:jc w:val="left"/>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外排</w:t>
            </w:r>
            <w:r>
              <w:rPr>
                <w:rFonts w:hint="default" w:ascii="Times New Roman" w:hAnsi="Times New Roman" w:cs="Times New Roman"/>
                <w:color w:val="000000" w:themeColor="text1"/>
                <w:sz w:val="24"/>
                <w14:textFill>
                  <w14:solidFill>
                    <w14:schemeClr w14:val="tx1"/>
                  </w14:solidFill>
                </w14:textFill>
              </w:rPr>
              <w:t>废水主要为运营期员工的生活污水</w:t>
            </w:r>
            <w:r>
              <w:rPr>
                <w:rFonts w:hint="default" w:ascii="Times New Roman" w:hAnsi="Times New Roman" w:cs="Times New Roman"/>
                <w:color w:val="000000" w:themeColor="text1"/>
                <w:sz w:val="24"/>
                <w:lang w:eastAsia="zh-CN"/>
                <w14:textFill>
                  <w14:solidFill>
                    <w14:schemeClr w14:val="tx1"/>
                  </w14:solidFill>
                </w14:textFill>
              </w:rPr>
              <w:t>和循环冷却水。</w:t>
            </w:r>
            <w:r>
              <w:rPr>
                <w:rFonts w:hint="default" w:ascii="Times New Roman" w:hAnsi="Times New Roman" w:cs="Times New Roman"/>
                <w:color w:val="000000" w:themeColor="text1"/>
                <w:sz w:val="24"/>
                <w14:textFill>
                  <w14:solidFill>
                    <w14:schemeClr w14:val="tx1"/>
                  </w14:solidFill>
                </w14:textFill>
              </w:rPr>
              <w:t>生活污水产生量按其用水量的80%计，</w:t>
            </w:r>
            <w:r>
              <w:rPr>
                <w:rFonts w:hint="default" w:ascii="Times New Roman" w:hAnsi="Times New Roman" w:cs="Times New Roman"/>
                <w:bCs/>
                <w:color w:val="000000" w:themeColor="text1"/>
                <w:sz w:val="24"/>
                <w14:textFill>
                  <w14:solidFill>
                    <w14:schemeClr w14:val="tx1"/>
                  </w14:solidFill>
                </w14:textFill>
              </w:rPr>
              <w:t>则项目污水产生量为</w:t>
            </w:r>
            <w:r>
              <w:rPr>
                <w:rFonts w:hint="default" w:ascii="Times New Roman" w:hAnsi="Times New Roman" w:cs="Times New Roman"/>
                <w:color w:val="000000" w:themeColor="text1"/>
                <w:kern w:val="0"/>
                <w:sz w:val="24"/>
                <w:lang w:val="en-US" w:eastAsia="zh-CN"/>
                <w14:textFill>
                  <w14:solidFill>
                    <w14:schemeClr w14:val="tx1"/>
                  </w14:solidFill>
                </w14:textFill>
              </w:rPr>
              <w:t>0.96</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r>
              <w:rPr>
                <w:rFonts w:hint="default" w:ascii="Times New Roman" w:hAnsi="Times New Roman" w:cs="Times New Roman"/>
                <w:color w:val="000000" w:themeColor="text1"/>
                <w:kern w:val="0"/>
                <w:sz w:val="24"/>
                <w:lang w:val="en-US" w:eastAsia="zh-CN"/>
                <w14:textFill>
                  <w14:solidFill>
                    <w14:schemeClr w14:val="tx1"/>
                  </w14:solidFill>
                </w14:textFill>
              </w:rPr>
              <w:t>288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其主要水污染因子为COD、BOD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、SS、氨氮、TP</w:t>
            </w:r>
            <w:r>
              <w:rPr>
                <w:rFonts w:hint="default" w:ascii="Times New Roman" w:hAnsi="Times New Roman" w:cs="Times New Roman"/>
                <w:color w:val="000000" w:themeColor="text1"/>
                <w:sz w:val="24"/>
                <w:szCs w:val="24"/>
                <w14:textFill>
                  <w14:solidFill>
                    <w14:schemeClr w14:val="tx1"/>
                  </w14:solidFill>
                </w14:textFill>
              </w:rPr>
              <w:t>、动植物油</w:t>
            </w:r>
            <w:r>
              <w:rPr>
                <w:rFonts w:hint="default" w:ascii="Times New Roman" w:hAnsi="Times New Roman" w:cs="Times New Roman"/>
                <w:color w:val="000000" w:themeColor="text1"/>
                <w:sz w:val="24"/>
                <w14:textFill>
                  <w14:solidFill>
                    <w14:schemeClr w14:val="tx1"/>
                  </w14:solidFill>
                </w14:textFill>
              </w:rPr>
              <w:t>，污染物浓度参照《排放源统计调查产排污核算方法和系数手册》中生活源产排污核算系数手册数据及生活废水浓度调查数据，确定为：COD：340mg/L、BOD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：180mg/L、SS：200mg/L、NH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-N：30mg/L、TP：4.0mg/L</w:t>
            </w:r>
            <w:r>
              <w:rPr>
                <w:rFonts w:hint="default" w:ascii="Times New Roman" w:hAnsi="Times New Roman" w:cs="Times New Roman"/>
                <w:color w:val="000000" w:themeColor="text1"/>
                <w:sz w:val="24"/>
                <w:szCs w:val="24"/>
                <w14:textFill>
                  <w14:solidFill>
                    <w14:schemeClr w14:val="tx1"/>
                  </w14:solidFill>
                </w14:textFill>
              </w:rPr>
              <w:t>、动植物油：50mg/L。</w:t>
            </w:r>
            <w:r>
              <w:rPr>
                <w:rFonts w:hint="default" w:ascii="Times New Roman" w:hAnsi="Times New Roman" w:cs="Times New Roman"/>
                <w:color w:val="000000" w:themeColor="text1"/>
                <w:sz w:val="24"/>
                <w:szCs w:val="24"/>
                <w:lang w:eastAsia="zh-CN"/>
                <w14:textFill>
                  <w14:solidFill>
                    <w14:schemeClr w14:val="tx1"/>
                  </w14:solidFill>
                </w14:textFill>
              </w:rPr>
              <w:t>生活污水经隔油池、化粪池预处理，</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隔油池对</w:t>
            </w:r>
            <w:r>
              <w:rPr>
                <w:rFonts w:hint="default" w:ascii="Times New Roman" w:hAnsi="Times New Roman" w:cs="Times New Roman"/>
                <w:b w:val="0"/>
                <w:bCs w:val="0"/>
                <w:color w:val="000000" w:themeColor="text1"/>
                <w:sz w:val="24"/>
                <w:szCs w:val="24"/>
                <w14:textFill>
                  <w14:solidFill>
                    <w14:schemeClr w14:val="tx1"/>
                  </w14:solidFill>
                </w14:textFill>
              </w:rPr>
              <w:t>动植物油</w:t>
            </w:r>
            <w:r>
              <w:rPr>
                <w:rFonts w:hint="default" w:ascii="Times New Roman" w:hAnsi="Times New Roman" w:cs="Times New Roman"/>
                <w:b w:val="0"/>
                <w:bCs w:val="0"/>
                <w:color w:val="000000" w:themeColor="text1"/>
                <w:sz w:val="24"/>
                <w14:textFill>
                  <w14:solidFill>
                    <w14:schemeClr w14:val="tx1"/>
                  </w14:solidFill>
                </w14:textFill>
              </w:rPr>
              <w:t>的去除率</w:t>
            </w:r>
            <w:r>
              <w:rPr>
                <w:rFonts w:hint="default" w:ascii="Times New Roman" w:hAnsi="Times New Roman" w:cs="Times New Roman"/>
                <w:b w:val="0"/>
                <w:bCs w:val="0"/>
                <w:color w:val="000000" w:themeColor="text1"/>
                <w:sz w:val="24"/>
                <w:lang w:val="en-US" w:eastAsia="zh-CN"/>
                <w14:textFill>
                  <w14:solidFill>
                    <w14:schemeClr w14:val="tx1"/>
                  </w14:solidFill>
                </w14:textFill>
              </w:rPr>
              <w:t>为80%</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化粪池对COD、BOD</w:t>
            </w:r>
            <w:r>
              <w:rPr>
                <w:rFonts w:hint="default" w:ascii="Times New Roman" w:hAnsi="Times New Roman" w:cs="Times New Roman"/>
                <w:b w:val="0"/>
                <w:bCs w:val="0"/>
                <w:color w:val="000000" w:themeColor="text1"/>
                <w:sz w:val="24"/>
                <w:vertAlign w:val="subscript"/>
                <w14:textFill>
                  <w14:solidFill>
                    <w14:schemeClr w14:val="tx1"/>
                  </w14:solidFill>
                </w14:textFill>
              </w:rPr>
              <w:t>5</w:t>
            </w:r>
            <w:r>
              <w:rPr>
                <w:rFonts w:hint="default" w:ascii="Times New Roman" w:hAnsi="Times New Roman" w:cs="Times New Roman"/>
                <w:b w:val="0"/>
                <w:bCs w:val="0"/>
                <w:color w:val="000000" w:themeColor="text1"/>
                <w:sz w:val="24"/>
                <w14:textFill>
                  <w14:solidFill>
                    <w14:schemeClr w14:val="tx1"/>
                  </w14:solidFill>
                </w14:textFill>
              </w:rPr>
              <w:t>、SS、NH</w:t>
            </w:r>
            <w:r>
              <w:rPr>
                <w:rFonts w:hint="default" w:ascii="Times New Roman" w:hAnsi="Times New Roman" w:cs="Times New Roman"/>
                <w:b w:val="0"/>
                <w:bCs w:val="0"/>
                <w:color w:val="000000" w:themeColor="text1"/>
                <w:sz w:val="24"/>
                <w:vertAlign w:val="sub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-N的去除率分别为15%、12%、30%、3%，对TP基本无去除效果</w:t>
            </w:r>
            <w:r>
              <w:rPr>
                <w:rFonts w:hint="default" w:ascii="Times New Roman" w:hAnsi="Times New Roman" w:cs="Times New Roman"/>
                <w:b w:val="0"/>
                <w:bCs w:val="0"/>
                <w:color w:val="000000" w:themeColor="text1"/>
                <w:sz w:val="24"/>
                <w:lang w:eastAsia="zh-CN"/>
                <w14:textFill>
                  <w14:solidFill>
                    <w14:schemeClr w14:val="tx1"/>
                  </w14:solidFill>
                </w14:textFill>
              </w:rPr>
              <w:t>；循环冷却水排水产生量为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，0.012t/d</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其主要水污染因子为COD</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SS、氨氮，</w:t>
            </w:r>
            <w:r>
              <w:rPr>
                <w:rFonts w:hint="default" w:ascii="Times New Roman" w:hAnsi="Times New Roman" w:cs="Times New Roman"/>
                <w:color w:val="000000" w:themeColor="text1"/>
                <w:sz w:val="24"/>
                <w:lang w:eastAsia="zh-CN"/>
                <w14:textFill>
                  <w14:solidFill>
                    <w14:schemeClr w14:val="tx1"/>
                  </w14:solidFill>
                </w14:textFill>
              </w:rPr>
              <w:t>循环冷却水</w:t>
            </w:r>
            <w:r>
              <w:rPr>
                <w:rFonts w:hint="default" w:ascii="Times New Roman" w:hAnsi="Times New Roman" w:cs="Times New Roman"/>
                <w:color w:val="000000" w:themeColor="text1"/>
                <w:sz w:val="24"/>
                <w:szCs w:val="24"/>
                <w:lang w:val="en-US" w:eastAsia="zh-CN"/>
                <w14:textFill>
                  <w14:solidFill>
                    <w14:schemeClr w14:val="tx1"/>
                  </w14:solidFill>
                </w14:textFill>
              </w:rPr>
              <w:t>循环冷却水循环使用，定期补充，每三个月排放一次，循环冷却水排水接管龙津大道市政污水管网进入舒城经济开发区污水处理厂，处理达标后排入三里河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循环冷却水</w:t>
            </w:r>
            <w:r>
              <w:rPr>
                <w:rFonts w:hint="default" w:ascii="Times New Roman" w:hAnsi="Times New Roman" w:cs="Times New Roman"/>
                <w:color w:val="000000" w:themeColor="text1"/>
                <w:sz w:val="24"/>
                <w:szCs w:val="24"/>
                <w:lang w:val="en-US" w:eastAsia="zh-CN"/>
                <w14:textFill>
                  <w14:solidFill>
                    <w14:schemeClr w14:val="tx1"/>
                  </w14:solidFill>
                </w14:textFill>
              </w:rPr>
              <w:t>中各污染物浓度分别为</w:t>
            </w:r>
            <w:r>
              <w:rPr>
                <w:rFonts w:hint="default" w:ascii="Times New Roman" w:hAnsi="Times New Roman" w:cs="Times New Roman"/>
                <w:color w:val="000000" w:themeColor="text1"/>
                <w:sz w:val="24"/>
                <w14:textFill>
                  <w14:solidFill>
                    <w14:schemeClr w14:val="tx1"/>
                  </w14:solidFill>
                </w14:textFill>
              </w:rPr>
              <w:t>COD：</w:t>
            </w:r>
            <w:r>
              <w:rPr>
                <w:rFonts w:hint="default" w:ascii="Times New Roman" w:hAnsi="Times New Roman" w:cs="Times New Roman"/>
                <w:color w:val="000000" w:themeColor="text1"/>
                <w:sz w:val="24"/>
                <w:lang w:val="en-US" w:eastAsia="zh-CN"/>
                <w14:textFill>
                  <w14:solidFill>
                    <w14:schemeClr w14:val="tx1"/>
                  </w14:solidFill>
                </w14:textFill>
              </w:rPr>
              <w:t>150</w:t>
            </w:r>
            <w:r>
              <w:rPr>
                <w:rFonts w:hint="default" w:ascii="Times New Roman" w:hAnsi="Times New Roman" w:cs="Times New Roman"/>
                <w:color w:val="000000" w:themeColor="text1"/>
                <w:sz w:val="24"/>
                <w14:textFill>
                  <w14:solidFill>
                    <w14:schemeClr w14:val="tx1"/>
                  </w14:solidFill>
                </w14:textFill>
              </w:rPr>
              <w:t>mg/L、SS：</w:t>
            </w:r>
            <w:r>
              <w:rPr>
                <w:rFonts w:hint="default"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NH</w:t>
            </w:r>
            <w:r>
              <w:rPr>
                <w:rFonts w:hint="default" w:ascii="Times New Roman" w:hAnsi="Times New Roman" w:cs="Times New Roman"/>
                <w:b w:val="0"/>
                <w:bCs w:val="0"/>
                <w:color w:val="000000" w:themeColor="text1"/>
                <w:sz w:val="24"/>
                <w:vertAlign w:val="sub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-N</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自建污水处理设施</w:t>
            </w:r>
            <w:r>
              <w:rPr>
                <w:rFonts w:hint="default" w:ascii="Times New Roman" w:hAnsi="Times New Roman" w:cs="Times New Roman"/>
                <w:b w:val="0"/>
                <w:bCs w:val="0"/>
                <w:color w:val="000000" w:themeColor="text1"/>
                <w:sz w:val="24"/>
                <w:lang w:val="en-US" w:eastAsia="zh-CN"/>
                <w14:textFill>
                  <w14:solidFill>
                    <w14:schemeClr w14:val="tx1"/>
                  </w14:solidFill>
                </w14:textFill>
              </w:rPr>
              <w:t>对COD、SS、</w:t>
            </w:r>
            <w:r>
              <w:rPr>
                <w:rFonts w:hint="default" w:ascii="Times New Roman" w:hAnsi="Times New Roman" w:cs="Times New Roman"/>
                <w:b w:val="0"/>
                <w:bCs w:val="0"/>
                <w:color w:val="000000" w:themeColor="text1"/>
                <w:sz w:val="24"/>
                <w14:textFill>
                  <w14:solidFill>
                    <w14:schemeClr w14:val="tx1"/>
                  </w14:solidFill>
                </w14:textFill>
              </w:rPr>
              <w:t>NH</w:t>
            </w:r>
            <w:r>
              <w:rPr>
                <w:rFonts w:hint="default" w:ascii="Times New Roman" w:hAnsi="Times New Roman" w:cs="Times New Roman"/>
                <w:b w:val="0"/>
                <w:bCs w:val="0"/>
                <w:color w:val="000000" w:themeColor="text1"/>
                <w:sz w:val="24"/>
                <w:vertAlign w:val="sub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-N</w:t>
            </w:r>
            <w:r>
              <w:rPr>
                <w:rFonts w:hint="default" w:ascii="Times New Roman" w:hAnsi="Times New Roman" w:cs="Times New Roman"/>
                <w:b w:val="0"/>
                <w:bCs w:val="0"/>
                <w:color w:val="000000" w:themeColor="text1"/>
                <w:sz w:val="24"/>
                <w:lang w:val="en-US" w:eastAsia="zh-CN"/>
                <w14:textFill>
                  <w14:solidFill>
                    <w14:schemeClr w14:val="tx1"/>
                  </w14:solidFill>
                </w14:textFill>
              </w:rPr>
              <w:t>的去除率分别为80%</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95</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80%</w:t>
            </w:r>
            <w:r>
              <w:rPr>
                <w:rFonts w:hint="default" w:ascii="Times New Roman" w:hAnsi="Times New Roman" w:cs="Times New Roman"/>
                <w:b w:val="0"/>
                <w:bCs w:val="0"/>
                <w:color w:val="000000" w:themeColor="text1"/>
                <w:sz w:val="24"/>
                <w:lang w:eastAsia="zh-CN"/>
                <w14:textFill>
                  <w14:solidFill>
                    <w14:schemeClr w14:val="tx1"/>
                  </w14:solidFill>
                </w14:textFill>
              </w:rPr>
              <w:t>。</w:t>
            </w:r>
          </w:p>
          <w:p>
            <w:pPr>
              <w:spacing w:beforeLines="0" w:afterLines="0" w:line="360" w:lineRule="auto"/>
              <w:ind w:firstLine="480" w:firstLineChars="200"/>
              <w:jc w:val="left"/>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项目生产废水主要为湿式除尘废水和光饰废水，湿式除尘废水产生量为</w:t>
            </w:r>
            <w:r>
              <w:rPr>
                <w:rFonts w:hint="default" w:ascii="Times New Roman" w:hAnsi="Times New Roman" w:cs="Times New Roman"/>
                <w:b w:val="0"/>
                <w:bCs w:val="0"/>
                <w:color w:val="000000" w:themeColor="text1"/>
                <w:sz w:val="24"/>
                <w:lang w:val="en-US" w:eastAsia="zh-CN"/>
                <w14:textFill>
                  <w14:solidFill>
                    <w14:schemeClr w14:val="tx1"/>
                  </w14:solidFill>
                </w14:textFill>
              </w:rPr>
              <w:t>4.08</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d，</w:t>
            </w:r>
            <w:r>
              <w:rPr>
                <w:rFonts w:hint="default" w:ascii="Times New Roman" w:hAnsi="Times New Roman" w:cs="Times New Roman"/>
                <w:b w:val="0"/>
                <w:bCs w:val="0"/>
                <w:color w:val="000000" w:themeColor="text1"/>
                <w:sz w:val="24"/>
                <w:lang w:val="en-US" w:eastAsia="zh-CN"/>
                <w14:textFill>
                  <w14:solidFill>
                    <w14:schemeClr w14:val="tx1"/>
                  </w14:solidFill>
                </w14:textFill>
              </w:rPr>
              <w:t>1224</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/a</w:t>
            </w:r>
            <w:r>
              <w:rPr>
                <w:rFonts w:hint="default" w:ascii="Times New Roman" w:hAnsi="Times New Roman" w:cs="Times New Roman"/>
                <w:color w:val="000000" w:themeColor="text1"/>
                <w:sz w:val="24"/>
                <w:szCs w:val="24"/>
                <w:highlight w:val="none"/>
                <w:lang w:eastAsia="zh-CN"/>
                <w14:textFill>
                  <w14:solidFill>
                    <w14:schemeClr w14:val="tx1"/>
                  </w14:solidFill>
                </w14:textFill>
              </w:rPr>
              <w:t>。其主要水污染因子</w:t>
            </w:r>
            <w:r>
              <w:rPr>
                <w:rFonts w:hint="default" w:ascii="Times New Roman" w:hAnsi="Times New Roman" w:cs="Times New Roman"/>
                <w:color w:val="000000" w:themeColor="text1"/>
                <w:sz w:val="24"/>
                <w:lang w:val="en-US" w:eastAsia="zh-CN"/>
                <w14:textFill>
                  <w14:solidFill>
                    <w14:schemeClr w14:val="tx1"/>
                  </w14:solidFill>
                </w14:textFill>
              </w:rPr>
              <w:t>为SS，</w:t>
            </w:r>
            <w:r>
              <w:rPr>
                <w:rFonts w:hint="default" w:ascii="Times New Roman" w:hAnsi="Times New Roman" w:cs="Times New Roman"/>
                <w:color w:val="000000" w:themeColor="text1"/>
                <w:sz w:val="24"/>
                <w:szCs w:val="24"/>
                <w:highlight w:val="none"/>
                <w:lang w:eastAsia="zh-CN"/>
                <w14:textFill>
                  <w14:solidFill>
                    <w14:schemeClr w14:val="tx1"/>
                  </w14:solidFill>
                </w14:textFill>
              </w:rPr>
              <w:t>湿式除尘废水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经过滤装置过滤后循环使用，不外排，</w:t>
            </w:r>
            <w:r>
              <w:rPr>
                <w:rFonts w:hint="default" w:ascii="Times New Roman" w:hAnsi="Times New Roman" w:cs="Times New Roman"/>
                <w:color w:val="000000" w:themeColor="text1"/>
                <w:sz w:val="24"/>
                <w:lang w:val="en-US" w:eastAsia="zh-CN"/>
                <w14:textFill>
                  <w14:solidFill>
                    <w14:schemeClr w14:val="tx1"/>
                  </w14:solidFill>
                </w14:textFill>
              </w:rPr>
              <w:t>根</w:t>
            </w:r>
            <w:r>
              <w:rPr>
                <w:rFonts w:hint="default" w:ascii="Times New Roman" w:hAnsi="Times New Roman" w:eastAsia="宋体" w:cs="Times New Roman"/>
                <w:color w:val="000000" w:themeColor="text1"/>
                <w:sz w:val="24"/>
                <w:szCs w:val="24"/>
                <w:lang w:eastAsia="zh-CN"/>
                <w14:textFill>
                  <w14:solidFill>
                    <w14:schemeClr w14:val="tx1"/>
                  </w14:solidFill>
                </w14:textFill>
              </w:rPr>
              <w:t>据同行业类比分析，湿式除尘废水主要水污染因子：</w:t>
            </w:r>
            <w:r>
              <w:rPr>
                <w:rFonts w:hint="default" w:ascii="Times New Roman" w:hAnsi="Times New Roman" w:cs="Times New Roman"/>
                <w:color w:val="000000" w:themeColor="text1"/>
                <w:sz w:val="24"/>
                <w14:textFill>
                  <w14:solidFill>
                    <w14:schemeClr w14:val="tx1"/>
                  </w14:solidFill>
                </w14:textFill>
              </w:rPr>
              <w:t>SS：</w:t>
            </w:r>
            <w:r>
              <w:rPr>
                <w:rFonts w:hint="default" w:ascii="Times New Roman" w:hAnsi="Times New Roman" w:cs="Times New Roman"/>
                <w:color w:val="000000" w:themeColor="text1"/>
                <w:sz w:val="24"/>
                <w:lang w:val="en-US" w:eastAsia="zh-CN"/>
                <w14:textFill>
                  <w14:solidFill>
                    <w14:schemeClr w14:val="tx1"/>
                  </w14:solidFill>
                </w14:textFill>
              </w:rPr>
              <w:t>500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，湿式除尘器过滤装置对</w:t>
            </w:r>
            <w:r>
              <w:rPr>
                <w:rFonts w:hint="default" w:ascii="Times New Roman" w:hAnsi="Times New Roman" w:cs="Times New Roman"/>
                <w:b w:val="0"/>
                <w:bCs w:val="0"/>
                <w:color w:val="000000" w:themeColor="text1"/>
                <w:sz w:val="24"/>
                <w14:textFill>
                  <w14:solidFill>
                    <w14:schemeClr w14:val="tx1"/>
                  </w14:solidFill>
                </w14:textFill>
              </w:rPr>
              <w:t>SS的去除率为</w:t>
            </w:r>
            <w:r>
              <w:rPr>
                <w:rFonts w:hint="default" w:ascii="Times New Roman" w:hAnsi="Times New Roman" w:cs="Times New Roman"/>
                <w:b w:val="0"/>
                <w:bCs w:val="0"/>
                <w:color w:val="000000" w:themeColor="text1"/>
                <w:sz w:val="24"/>
                <w:lang w:val="en-US" w:eastAsia="zh-CN"/>
                <w14:textFill>
                  <w14:solidFill>
                    <w14:schemeClr w14:val="tx1"/>
                  </w14:solidFill>
                </w14:textFill>
              </w:rPr>
              <w:t>95</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；光饰废水产生量为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0.11t/d，32.8t/a，</w:t>
            </w:r>
            <w:r>
              <w:rPr>
                <w:rFonts w:hint="default" w:ascii="Times New Roman" w:hAnsi="Times New Roman" w:cs="Times New Roman"/>
                <w:color w:val="000000" w:themeColor="text1"/>
                <w:sz w:val="24"/>
                <w:szCs w:val="24"/>
                <w:highlight w:val="none"/>
                <w:lang w:eastAsia="zh-CN"/>
                <w14:textFill>
                  <w14:solidFill>
                    <w14:schemeClr w14:val="tx1"/>
                  </w14:solidFill>
                </w14:textFill>
              </w:rPr>
              <w:t>其主要水污染因子</w:t>
            </w:r>
            <w:r>
              <w:rPr>
                <w:rFonts w:hint="default" w:ascii="Times New Roman" w:hAnsi="Times New Roman" w:cs="Times New Roman"/>
                <w:b w:val="0"/>
                <w:bCs w:val="0"/>
                <w:color w:val="000000" w:themeColor="text1"/>
                <w:sz w:val="24"/>
                <w:lang w:val="en-US" w:eastAsia="zh-CN"/>
                <w14:textFill>
                  <w14:solidFill>
                    <w14:schemeClr w14:val="tx1"/>
                  </w14:solidFill>
                </w14:textFill>
              </w:rPr>
              <w:t>为COD、SS、石油类，</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cs="Times New Roman"/>
                <w:b w:val="0"/>
                <w:bCs w:val="0"/>
                <w:color w:val="000000" w:themeColor="text1"/>
                <w:sz w:val="24"/>
                <w:lang w:val="en-US" w:eastAsia="zh-CN"/>
                <w14:textFill>
                  <w14:solidFill>
                    <w14:schemeClr w14:val="tx1"/>
                  </w14:solidFill>
                </w14:textFill>
              </w:rPr>
              <w:t>根据类比《海门市市沪晟机械制造科技有限公司年产1000万套汽车零部件新建项目环境影响报告表》可知，光</w:t>
            </w:r>
            <w:r>
              <w:rPr>
                <w:rFonts w:hint="default" w:ascii="Times New Roman" w:hAnsi="Times New Roman" w:cs="Times New Roman"/>
                <w:color w:val="000000" w:themeColor="text1"/>
                <w:sz w:val="24"/>
                <w:szCs w:val="24"/>
                <w:lang w:val="en-US" w:eastAsia="zh-CN"/>
                <w14:textFill>
                  <w14:solidFill>
                    <w14:schemeClr w14:val="tx1"/>
                  </w14:solidFill>
                </w14:textFill>
              </w:rPr>
              <w:t>饰废水中各污染物浓度分别为</w:t>
            </w:r>
            <w:r>
              <w:rPr>
                <w:rFonts w:hint="default" w:ascii="Times New Roman" w:hAnsi="Times New Roman" w:cs="Times New Roman"/>
                <w:color w:val="000000" w:themeColor="text1"/>
                <w:sz w:val="24"/>
                <w14:textFill>
                  <w14:solidFill>
                    <w14:schemeClr w14:val="tx1"/>
                  </w14:solidFill>
                </w14:textFill>
              </w:rPr>
              <w:t>COD：</w:t>
            </w:r>
            <w:r>
              <w:rPr>
                <w:rFonts w:hint="default" w:ascii="Times New Roman" w:hAnsi="Times New Roman" w:cs="Times New Roman"/>
                <w:color w:val="000000" w:themeColor="text1"/>
                <w:sz w:val="24"/>
                <w:lang w:val="en-US" w:eastAsia="zh-CN"/>
                <w14:textFill>
                  <w14:solidFill>
                    <w14:schemeClr w14:val="tx1"/>
                  </w14:solidFill>
                </w14:textFill>
              </w:rPr>
              <w:t>600</w:t>
            </w:r>
            <w:r>
              <w:rPr>
                <w:rFonts w:hint="default" w:ascii="Times New Roman" w:hAnsi="Times New Roman" w:cs="Times New Roman"/>
                <w:color w:val="000000" w:themeColor="text1"/>
                <w:sz w:val="24"/>
                <w14:textFill>
                  <w14:solidFill>
                    <w14:schemeClr w14:val="tx1"/>
                  </w14:solidFill>
                </w14:textFill>
              </w:rPr>
              <w:t>mg/L、SS：</w:t>
            </w:r>
            <w:r>
              <w:rPr>
                <w:rFonts w:hint="default" w:ascii="Times New Roman" w:hAnsi="Times New Roman" w:cs="Times New Roman"/>
                <w:color w:val="000000" w:themeColor="text1"/>
                <w:sz w:val="24"/>
                <w:lang w:val="en-US" w:eastAsia="zh-CN"/>
                <w14:textFill>
                  <w14:solidFill>
                    <w14:schemeClr w14:val="tx1"/>
                  </w14:solidFill>
                </w14:textFill>
              </w:rPr>
              <w:t>400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、石油类：</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自建污水处理设施</w:t>
            </w:r>
            <w:r>
              <w:rPr>
                <w:rFonts w:hint="default" w:ascii="Times New Roman" w:hAnsi="Times New Roman" w:cs="Times New Roman"/>
                <w:b w:val="0"/>
                <w:bCs w:val="0"/>
                <w:color w:val="000000" w:themeColor="text1"/>
                <w:sz w:val="24"/>
                <w:lang w:val="en-US" w:eastAsia="zh-CN"/>
                <w14:textFill>
                  <w14:solidFill>
                    <w14:schemeClr w14:val="tx1"/>
                  </w14:solidFill>
                </w14:textFill>
              </w:rPr>
              <w:t>对COD、SS、</w:t>
            </w:r>
            <w:r>
              <w:rPr>
                <w:rFonts w:hint="default" w:ascii="Times New Roman" w:hAnsi="Times New Roman" w:cs="Times New Roman"/>
                <w:color w:val="000000" w:themeColor="text1"/>
                <w:sz w:val="24"/>
                <w:lang w:eastAsia="zh-CN"/>
                <w14:textFill>
                  <w14:solidFill>
                    <w14:schemeClr w14:val="tx1"/>
                  </w14:solidFill>
                </w14:textFill>
              </w:rPr>
              <w:t>石油类</w:t>
            </w:r>
            <w:r>
              <w:rPr>
                <w:rFonts w:hint="default" w:ascii="Times New Roman" w:hAnsi="Times New Roman" w:cs="Times New Roman"/>
                <w:b w:val="0"/>
                <w:bCs w:val="0"/>
                <w:color w:val="000000" w:themeColor="text1"/>
                <w:sz w:val="24"/>
                <w:lang w:val="en-US" w:eastAsia="zh-CN"/>
                <w14:textFill>
                  <w14:solidFill>
                    <w14:schemeClr w14:val="tx1"/>
                  </w14:solidFill>
                </w14:textFill>
              </w:rPr>
              <w:t>的去除率分别为80%</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95</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90%</w:t>
            </w:r>
            <w:r>
              <w:rPr>
                <w:rFonts w:hint="default" w:ascii="Times New Roman" w:hAnsi="Times New Roman" w:cs="Times New Roman"/>
                <w:b w:val="0"/>
                <w:bCs w:val="0"/>
                <w:color w:val="000000" w:themeColor="text1"/>
                <w:sz w:val="24"/>
                <w:lang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0"/>
                <w:sz w:val="24"/>
                <w:lang w:eastAsia="zh-CN"/>
                <w14:textFill>
                  <w14:solidFill>
                    <w14:schemeClr w14:val="tx1"/>
                  </w14:solidFill>
                </w14:textFill>
              </w:rPr>
              <w:t>此外，</w:t>
            </w:r>
            <w:r>
              <w:rPr>
                <w:rFonts w:hint="default" w:ascii="Times New Roman" w:hAnsi="Times New Roman" w:cs="Times New Roman"/>
                <w:color w:val="000000" w:themeColor="text1"/>
                <w:spacing w:val="0"/>
                <w:sz w:val="24"/>
                <w14:textFill>
                  <w14:solidFill>
                    <w14:schemeClr w14:val="tx1"/>
                  </w14:solidFill>
                </w14:textFill>
              </w:rPr>
              <w:t>本项目生产车间地面清洁采取干式清洁的方式，用尘推推动干木屑对车间地面进行清洁。</w:t>
            </w:r>
            <w:r>
              <w:rPr>
                <w:rFonts w:hint="default" w:ascii="Times New Roman" w:hAnsi="Times New Roman" w:cs="Times New Roman"/>
                <w:color w:val="000000" w:themeColor="text1"/>
                <w:sz w:val="24"/>
                <w14:textFill>
                  <w14:solidFill>
                    <w14:schemeClr w14:val="tx1"/>
                  </w14:solidFill>
                </w14:textFill>
              </w:rPr>
              <w:t>因此，项目运营期无地面保洁废水产生。</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项目运营期</w:t>
            </w:r>
            <w:r>
              <w:rPr>
                <w:rFonts w:hint="default" w:ascii="Times New Roman" w:hAnsi="Times New Roman" w:cs="Times New Roman"/>
                <w:color w:val="000000" w:themeColor="text1"/>
                <w:sz w:val="24"/>
                <w:lang w:eastAsia="zh-CN"/>
                <w14:textFill>
                  <w14:solidFill>
                    <w14:schemeClr w14:val="tx1"/>
                  </w14:solidFill>
                </w14:textFill>
              </w:rPr>
              <w:t>废水</w:t>
            </w:r>
            <w:r>
              <w:rPr>
                <w:rFonts w:hint="default" w:ascii="Times New Roman" w:hAnsi="Times New Roman" w:cs="Times New Roman"/>
                <w:color w:val="000000" w:themeColor="text1"/>
                <w:sz w:val="24"/>
                <w14:textFill>
                  <w14:solidFill>
                    <w14:schemeClr w14:val="tx1"/>
                  </w14:solidFill>
                </w14:textFill>
              </w:rPr>
              <w:t>产排情况详见下表：</w:t>
            </w:r>
          </w:p>
          <w:p>
            <w:pPr>
              <w:widowControl/>
              <w:spacing w:before="100" w:beforeAutospacing="1"/>
              <w:jc w:val="cente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表2-</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8</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 xml:space="preserve"> 项目</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市政</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污水管网接管前废水产生及排放情况一览表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926"/>
              <w:gridCol w:w="971"/>
              <w:gridCol w:w="841"/>
              <w:gridCol w:w="933"/>
              <w:gridCol w:w="640"/>
              <w:gridCol w:w="874"/>
              <w:gridCol w:w="1005"/>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废水种类</w:t>
                  </w:r>
                </w:p>
              </w:tc>
              <w:tc>
                <w:tcPr>
                  <w:tcW w:w="535"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污水量（t/a）</w:t>
                  </w:r>
                </w:p>
              </w:tc>
              <w:tc>
                <w:tcPr>
                  <w:tcW w:w="561"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污染物</w:t>
                  </w:r>
                </w:p>
              </w:tc>
              <w:tc>
                <w:tcPr>
                  <w:tcW w:w="1025"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处理前</w:t>
                  </w:r>
                </w:p>
              </w:tc>
              <w:tc>
                <w:tcPr>
                  <w:tcW w:w="370"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处理</w:t>
                  </w:r>
                </w:p>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措施</w:t>
                  </w:r>
                </w:p>
              </w:tc>
              <w:tc>
                <w:tcPr>
                  <w:tcW w:w="1079"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初步处理后</w:t>
                  </w:r>
                </w:p>
              </w:tc>
              <w:tc>
                <w:tcPr>
                  <w:tcW w:w="996" w:type="pct"/>
                  <w:vMerge w:val="restart"/>
                  <w:noWrap w:val="0"/>
                  <w:vAlign w:val="center"/>
                </w:tcPr>
                <w:p>
                  <w:pPr>
                    <w:widowControl/>
                    <w:spacing w:line="320" w:lineRule="exact"/>
                    <w:jc w:val="center"/>
                    <w:rPr>
                      <w:rFonts w:hint="default" w:ascii="Times New Roman" w:hAnsi="Times New Roman" w:eastAsia="宋体" w:cs="Times New Roman"/>
                      <w:b/>
                      <w:bCs/>
                      <w:color w:val="000000" w:themeColor="text1"/>
                      <w:kern w:val="0"/>
                      <w:szCs w:val="21"/>
                      <w:lang w:eastAsia="zh-CN"/>
                      <w14:textFill>
                        <w14:solidFill>
                          <w14:schemeClr w14:val="tx1"/>
                        </w14:solidFill>
                      </w14:textFill>
                    </w:rPr>
                  </w:pPr>
                  <w:r>
                    <w:rPr>
                      <w:rFonts w:hint="default" w:ascii="Times New Roman" w:hAnsi="Times New Roman" w:cs="Times New Roman"/>
                      <w:b/>
                      <w:bCs/>
                      <w:color w:val="000000" w:themeColor="text1"/>
                      <w:kern w:val="0"/>
                      <w:szCs w:val="21"/>
                      <w:lang w:eastAsia="zh-CN"/>
                      <w14:textFill>
                        <w14:solidFill>
                          <w14:schemeClr w14:val="tx1"/>
                        </w14:solidFill>
                      </w14:textFill>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61"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486"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39"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37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996" w:type="pct"/>
                  <w:vMerge w:val="continue"/>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61"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486"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39"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37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996" w:type="pct"/>
                  <w:vMerge w:val="restart"/>
                  <w:noWrap w:val="0"/>
                  <w:vAlign w:val="center"/>
                </w:tcPr>
                <w:p>
                  <w:pPr>
                    <w:widowControl/>
                    <w:spacing w:line="320" w:lineRule="exact"/>
                    <w:jc w:val="center"/>
                    <w:rPr>
                      <w:rFonts w:hint="default" w:ascii="Times New Roman" w:hAnsi="Times New Roman" w:eastAsia="宋体" w:cs="Times New Roman"/>
                      <w:b/>
                      <w:bCs/>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废水经隔油池化粪池处理后定期清掏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30"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p>
              </w:tc>
              <w:tc>
                <w:tcPr>
                  <w:tcW w:w="53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288</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0.098 </w:t>
                  </w:r>
                </w:p>
              </w:tc>
              <w:tc>
                <w:tcPr>
                  <w:tcW w:w="37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隔油池、</w:t>
                  </w:r>
                  <w:r>
                    <w:rPr>
                      <w:rFonts w:hint="default" w:ascii="Times New Roman" w:hAnsi="Times New Roman" w:eastAsia="宋体" w:cs="Times New Roman"/>
                      <w:color w:val="000000" w:themeColor="text1"/>
                      <w:szCs w:val="21"/>
                      <w14:textFill>
                        <w14:solidFill>
                          <w14:schemeClr w14:val="tx1"/>
                        </w14:solidFill>
                      </w14:textFill>
                    </w:rPr>
                    <w:t>化粪池</w:t>
                  </w: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289</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0.083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0.052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158.4</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0.046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0.058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0.040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0.009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29.1</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0.008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TP</w:t>
                  </w:r>
                </w:p>
              </w:tc>
              <w:tc>
                <w:tcPr>
                  <w:tcW w:w="486" w:type="pct"/>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动植物油</w:t>
                  </w:r>
                </w:p>
              </w:tc>
              <w:tc>
                <w:tcPr>
                  <w:tcW w:w="486" w:type="pct"/>
                  <w:noWrap w:val="0"/>
                  <w:vAlign w:val="center"/>
                </w:tcPr>
                <w:p>
                  <w:pPr>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0.014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0.003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循环冷却水排水</w:t>
                  </w:r>
                </w:p>
              </w:tc>
              <w:tc>
                <w:tcPr>
                  <w:tcW w:w="535"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486"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0.0005</w:t>
                  </w:r>
                </w:p>
              </w:tc>
              <w:tc>
                <w:tcPr>
                  <w:tcW w:w="37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5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w:t>
                  </w:r>
                </w:p>
              </w:tc>
              <w:tc>
                <w:tcPr>
                  <w:tcW w:w="99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废水进入厂区暂存池暂存，定期委托罐车外运至舒城经济开发区污水处理厂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486"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0.00004</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0.000007</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486"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5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5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0.000009</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湿式除尘废水</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1224</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48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0.612</w:t>
                  </w:r>
                </w:p>
              </w:tc>
              <w:tc>
                <w:tcPr>
                  <w:tcW w:w="370"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滤芯过滤装置</w:t>
                  </w: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0.031</w:t>
                  </w:r>
                </w:p>
              </w:tc>
              <w:tc>
                <w:tcPr>
                  <w:tcW w:w="99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废水经湿式除尘器配套的过滤装置过滤后</w:t>
                  </w:r>
                  <w:r>
                    <w:rPr>
                      <w:rFonts w:hint="default" w:ascii="Times New Roman" w:hAnsi="Times New Roman" w:cs="Times New Roman"/>
                      <w:color w:val="000000" w:themeColor="text1"/>
                      <w:szCs w:val="21"/>
                      <w:lang w:val="en-US" w:eastAsia="zh-CN"/>
                      <w14:textFill>
                        <w14:solidFill>
                          <w14:schemeClr w14:val="tx1"/>
                        </w14:solidFill>
                      </w14:textFill>
                    </w:rPr>
                    <w:t>循环使用</w:t>
                  </w:r>
                  <w:r>
                    <w:rPr>
                      <w:rFonts w:hint="default" w:ascii="Times New Roman" w:hAnsi="Times New Roman" w:eastAsia="宋体" w:cs="Times New Roman"/>
                      <w:color w:val="000000" w:themeColor="text1"/>
                      <w:szCs w:val="21"/>
                      <w:lang w:val="en-US" w:eastAsia="zh-CN"/>
                      <w14:textFill>
                        <w14:solidFill>
                          <w14:schemeClr w14:val="tx1"/>
                        </w14:solidFill>
                      </w14:textFill>
                    </w:rPr>
                    <w:t>，不外排</w:t>
                  </w: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光饰废水</w:t>
                  </w:r>
                </w:p>
              </w:tc>
              <w:tc>
                <w:tcPr>
                  <w:tcW w:w="53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32.8</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48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0.02</w:t>
                  </w:r>
                </w:p>
              </w:tc>
              <w:tc>
                <w:tcPr>
                  <w:tcW w:w="37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自建污水处理设施</w:t>
                  </w: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0.004</w:t>
                  </w:r>
                </w:p>
              </w:tc>
              <w:tc>
                <w:tcPr>
                  <w:tcW w:w="99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48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0.013</w:t>
                  </w:r>
                </w:p>
              </w:tc>
              <w:tc>
                <w:tcPr>
                  <w:tcW w:w="370"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996" w:type="pct"/>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石油类</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39"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370"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0.0001</w:t>
                  </w:r>
                </w:p>
              </w:tc>
              <w:tc>
                <w:tcPr>
                  <w:tcW w:w="996" w:type="pct"/>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bl>
          <w:p>
            <w:pPr>
              <w:widowControl/>
              <w:spacing w:before="100" w:beforeAutospacing="1"/>
              <w:jc w:val="cente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表2-</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9</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 xml:space="preserve"> 项目</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市政</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污水管网接管</w:t>
            </w:r>
            <w:r>
              <w:rPr>
                <w:rFonts w:hint="default" w:ascii="Times New Roman" w:hAnsi="Times New Roman" w:cs="Times New Roman"/>
                <w:b/>
                <w:color w:val="000000" w:themeColor="text1"/>
                <w:kern w:val="0"/>
                <w:sz w:val="24"/>
                <w:szCs w:val="20"/>
                <w:lang w:eastAsia="zh-CN"/>
                <w14:textFill>
                  <w14:solidFill>
                    <w14:schemeClr w14:val="tx1"/>
                  </w14:solidFill>
                </w14:textFill>
              </w:rPr>
              <w:t>后</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废水产生及排放情况一览表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896"/>
              <w:gridCol w:w="941"/>
              <w:gridCol w:w="967"/>
              <w:gridCol w:w="924"/>
              <w:gridCol w:w="636"/>
              <w:gridCol w:w="950"/>
              <w:gridCol w:w="950"/>
              <w:gridCol w:w="707"/>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废水种类</w:t>
                  </w:r>
                </w:p>
              </w:tc>
              <w:tc>
                <w:tcPr>
                  <w:tcW w:w="530"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污水量（t/a）</w:t>
                  </w:r>
                </w:p>
              </w:tc>
              <w:tc>
                <w:tcPr>
                  <w:tcW w:w="556"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污染物</w:t>
                  </w:r>
                </w:p>
              </w:tc>
              <w:tc>
                <w:tcPr>
                  <w:tcW w:w="1117"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处理前</w:t>
                  </w:r>
                </w:p>
              </w:tc>
              <w:tc>
                <w:tcPr>
                  <w:tcW w:w="251"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处理</w:t>
                  </w:r>
                </w:p>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措施</w:t>
                  </w:r>
                </w:p>
              </w:tc>
              <w:tc>
                <w:tcPr>
                  <w:tcW w:w="1122"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初步处理后</w:t>
                  </w:r>
                </w:p>
              </w:tc>
              <w:tc>
                <w:tcPr>
                  <w:tcW w:w="996" w:type="pct"/>
                  <w:gridSpan w:val="2"/>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污水处理厂</w:t>
                  </w:r>
                </w:p>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5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7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4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251"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6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421"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5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7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4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251"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6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421"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6"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288</w:t>
                  </w: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7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0.098 </w:t>
                  </w:r>
                </w:p>
              </w:tc>
              <w:tc>
                <w:tcPr>
                  <w:tcW w:w="251"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隔油池、</w:t>
                  </w:r>
                  <w:r>
                    <w:rPr>
                      <w:rFonts w:hint="default" w:ascii="Times New Roman" w:hAnsi="Times New Roman" w:eastAsia="宋体" w:cs="Times New Roman"/>
                      <w:color w:val="000000" w:themeColor="text1"/>
                      <w:szCs w:val="21"/>
                      <w14:textFill>
                        <w14:solidFill>
                          <w14:schemeClr w14:val="tx1"/>
                        </w14:solidFill>
                      </w14:textFill>
                    </w:rPr>
                    <w:t>化粪池</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289</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0.083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57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0.052 </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158.4</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0.046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7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0.058 </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0.040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57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0.009 </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29.1</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0.008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TP</w:t>
                  </w:r>
                </w:p>
              </w:tc>
              <w:tc>
                <w:tcPr>
                  <w:tcW w:w="571" w:type="pct"/>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动植物油</w:t>
                  </w:r>
                </w:p>
              </w:tc>
              <w:tc>
                <w:tcPr>
                  <w:tcW w:w="571" w:type="pct"/>
                  <w:noWrap w:val="0"/>
                  <w:vAlign w:val="center"/>
                </w:tcPr>
                <w:p>
                  <w:pPr>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0.014 </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0.003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循环冷却水排水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w:t>
                  </w: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7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0.0005</w:t>
                  </w:r>
                </w:p>
              </w:tc>
              <w:tc>
                <w:tcPr>
                  <w:tcW w:w="251"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6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0.0005</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57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0.0000</w:t>
                  </w: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0.0000</w:t>
                  </w: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7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w:t>
                  </w: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51"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w:t>
                  </w: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综合废水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291.6</w:t>
                  </w: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71" w:type="pct"/>
                  <w:noWrap w:val="0"/>
                  <w:vAlign w:val="center"/>
                </w:tcPr>
                <w:p>
                  <w:pPr>
                    <w:widowControl/>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337.791 </w:t>
                  </w:r>
                </w:p>
              </w:tc>
              <w:tc>
                <w:tcPr>
                  <w:tcW w:w="54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0.099 </w:t>
                  </w:r>
                </w:p>
              </w:tc>
              <w:tc>
                <w:tcPr>
                  <w:tcW w:w="251" w:type="pct"/>
                  <w:vMerge w:val="restar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286.351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0.084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40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57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178.326 </w:t>
                  </w:r>
                </w:p>
              </w:tc>
              <w:tc>
                <w:tcPr>
                  <w:tcW w:w="54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0.052 </w:t>
                  </w:r>
                </w:p>
              </w:tc>
              <w:tc>
                <w:tcPr>
                  <w:tcW w:w="251"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157.750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0.046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7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199.588 </w:t>
                  </w:r>
                </w:p>
              </w:tc>
              <w:tc>
                <w:tcPr>
                  <w:tcW w:w="54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0.058 </w:t>
                  </w:r>
                </w:p>
              </w:tc>
              <w:tc>
                <w:tcPr>
                  <w:tcW w:w="251"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137.860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0.040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57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31.001 </w:t>
                  </w:r>
                </w:p>
              </w:tc>
              <w:tc>
                <w:tcPr>
                  <w:tcW w:w="54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0.009 </w:t>
                  </w:r>
                </w:p>
              </w:tc>
              <w:tc>
                <w:tcPr>
                  <w:tcW w:w="251"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27.572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0.008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TP</w:t>
                  </w:r>
                </w:p>
              </w:tc>
              <w:tc>
                <w:tcPr>
                  <w:tcW w:w="57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3.429 </w:t>
                  </w:r>
                </w:p>
              </w:tc>
              <w:tc>
                <w:tcPr>
                  <w:tcW w:w="54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c>
                <w:tcPr>
                  <w:tcW w:w="251"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3.429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c>
                <w:tcPr>
                  <w:tcW w:w="421" w:type="pct"/>
                  <w:noWrap w:val="0"/>
                  <w:vAlign w:val="center"/>
                </w:tcPr>
                <w:p>
                  <w:pPr>
                    <w:widowControl/>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动植物油</w:t>
                  </w:r>
                </w:p>
              </w:tc>
              <w:tc>
                <w:tcPr>
                  <w:tcW w:w="57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48.011 </w:t>
                  </w:r>
                </w:p>
              </w:tc>
              <w:tc>
                <w:tcPr>
                  <w:tcW w:w="54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0.014 </w:t>
                  </w:r>
                </w:p>
              </w:tc>
              <w:tc>
                <w:tcPr>
                  <w:tcW w:w="251"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10.288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湿式除尘废水</w:t>
                  </w:r>
                </w:p>
              </w:tc>
              <w:tc>
                <w:tcPr>
                  <w:tcW w:w="530"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1224</w:t>
                  </w: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57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0.612</w:t>
                  </w:r>
                </w:p>
              </w:tc>
              <w:tc>
                <w:tcPr>
                  <w:tcW w:w="25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滤芯过滤装置</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0.031</w:t>
                  </w:r>
                </w:p>
              </w:tc>
              <w:tc>
                <w:tcPr>
                  <w:tcW w:w="996" w:type="pct"/>
                  <w:gridSpan w:val="2"/>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废水经湿式除尘器配套的过滤装置过滤后</w:t>
                  </w:r>
                  <w:r>
                    <w:rPr>
                      <w:rFonts w:hint="default" w:ascii="Times New Roman" w:hAnsi="Times New Roman" w:cs="Times New Roman"/>
                      <w:color w:val="000000" w:themeColor="text1"/>
                      <w:szCs w:val="21"/>
                      <w:lang w:val="en-US" w:eastAsia="zh-CN"/>
                      <w14:textFill>
                        <w14:solidFill>
                          <w14:schemeClr w14:val="tx1"/>
                        </w14:solidFill>
                      </w14:textFill>
                    </w:rPr>
                    <w:t>循环使用</w:t>
                  </w:r>
                  <w:r>
                    <w:rPr>
                      <w:rFonts w:hint="default" w:ascii="Times New Roman" w:hAnsi="Times New Roman" w:eastAsia="宋体" w:cs="Times New Roman"/>
                      <w:color w:val="000000" w:themeColor="text1"/>
                      <w:szCs w:val="21"/>
                      <w:lang w:val="en-US" w:eastAsia="zh-CN"/>
                      <w14:textFill>
                        <w14:solidFill>
                          <w14:schemeClr w14:val="tx1"/>
                        </w14:solidFill>
                      </w14:textFill>
                    </w:rPr>
                    <w:t>，不外排</w:t>
                  </w: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光饰废水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32.8</w:t>
                  </w: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57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0.02</w:t>
                  </w:r>
                </w:p>
              </w:tc>
              <w:tc>
                <w:tcPr>
                  <w:tcW w:w="251"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自建污水处理设施</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0.004</w:t>
                  </w:r>
                </w:p>
              </w:tc>
              <w:tc>
                <w:tcPr>
                  <w:tcW w:w="996" w:type="pct"/>
                  <w:gridSpan w:val="2"/>
                  <w:vMerge w:val="restar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57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400</w:t>
                  </w:r>
                </w:p>
              </w:tc>
              <w:tc>
                <w:tcPr>
                  <w:tcW w:w="54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0.013</w:t>
                  </w:r>
                </w:p>
              </w:tc>
              <w:tc>
                <w:tcPr>
                  <w:tcW w:w="251"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996" w:type="pct"/>
                  <w:gridSpan w:val="2"/>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石油类</w:t>
                  </w:r>
                </w:p>
              </w:tc>
              <w:tc>
                <w:tcPr>
                  <w:tcW w:w="57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4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251"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0.0001</w:t>
                  </w:r>
                </w:p>
              </w:tc>
              <w:tc>
                <w:tcPr>
                  <w:tcW w:w="996" w:type="pct"/>
                  <w:gridSpan w:val="2"/>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bl>
          <w:p>
            <w:pPr>
              <w:spacing w:line="360" w:lineRule="auto"/>
              <w:ind w:firstLine="482" w:firstLineChars="201"/>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（3）废水处理措施</w:t>
            </w:r>
          </w:p>
          <w:p>
            <w:pPr>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项目排水实行雨污分流制，其中雨水排入</w:t>
            </w:r>
            <w:r>
              <w:rPr>
                <w:rFonts w:hint="default" w:ascii="Times New Roman" w:hAnsi="Times New Roman" w:cs="Times New Roman"/>
                <w:color w:val="000000" w:themeColor="text1"/>
                <w:sz w:val="24"/>
                <w:lang w:eastAsia="zh-CN"/>
                <w14:textFill>
                  <w14:solidFill>
                    <w14:schemeClr w14:val="tx1"/>
                  </w14:solidFill>
                </w14:textFill>
              </w:rPr>
              <w:t>龙津大道</w:t>
            </w:r>
            <w:r>
              <w:rPr>
                <w:rFonts w:hint="default" w:ascii="Times New Roman" w:hAnsi="Times New Roman" w:cs="Times New Roman"/>
                <w:color w:val="000000" w:themeColor="text1"/>
                <w:sz w:val="24"/>
                <w14:textFill>
                  <w14:solidFill>
                    <w14:schemeClr w14:val="tx1"/>
                  </w14:solidFill>
                </w14:textFill>
              </w:rPr>
              <w:t>市政雨水管网</w:t>
            </w:r>
            <w:r>
              <w:rPr>
                <w:rFonts w:hint="default" w:ascii="Times New Roman" w:hAnsi="Times New Roman" w:cs="Times New Roman"/>
                <w:color w:val="000000" w:themeColor="text1"/>
                <w:sz w:val="24"/>
                <w:lang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项目脱模剂配比水、切削液配比水蒸发损耗不外排；</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湿式除尘废水经过滤装置过滤后循环使用，</w:t>
            </w:r>
            <w:r>
              <w:rPr>
                <w:rFonts w:hint="default" w:ascii="Times New Roman" w:hAnsi="Times New Roman" w:cs="Times New Roman"/>
                <w:color w:val="000000" w:themeColor="text1"/>
                <w:sz w:val="24"/>
                <w:szCs w:val="24"/>
                <w:lang w:val="en-US" w:eastAsia="zh-CN"/>
                <w14:textFill>
                  <w14:solidFill>
                    <w14:schemeClr w14:val="tx1"/>
                  </w14:solidFill>
                </w14:textFill>
              </w:rPr>
              <w:t>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外排</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外排废水主要为员工生活污水和循环冷却水，由于项目周边市政污水管网正在铺设过程中，因此在市政污水管网接通前，①循环冷却水循环使用，定期补充，每三个月排放一次，循环冷却水进入厂区暂存池暂存，定期委托罐车外运至舒城经济开发区污水处理厂</w:t>
            </w:r>
            <w:r>
              <w:rPr>
                <w:rFonts w:hint="default" w:ascii="Times New Roman" w:hAnsi="Times New Roman" w:cs="Times New Roman"/>
                <w:color w:val="000000" w:themeColor="text1"/>
                <w:sz w:val="24"/>
                <w:szCs w:val="24"/>
                <w:lang w:val="en-US" w:eastAsia="zh-CN"/>
                <w14:textFill>
                  <w14:solidFill>
                    <w14:schemeClr w14:val="tx1"/>
                  </w14:solidFill>
                </w14:textFill>
              </w:rPr>
              <w:t>，处理达标后排入三里河</w:t>
            </w:r>
            <w:r>
              <w:rPr>
                <w:rFonts w:hint="default" w:ascii="Times New Roman" w:hAnsi="Times New Roman" w:cs="Times New Roman"/>
                <w:color w:val="000000" w:themeColor="text1"/>
                <w:sz w:val="24"/>
                <w14:textFill>
                  <w14:solidFill>
                    <w14:schemeClr w14:val="tx1"/>
                  </w14:solidFill>
                </w14:textFill>
              </w:rPr>
              <w:t>；②生活污水经隔油池、化粪池处理后定期清掏；市政污水管网接管后，①循环冷却水循环使用，定期补充，每三个月排放一次，循环冷却水排水接管龙津大道市政污水管网进入舒城经济开发区污水处理厂，处理达标后排入三里河</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（4）项目水平衡图</w:t>
            </w:r>
          </w:p>
          <w:p>
            <w:pPr>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项目水平衡图见下图</w:t>
            </w:r>
          </w:p>
          <w:p>
            <w:pPr>
              <w:spacing w:line="360" w:lineRule="auto"/>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5" o:spt="75" type="#_x0000_t75" style="height:452.1pt;width:436.4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r>
              <w:rPr>
                <w:rFonts w:hint="default" w:ascii="Times New Roman" w:hAnsi="Times New Roman" w:eastAsia="宋体" w:cs="Times New Roman"/>
                <w:b/>
                <w:bCs/>
                <w:color w:val="000000" w:themeColor="text1"/>
                <w:sz w:val="24"/>
                <w14:textFill>
                  <w14:solidFill>
                    <w14:schemeClr w14:val="tx1"/>
                  </w14:solidFill>
                </w14:textFill>
              </w:rPr>
              <w:t>图</w:t>
            </w:r>
            <w:r>
              <w:rPr>
                <w:rFonts w:hint="default" w:ascii="Times New Roman" w:hAnsi="Times New Roman" w:cs="Times New Roman"/>
                <w:b/>
                <w:bCs/>
                <w:color w:val="000000" w:themeColor="text1"/>
                <w:sz w:val="24"/>
                <w:lang w:val="en-US" w:eastAsia="zh-CN"/>
                <w14:textFill>
                  <w14:solidFill>
                    <w14:schemeClr w14:val="tx1"/>
                  </w14:solidFill>
                </w14:textFill>
              </w:rPr>
              <w:t>2-1</w:t>
            </w:r>
            <w:r>
              <w:rPr>
                <w:rFonts w:hint="default" w:ascii="Times New Roman" w:hAnsi="Times New Roman" w:eastAsia="宋体" w:cs="Times New Roman"/>
                <w:b/>
                <w:bCs/>
                <w:color w:val="000000" w:themeColor="text1"/>
                <w:sz w:val="24"/>
                <w14:textFill>
                  <w14:solidFill>
                    <w14:schemeClr w14:val="tx1"/>
                  </w14:solidFill>
                </w14:textFill>
              </w:rPr>
              <w:t xml:space="preserve">  项目</w:t>
            </w:r>
            <w:r>
              <w:rPr>
                <w:rFonts w:hint="default" w:ascii="Times New Roman" w:hAnsi="Times New Roman" w:cs="Times New Roman"/>
                <w:b/>
                <w:bCs/>
                <w:color w:val="000000" w:themeColor="text1"/>
                <w:sz w:val="24"/>
                <w:lang w:val="en-US" w:eastAsia="zh-CN"/>
                <w14:textFill>
                  <w14:solidFill>
                    <w14:schemeClr w14:val="tx1"/>
                  </w14:solidFill>
                </w14:textFill>
              </w:rPr>
              <w:t>市政</w:t>
            </w:r>
            <w:r>
              <w:rPr>
                <w:rFonts w:hint="default" w:ascii="Times New Roman" w:hAnsi="Times New Roman" w:cs="Times New Roman"/>
                <w:b/>
                <w:bCs/>
                <w:color w:val="000000" w:themeColor="text1"/>
                <w:sz w:val="24"/>
                <w:lang w:eastAsia="zh-CN"/>
                <w14:textFill>
                  <w14:solidFill>
                    <w14:schemeClr w14:val="tx1"/>
                  </w14:solidFill>
                </w14:textFill>
              </w:rPr>
              <w:t>污水管网接管前</w:t>
            </w:r>
            <w:r>
              <w:rPr>
                <w:rFonts w:hint="default" w:ascii="Times New Roman" w:hAnsi="Times New Roman" w:eastAsia="宋体" w:cs="Times New Roman"/>
                <w:b/>
                <w:bCs/>
                <w:color w:val="000000" w:themeColor="text1"/>
                <w:sz w:val="24"/>
                <w14:textFill>
                  <w14:solidFill>
                    <w14:schemeClr w14:val="tx1"/>
                  </w14:solidFill>
                </w14:textFill>
              </w:rPr>
              <w:t>水平衡图  单位：m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/d</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object>
                <v:shape id="_x0000_i1026" o:spt="75" type="#_x0000_t75" style="height:327.85pt;width:439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r>
              <w:rPr>
                <w:rFonts w:hint="default" w:ascii="Times New Roman" w:hAnsi="Times New Roman" w:eastAsia="宋体" w:cs="Times New Roman"/>
                <w:b/>
                <w:bCs/>
                <w:color w:val="000000" w:themeColor="text1"/>
                <w:sz w:val="24"/>
                <w14:textFill>
                  <w14:solidFill>
                    <w14:schemeClr w14:val="tx1"/>
                  </w14:solidFill>
                </w14:textFill>
              </w:rPr>
              <w:t>图</w:t>
            </w:r>
            <w:r>
              <w:rPr>
                <w:rFonts w:hint="default" w:ascii="Times New Roman" w:hAnsi="Times New Roman" w:cs="Times New Roman"/>
                <w:b/>
                <w:bCs/>
                <w:color w:val="000000" w:themeColor="text1"/>
                <w:sz w:val="24"/>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14:textFill>
                  <w14:solidFill>
                    <w14:schemeClr w14:val="tx1"/>
                  </w14:solidFill>
                </w14:textFill>
              </w:rPr>
              <w:t xml:space="preserve">  项目</w:t>
            </w:r>
            <w:r>
              <w:rPr>
                <w:rFonts w:hint="default" w:ascii="Times New Roman" w:hAnsi="Times New Roman" w:cs="Times New Roman"/>
                <w:b/>
                <w:bCs/>
                <w:color w:val="000000" w:themeColor="text1"/>
                <w:sz w:val="24"/>
                <w:lang w:val="en-US" w:eastAsia="zh-CN"/>
                <w14:textFill>
                  <w14:solidFill>
                    <w14:schemeClr w14:val="tx1"/>
                  </w14:solidFill>
                </w14:textFill>
              </w:rPr>
              <w:t>市政</w:t>
            </w:r>
            <w:r>
              <w:rPr>
                <w:rFonts w:hint="default" w:ascii="Times New Roman" w:hAnsi="Times New Roman" w:cs="Times New Roman"/>
                <w:b/>
                <w:bCs/>
                <w:color w:val="000000" w:themeColor="text1"/>
                <w:sz w:val="24"/>
                <w:lang w:eastAsia="zh-CN"/>
                <w14:textFill>
                  <w14:solidFill>
                    <w14:schemeClr w14:val="tx1"/>
                  </w14:solidFill>
                </w14:textFill>
              </w:rPr>
              <w:t>污水管网接管后</w:t>
            </w:r>
            <w:r>
              <w:rPr>
                <w:rFonts w:hint="default" w:ascii="Times New Roman" w:hAnsi="Times New Roman" w:eastAsia="宋体" w:cs="Times New Roman"/>
                <w:b/>
                <w:bCs/>
                <w:color w:val="000000" w:themeColor="text1"/>
                <w:sz w:val="24"/>
                <w14:textFill>
                  <w14:solidFill>
                    <w14:schemeClr w14:val="tx1"/>
                  </w14:solidFill>
                </w14:textFill>
              </w:rPr>
              <w:t>水平衡图  单位：m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/d</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4" w:hRule="atLeast"/>
        </w:trPr>
        <w:tc>
          <w:tcPr>
            <w:tcW w:w="453" w:type="dxa"/>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工艺流程和产排污环节</w:t>
            </w:r>
          </w:p>
        </w:tc>
        <w:tc>
          <w:tcPr>
            <w:tcW w:w="8891" w:type="dxa"/>
            <w:noWrap w:val="0"/>
            <w:vAlign w:val="top"/>
          </w:tcPr>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firstLine="422" w:firstLineChars="175"/>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（二）运营期项目生产工艺流程及产污环节</w:t>
            </w:r>
          </w:p>
          <w:p>
            <w:pPr>
              <w:autoSpaceDE w:val="0"/>
              <w:autoSpaceDN w:val="0"/>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eastAsia="zh-CN"/>
                <w14:textFill>
                  <w14:solidFill>
                    <w14:schemeClr w14:val="tx1"/>
                  </w14:solidFill>
                </w14:textFill>
              </w:rPr>
              <w:t>压铸产品</w:t>
            </w:r>
            <w:r>
              <w:rPr>
                <w:rFonts w:hint="default" w:ascii="Times New Roman" w:hAnsi="Times New Roman" w:cs="Times New Roman"/>
                <w:color w:val="000000" w:themeColor="text1"/>
                <w:sz w:val="24"/>
                <w14:textFill>
                  <w14:solidFill>
                    <w14:schemeClr w14:val="tx1"/>
                  </w14:solidFill>
                </w14:textFill>
              </w:rPr>
              <w:t>有</w:t>
            </w:r>
            <w:r>
              <w:rPr>
                <w:rFonts w:hint="default" w:ascii="Times New Roman" w:hAnsi="Times New Roman" w:cs="Times New Roman"/>
                <w:color w:val="000000" w:themeColor="text1"/>
                <w:sz w:val="24"/>
                <w:lang w:eastAsia="zh-CN"/>
                <w14:textFill>
                  <w14:solidFill>
                    <w14:schemeClr w14:val="tx1"/>
                  </w14:solidFill>
                </w14:textFill>
              </w:rPr>
              <w:t>四</w:t>
            </w:r>
            <w:r>
              <w:rPr>
                <w:rFonts w:hint="default" w:ascii="Times New Roman" w:hAnsi="Times New Roman" w:cs="Times New Roman"/>
                <w:color w:val="000000" w:themeColor="text1"/>
                <w:sz w:val="24"/>
                <w14:textFill>
                  <w14:solidFill>
                    <w14:schemeClr w14:val="tx1"/>
                  </w14:solidFill>
                </w14:textFill>
              </w:rPr>
              <w:t>种，分别是</w:t>
            </w:r>
            <w:r>
              <w:rPr>
                <w:rFonts w:hint="default" w:ascii="Times New Roman" w:hAnsi="Times New Roman" w:cs="Times New Roman"/>
                <w:color w:val="000000" w:themeColor="text1"/>
                <w:sz w:val="24"/>
                <w:lang w:eastAsia="zh-CN"/>
                <w14:textFill>
                  <w14:solidFill>
                    <w14:schemeClr w14:val="tx1"/>
                  </w14:solidFill>
                </w14:textFill>
              </w:rPr>
              <w:t>合力叉车脚踏板</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洗衣</w:t>
            </w:r>
            <w:r>
              <w:rPr>
                <w:rFonts w:hint="default" w:ascii="Times New Roman" w:hAnsi="Times New Roman" w:eastAsia="宋体" w:cs="Times New Roman"/>
                <w:color w:val="000000" w:themeColor="text1"/>
                <w:sz w:val="24"/>
                <w:lang w:eastAsia="zh-CN"/>
                <w14:textFill>
                  <w14:solidFill>
                    <w14:schemeClr w14:val="tx1"/>
                  </w14:solidFill>
                </w14:textFill>
              </w:rPr>
              <w:t>机滚筒连接法兰盘、</w:t>
            </w:r>
            <w:r>
              <w:rPr>
                <w:rFonts w:hint="default" w:ascii="Times New Roman" w:hAnsi="Times New Roman" w:eastAsia="宋体" w:cs="Times New Roman"/>
                <w:color w:val="000000" w:themeColor="text1"/>
                <w:sz w:val="24"/>
                <w:lang w:val="en-US" w:eastAsia="zh-CN"/>
                <w14:textFill>
                  <w14:solidFill>
                    <w14:schemeClr w14:val="tx1"/>
                  </w14:solidFill>
                </w14:textFill>
              </w:rPr>
              <w:t>电机外壳系列产品</w:t>
            </w:r>
            <w:r>
              <w:rPr>
                <w:rFonts w:hint="default" w:ascii="Times New Roman" w:hAnsi="Times New Roman" w:eastAsia="宋体" w:cs="Times New Roman"/>
                <w:color w:val="000000" w:themeColor="text1"/>
                <w:sz w:val="24"/>
                <w:lang w:eastAsia="zh-CN"/>
                <w14:textFill>
                  <w14:solidFill>
                    <w14:schemeClr w14:val="tx1"/>
                  </w14:solidFill>
                </w14:textFill>
              </w:rPr>
              <w:t>和</w:t>
            </w:r>
            <w:r>
              <w:rPr>
                <w:rFonts w:hint="default" w:ascii="Times New Roman" w:hAnsi="Times New Roman" w:cs="Times New Roman"/>
                <w:color w:val="000000" w:themeColor="text1"/>
                <w:sz w:val="24"/>
                <w:lang w:val="en-US" w:eastAsia="zh-CN"/>
                <w14:textFill>
                  <w14:solidFill>
                    <w14:schemeClr w14:val="tx1"/>
                  </w14:solidFill>
                </w14:textFill>
              </w:rPr>
              <w:t>门业扭簧法兰</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四种产品的压铸模具不同，生产工</w:t>
            </w:r>
            <w:r>
              <w:rPr>
                <w:rFonts w:hint="default" w:ascii="Times New Roman" w:hAnsi="Times New Roman" w:cs="Times New Roman"/>
                <w:color w:val="000000" w:themeColor="text1"/>
                <w:sz w:val="24"/>
                <w14:textFill>
                  <w14:solidFill>
                    <w14:schemeClr w14:val="tx1"/>
                  </w14:solidFill>
                </w14:textFill>
              </w:rPr>
              <w:t>艺</w:t>
            </w:r>
            <w:r>
              <w:rPr>
                <w:rFonts w:hint="default" w:ascii="Times New Roman" w:hAnsi="Times New Roman" w:cs="Times New Roman"/>
                <w:color w:val="000000" w:themeColor="text1"/>
                <w:sz w:val="24"/>
                <w:lang w:eastAsia="zh-CN"/>
                <w14:textFill>
                  <w14:solidFill>
                    <w14:schemeClr w14:val="tx1"/>
                  </w14:solidFill>
                </w14:textFill>
              </w:rPr>
              <w:t>基本</w:t>
            </w:r>
            <w:r>
              <w:rPr>
                <w:rFonts w:hint="default" w:ascii="Times New Roman" w:hAnsi="Times New Roman" w:cs="Times New Roman"/>
                <w:color w:val="000000" w:themeColor="text1"/>
                <w:sz w:val="24"/>
                <w14:textFill>
                  <w14:solidFill>
                    <w14:schemeClr w14:val="tx1"/>
                  </w14:solidFill>
                </w14:textFill>
              </w:rPr>
              <w:t>相同，具体工艺流程如下：</w:t>
            </w:r>
          </w:p>
          <w:p>
            <w:pPr>
              <w:pStyle w:val="38"/>
              <w:snapToGrid w:val="0"/>
              <w:spacing w:line="360" w:lineRule="auto"/>
              <w:ind w:firstLine="482" w:firstLineChars="200"/>
              <w:jc w:val="both"/>
              <w:rPr>
                <w:rFonts w:hint="default" w:ascii="Times New Roman" w:hAnsi="Times New Roman" w:cs="Times New Roman"/>
                <w:b/>
                <w:bCs/>
                <w:color w:val="000000" w:themeColor="text1"/>
                <w:lang w:val="en-US" w:eastAsia="zh-CN" w:bidi="ar"/>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1、压铸工艺流程简述（图示）</w:t>
            </w:r>
          </w:p>
          <w:p>
            <w:pPr>
              <w:spacing w:before="34" w:line="257" w:lineRule="auto"/>
              <w:ind w:right="0"/>
              <w:jc w:val="center"/>
              <w:rPr>
                <w:rFonts w:hint="default" w:ascii="Times New Roman" w:hAnsi="Times New Roman" w:eastAsia="黑体" w:cs="Times New Roman"/>
                <w:color w:val="000000" w:themeColor="text1"/>
                <w:spacing w:val="2"/>
                <w:sz w:val="21"/>
                <w:szCs w:val="21"/>
                <w:lang w:eastAsia="zh-CN"/>
                <w14:textFill>
                  <w14:solidFill>
                    <w14:schemeClr w14:val="tx1"/>
                  </w14:solidFill>
                </w14:textFill>
              </w:rPr>
            </w:pPr>
            <w:r>
              <w:rPr>
                <w:rFonts w:hint="default" w:ascii="Times New Roman" w:hAnsi="Times New Roman" w:eastAsia="黑体" w:cs="Times New Roman"/>
                <w:color w:val="000000" w:themeColor="text1"/>
                <w:spacing w:val="2"/>
                <w:sz w:val="21"/>
                <w:szCs w:val="21"/>
                <w:lang w:eastAsia="zh-CN"/>
                <w14:textFill>
                  <w14:solidFill>
                    <w14:schemeClr w14:val="tx1"/>
                  </w14:solidFill>
                </w14:textFill>
              </w:rPr>
              <w:object>
                <v:shape id="_x0000_i1027" o:spt="75" type="#_x0000_t75" style="height:434pt;width:283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pPr>
              <w:tabs>
                <w:tab w:val="left" w:pos="525"/>
                <w:tab w:val="left" w:pos="798"/>
              </w:tabs>
              <w:spacing w:line="360" w:lineRule="auto"/>
              <w:jc w:val="center"/>
              <w:rPr>
                <w:rFonts w:hint="default" w:ascii="Times New Roman" w:hAnsi="Times New Roman"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图2-</w:t>
            </w: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 xml:space="preserve">  </w:t>
            </w:r>
            <w:r>
              <w:rPr>
                <w:rFonts w:hint="default" w:ascii="Times New Roman" w:hAnsi="Times New Roman" w:eastAsia="宋体" w:cs="Times New Roman"/>
                <w:b/>
                <w:bCs/>
                <w:color w:val="000000" w:themeColor="text1"/>
                <w:sz w:val="24"/>
                <w14:textFill>
                  <w14:solidFill>
                    <w14:schemeClr w14:val="tx1"/>
                  </w14:solidFill>
                </w14:textFill>
              </w:rPr>
              <w:t>项目营运期工艺流程</w:t>
            </w:r>
            <w:r>
              <w:rPr>
                <w:rFonts w:hint="default" w:ascii="Times New Roman" w:hAnsi="Times New Roman" w:cs="Times New Roman"/>
                <w:b/>
                <w:bCs/>
                <w:color w:val="000000" w:themeColor="text1"/>
                <w:sz w:val="24"/>
                <w:szCs w:val="24"/>
                <w14:textFill>
                  <w14:solidFill>
                    <w14:schemeClr w14:val="tx1"/>
                  </w14:solidFill>
                </w14:textFill>
              </w:rPr>
              <w:t>及产污节点图</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熔化：</w:t>
            </w:r>
            <w:r>
              <w:rPr>
                <w:rFonts w:hint="default" w:ascii="Times New Roman" w:hAnsi="Times New Roman" w:eastAsia="宋体" w:cs="Times New Roman"/>
                <w:color w:val="000000" w:themeColor="text1"/>
                <w:sz w:val="24"/>
                <w:lang w:val="en-US" w:eastAsia="zh-CN"/>
                <w14:textFill>
                  <w14:solidFill>
                    <w14:schemeClr w14:val="tx1"/>
                  </w14:solidFill>
                </w14:textFill>
              </w:rPr>
              <w:t>利用天然气</w:t>
            </w:r>
            <w:r>
              <w:rPr>
                <w:rFonts w:hint="default" w:ascii="Times New Roman" w:hAnsi="Times New Roman" w:cs="Times New Roman"/>
                <w:color w:val="000000" w:themeColor="text1"/>
                <w:sz w:val="24"/>
                <w:lang w:val="en-US" w:eastAsia="zh-CN"/>
                <w14:textFill>
                  <w14:solidFill>
                    <w14:schemeClr w14:val="tx1"/>
                  </w14:solidFill>
                </w14:textFill>
              </w:rPr>
              <w:t>熔铝炉</w:t>
            </w:r>
            <w:r>
              <w:rPr>
                <w:rFonts w:hint="default" w:ascii="Times New Roman" w:hAnsi="Times New Roman" w:eastAsia="宋体" w:cs="Times New Roman"/>
                <w:color w:val="000000" w:themeColor="text1"/>
                <w:sz w:val="24"/>
                <w:lang w:val="en-US" w:eastAsia="zh-CN"/>
                <w14:textFill>
                  <w14:solidFill>
                    <w14:schemeClr w14:val="tx1"/>
                  </w14:solidFill>
                </w14:textFill>
              </w:rPr>
              <w:t>将外购的铝合金锭进行熔化，加热温度在700</w:t>
            </w:r>
            <w:r>
              <w:rPr>
                <w:rFonts w:hint="default" w:ascii="Times New Roman" w:hAnsi="Times New Roman" w:eastAsia="宋体" w:cs="Times New Roman"/>
                <w:color w:val="000000" w:themeColor="text1"/>
                <w:sz w:val="24"/>
                <w:lang w:eastAsia="zh-CN"/>
                <w14:textFill>
                  <w14:solidFill>
                    <w14:schemeClr w14:val="tx1"/>
                  </w14:solidFill>
                </w14:textFill>
              </w:rPr>
              <w:t>℃左右</w:t>
            </w:r>
            <w:r>
              <w:rPr>
                <w:rFonts w:hint="default" w:ascii="Times New Roman" w:hAnsi="Times New Roman" w:eastAsia="宋体" w:cs="Times New Roman"/>
                <w:color w:val="000000" w:themeColor="text1"/>
                <w:sz w:val="24"/>
                <w:lang w:val="en-US" w:eastAsia="zh-CN"/>
                <w14:textFill>
                  <w14:solidFill>
                    <w14:schemeClr w14:val="tx1"/>
                  </w14:solidFill>
                </w14:textFill>
              </w:rPr>
              <w:t>，熔化后在</w:t>
            </w:r>
            <w:r>
              <w:rPr>
                <w:rFonts w:hint="default" w:ascii="Times New Roman" w:hAnsi="Times New Roman" w:cs="Times New Roman"/>
                <w:color w:val="000000" w:themeColor="text1"/>
                <w:sz w:val="24"/>
                <w:lang w:val="en-US" w:eastAsia="zh-CN"/>
                <w14:textFill>
                  <w14:solidFill>
                    <w14:schemeClr w14:val="tx1"/>
                  </w14:solidFill>
                </w14:textFill>
              </w:rPr>
              <w:t>熔铝炉</w:t>
            </w:r>
            <w:r>
              <w:rPr>
                <w:rFonts w:hint="default" w:ascii="Times New Roman" w:hAnsi="Times New Roman" w:eastAsia="宋体" w:cs="Times New Roman"/>
                <w:color w:val="000000" w:themeColor="text1"/>
                <w:sz w:val="24"/>
                <w:lang w:val="en-US" w:eastAsia="zh-CN"/>
                <w14:textFill>
                  <w14:solidFill>
                    <w14:schemeClr w14:val="tx1"/>
                  </w14:solidFill>
                </w14:textFill>
              </w:rPr>
              <w:t>内保温待用，温度保持在600</w:t>
            </w:r>
            <w:r>
              <w:rPr>
                <w:rFonts w:hint="default" w:ascii="Times New Roman" w:hAnsi="Times New Roman" w:eastAsia="宋体" w:cs="Times New Roman"/>
                <w:color w:val="000000" w:themeColor="text1"/>
                <w:sz w:val="24"/>
                <w:lang w:eastAsia="zh-CN"/>
                <w14:textFill>
                  <w14:solidFill>
                    <w14:schemeClr w14:val="tx1"/>
                  </w14:solidFill>
                </w14:textFill>
              </w:rPr>
              <w:t>℃左右。此工序产生</w:t>
            </w:r>
            <w:r>
              <w:rPr>
                <w:rFonts w:hint="default" w:ascii="Times New Roman" w:hAnsi="Times New Roman" w:eastAsia="宋体" w:cs="Times New Roman"/>
                <w:color w:val="000000" w:themeColor="text1"/>
                <w:sz w:val="24"/>
                <w:lang w:val="en-US" w:eastAsia="zh-CN"/>
                <w14:textFill>
                  <w14:solidFill>
                    <w14:schemeClr w14:val="tx1"/>
                  </w14:solidFill>
                </w14:textFill>
              </w:rPr>
              <w:t>熔化烟尘</w:t>
            </w:r>
            <w:r>
              <w:rPr>
                <w:rFonts w:hint="default" w:ascii="Times New Roman" w:hAnsi="Times New Roman" w:eastAsia="宋体" w:cs="Times New Roman"/>
                <w:color w:val="000000" w:themeColor="text1"/>
                <w:sz w:val="24"/>
                <w:lang w:val="zh-CN" w:eastAsia="zh-CN"/>
                <w14:textFill>
                  <w14:solidFill>
                    <w14:schemeClr w14:val="tx1"/>
                  </w14:solidFill>
                </w14:textFill>
              </w:rPr>
              <w:t>G1</w:t>
            </w:r>
            <w:r>
              <w:rPr>
                <w:rFonts w:hint="default" w:ascii="Times New Roman" w:hAnsi="Times New Roman" w:eastAsia="宋体" w:cs="Times New Roman"/>
                <w:color w:val="000000" w:themeColor="text1"/>
                <w:sz w:val="24"/>
                <w:lang w:val="en-US" w:eastAsia="zh-CN"/>
                <w14:textFill>
                  <w14:solidFill>
                    <w14:schemeClr w14:val="tx1"/>
                  </w14:solidFill>
                </w14:textFill>
              </w:rPr>
              <w:t>，天然气燃烧废气G2，废</w:t>
            </w:r>
            <w:r>
              <w:rPr>
                <w:rFonts w:hint="default" w:ascii="Times New Roman" w:hAnsi="Times New Roman" w:cs="Times New Roman"/>
                <w:color w:val="000000" w:themeColor="text1"/>
                <w:sz w:val="24"/>
                <w:lang w:val="en-US" w:eastAsia="zh-CN"/>
                <w14:textFill>
                  <w14:solidFill>
                    <w14:schemeClr w14:val="tx1"/>
                  </w14:solidFill>
                </w14:textFill>
              </w:rPr>
              <w:t>铝灰渣</w:t>
            </w:r>
            <w:r>
              <w:rPr>
                <w:rFonts w:hint="default" w:ascii="Times New Roman" w:hAnsi="Times New Roman" w:eastAsia="宋体" w:cs="Times New Roman"/>
                <w:color w:val="000000" w:themeColor="text1"/>
                <w:sz w:val="24"/>
                <w:lang w:val="en-US" w:eastAsia="zh-CN"/>
                <w14:textFill>
                  <w14:solidFill>
                    <w14:schemeClr w14:val="tx1"/>
                  </w14:solidFill>
                </w14:textFill>
              </w:rPr>
              <w:t>S1</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熔化</w:t>
            </w:r>
            <w:r>
              <w:rPr>
                <w:rFonts w:hint="default" w:ascii="Times New Roman" w:hAnsi="Times New Roman" w:cs="Times New Roman"/>
                <w:color w:val="000000" w:themeColor="text1"/>
                <w:sz w:val="24"/>
                <w:lang w:val="en-US" w:eastAsia="zh-CN"/>
                <w14:textFill>
                  <w14:solidFill>
                    <w14:schemeClr w14:val="tx1"/>
                  </w14:solidFill>
                </w14:textFill>
              </w:rPr>
              <w:t>耐高温布袋除尘器收集的粉尘S2</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）压铸</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脱模</w:t>
            </w:r>
            <w:r>
              <w:rPr>
                <w:rFonts w:hint="default" w:ascii="Times New Roman" w:hAnsi="Times New Roman" w:eastAsia="宋体" w:cs="Times New Roman"/>
                <w:color w:val="000000" w:themeColor="text1"/>
                <w:sz w:val="24"/>
                <w14:textFill>
                  <w14:solidFill>
                    <w14:schemeClr w14:val="tx1"/>
                  </w14:solidFill>
                </w14:textFill>
              </w:rPr>
              <w:t>：将保温后的</w:t>
            </w:r>
            <w:r>
              <w:rPr>
                <w:rFonts w:hint="default" w:ascii="Times New Roman" w:hAnsi="Times New Roman" w:eastAsia="宋体" w:cs="Times New Roman"/>
                <w:color w:val="000000" w:themeColor="text1"/>
                <w:sz w:val="24"/>
                <w:lang w:eastAsia="zh-CN"/>
                <w14:textFill>
                  <w14:solidFill>
                    <w14:schemeClr w14:val="tx1"/>
                  </w14:solidFill>
                </w14:textFill>
              </w:rPr>
              <w:t>铝液通过压铸机配备的自动机械手</w:t>
            </w:r>
            <w:r>
              <w:rPr>
                <w:rFonts w:hint="default" w:ascii="Times New Roman" w:hAnsi="Times New Roman" w:eastAsia="宋体" w:cs="Times New Roman"/>
                <w:color w:val="000000" w:themeColor="text1"/>
                <w:sz w:val="24"/>
                <w:lang w:val="en-US" w:eastAsia="zh-CN"/>
                <w14:textFill>
                  <w14:solidFill>
                    <w14:schemeClr w14:val="tx1"/>
                  </w14:solidFill>
                </w14:textFill>
              </w:rPr>
              <w:t>送至压铸机料管中，然后进行压铸，利用高压将金属液高速压入精密金属模具型腔内，金属液在压力作用下冷却凝固而形成铸件</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项目压铸前需在模具内喷上</w:t>
            </w:r>
            <w:r>
              <w:rPr>
                <w:rFonts w:hint="default" w:ascii="Times New Roman" w:hAnsi="Times New Roman" w:cs="Times New Roman"/>
                <w:color w:val="000000" w:themeColor="text1"/>
                <w:sz w:val="24"/>
                <w:lang w:val="en-US" w:eastAsia="zh-CN"/>
                <w14:textFill>
                  <w14:solidFill>
                    <w14:schemeClr w14:val="tx1"/>
                  </w14:solidFill>
                </w14:textFill>
              </w:rPr>
              <w:t>水性</w:t>
            </w:r>
            <w:r>
              <w:rPr>
                <w:rFonts w:hint="default" w:ascii="Times New Roman" w:hAnsi="Times New Roman" w:eastAsia="宋体" w:cs="Times New Roman"/>
                <w:color w:val="000000" w:themeColor="text1"/>
                <w:sz w:val="24"/>
                <w:lang w:val="en-US" w:eastAsia="zh-CN"/>
                <w14:textFill>
                  <w14:solidFill>
                    <w14:schemeClr w14:val="tx1"/>
                  </w14:solidFill>
                </w14:textFill>
              </w:rPr>
              <w:t>脱模剂，以方便工件脱模，</w:t>
            </w:r>
            <w:r>
              <w:rPr>
                <w:rFonts w:hint="default" w:ascii="Times New Roman" w:hAnsi="Times New Roman" w:eastAsia="宋体" w:cs="Times New Roman"/>
                <w:color w:val="000000" w:themeColor="text1"/>
                <w:sz w:val="24"/>
                <w:lang w:eastAsia="zh-CN"/>
                <w14:textFill>
                  <w14:solidFill>
                    <w14:schemeClr w14:val="tx1"/>
                  </w14:solidFill>
                </w14:textFill>
              </w:rPr>
              <w:t>脱模剂与水进行配比，</w:t>
            </w:r>
            <w:r>
              <w:rPr>
                <w:rFonts w:hint="default" w:ascii="Times New Roman" w:hAnsi="Times New Roman" w:cs="Times New Roman"/>
                <w:color w:val="000000" w:themeColor="text1"/>
                <w:sz w:val="24"/>
                <w:lang w:val="en-US" w:eastAsia="zh-CN"/>
                <w14:textFill>
                  <w14:solidFill>
                    <w14:schemeClr w14:val="tx1"/>
                  </w14:solidFill>
                </w14:textFill>
              </w:rPr>
              <w:t>水性</w:t>
            </w:r>
            <w:r>
              <w:rPr>
                <w:rFonts w:hint="default" w:ascii="Times New Roman" w:hAnsi="Times New Roman" w:eastAsia="宋体" w:cs="Times New Roman"/>
                <w:color w:val="000000" w:themeColor="text1"/>
                <w:sz w:val="24"/>
                <w:lang w:eastAsia="zh-CN"/>
                <w14:textFill>
                  <w14:solidFill>
                    <w14:schemeClr w14:val="tx1"/>
                  </w14:solidFill>
                </w14:textFill>
              </w:rPr>
              <w:t>脱模剂：水</w:t>
            </w:r>
            <w:r>
              <w:rPr>
                <w:rFonts w:hint="default" w:ascii="Times New Roman" w:hAnsi="Times New Roman" w:eastAsia="宋体" w:cs="Times New Roman"/>
                <w:color w:val="000000" w:themeColor="text1"/>
                <w:sz w:val="24"/>
                <w:lang w:val="en-US" w:eastAsia="zh-CN"/>
                <w14:textFill>
                  <w14:solidFill>
                    <w14:schemeClr w14:val="tx1"/>
                  </w14:solidFill>
                </w14:textFill>
              </w:rPr>
              <w:t>=1:80。</w:t>
            </w:r>
            <w:r>
              <w:rPr>
                <w:rFonts w:hint="default" w:ascii="Times New Roman" w:hAnsi="Times New Roman" w:eastAsia="宋体" w:cs="Times New Roman"/>
                <w:color w:val="000000" w:themeColor="text1"/>
                <w:sz w:val="24"/>
                <w14:textFill>
                  <w14:solidFill>
                    <w14:schemeClr w14:val="tx1"/>
                  </w14:solidFill>
                </w14:textFill>
              </w:rPr>
              <w:t>冷却水通过冷却水塔对模具进行间接水冷。此工序会产生压铸及脱模废气G</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、压铸耐</w:t>
            </w:r>
            <w:r>
              <w:rPr>
                <w:rFonts w:hint="default" w:ascii="Times New Roman" w:hAnsi="Times New Roman" w:cs="Times New Roman"/>
                <w:color w:val="000000" w:themeColor="text1"/>
                <w:sz w:val="24"/>
                <w:lang w:val="en-US" w:eastAsia="zh-CN"/>
                <w14:textFill>
                  <w14:solidFill>
                    <w14:schemeClr w14:val="tx1"/>
                  </w14:solidFill>
                </w14:textFill>
              </w:rPr>
              <w:t>高温布袋除尘器收集的粉尘S2、油雾净化器收集的废油S3、废活性炭S4、</w:t>
            </w:r>
            <w:r>
              <w:rPr>
                <w:rFonts w:hint="default" w:ascii="Times New Roman" w:hAnsi="Times New Roman" w:eastAsia="宋体" w:cs="Times New Roman"/>
                <w:color w:val="000000" w:themeColor="text1"/>
                <w:sz w:val="24"/>
                <w:lang w:val="en-US" w:eastAsia="zh-CN"/>
                <w14:textFill>
                  <w14:solidFill>
                    <w14:schemeClr w14:val="tx1"/>
                  </w14:solidFill>
                </w14:textFill>
              </w:rPr>
              <w:t>废</w:t>
            </w:r>
            <w:r>
              <w:rPr>
                <w:rFonts w:hint="default" w:ascii="Times New Roman" w:hAnsi="Times New Roman" w:cs="Times New Roman"/>
                <w:color w:val="000000" w:themeColor="text1"/>
                <w:sz w:val="24"/>
                <w:lang w:val="en-US" w:eastAsia="zh-CN"/>
                <w14:textFill>
                  <w14:solidFill>
                    <w14:schemeClr w14:val="tx1"/>
                  </w14:solidFill>
                </w14:textFill>
              </w:rPr>
              <w:t>脱模剂油S5</w:t>
            </w:r>
            <w:r>
              <w:rPr>
                <w:rFonts w:hint="default" w:ascii="Times New Roman" w:hAnsi="Times New Roman" w:eastAsia="宋体" w:cs="Times New Roman"/>
                <w:color w:val="000000" w:themeColor="text1"/>
                <w:sz w:val="24"/>
                <w:lang w:val="en-US" w:eastAsia="zh-CN"/>
                <w14:textFill>
                  <w14:solidFill>
                    <w14:schemeClr w14:val="tx1"/>
                  </w14:solidFill>
                </w14:textFill>
              </w:rPr>
              <w:t>、废化学品包装桶S</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脱模剂配比水W1和</w:t>
            </w:r>
            <w:r>
              <w:rPr>
                <w:rFonts w:hint="default" w:ascii="Times New Roman" w:hAnsi="Times New Roman" w:eastAsia="宋体" w:cs="Times New Roman"/>
                <w:color w:val="000000" w:themeColor="text1"/>
                <w:sz w:val="24"/>
                <w:lang w:val="en-US" w:eastAsia="zh-CN"/>
                <w14:textFill>
                  <w14:solidFill>
                    <w14:schemeClr w14:val="tx1"/>
                  </w14:solidFill>
                </w14:textFill>
              </w:rPr>
              <w:t>循环冷却水W</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p>
          <w:p>
            <w:pPr>
              <w:pStyle w:val="38"/>
              <w:spacing w:line="360" w:lineRule="auto"/>
              <w:ind w:firstLine="48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根据企业提供资料，项目脱模剂通过设备自动配比后使用，脱模剂：水</w:t>
            </w:r>
            <w:r>
              <w:rPr>
                <w:rFonts w:hint="default" w:ascii="Times New Roman" w:hAnsi="Times New Roman" w:eastAsia="宋体" w:cs="Times New Roman"/>
                <w:color w:val="000000" w:themeColor="text1"/>
                <w:sz w:val="24"/>
                <w:lang w:val="en-US" w:eastAsia="zh-CN"/>
                <w14:textFill>
                  <w14:solidFill>
                    <w14:schemeClr w14:val="tx1"/>
                  </w14:solidFill>
                </w14:textFill>
              </w:rPr>
              <w:t>=1:80，脱模剂的主要成分为：54</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%水、31-32%硅油、5-6%有机酯类、5%异构醇、3%吐温80。</w:t>
            </w:r>
            <w:r>
              <w:rPr>
                <w:rFonts w:hint="default" w:ascii="Times New Roman" w:hAnsi="Times New Roman" w:eastAsia="宋体" w:cs="Times New Roman"/>
                <w:color w:val="000000" w:themeColor="text1"/>
                <w:sz w:val="24"/>
                <w:lang w:val="en-US" w:eastAsia="zh-CN"/>
                <w14:textFill>
                  <w14:solidFill>
                    <w14:schemeClr w14:val="tx1"/>
                  </w14:solidFill>
                </w14:textFill>
              </w:rPr>
              <w:t>在使用过程中部分因高温气化成废气，项目设置一个2.8×2.2×1m的油水分离池，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脱膜液经喷枪喷洒在模具内，未附着在模具上的脱模液收集经油水分离池处理后回用，油水分离池分离的废脱模剂油作危险废物处置。</w:t>
            </w:r>
          </w:p>
          <w:p>
            <w:pPr>
              <w:pStyle w:val="14"/>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）去毛刺水口</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抛光</w:t>
            </w:r>
            <w:r>
              <w:rPr>
                <w:rFonts w:hint="default" w:ascii="Times New Roman" w:hAnsi="Times New Roman" w:eastAsia="宋体" w:cs="Times New Roman"/>
                <w:color w:val="000000" w:themeColor="text1"/>
                <w:sz w:val="24"/>
                <w:lang w:eastAsia="zh-CN"/>
                <w14:textFill>
                  <w14:solidFill>
                    <w14:schemeClr w14:val="tx1"/>
                  </w14:solidFill>
                </w14:textFill>
              </w:rPr>
              <w:t>：利用油压切边机进行产品去料柄，再将去完料柄的产品进行利用</w:t>
            </w:r>
            <w:r>
              <w:rPr>
                <w:rFonts w:hint="default" w:ascii="Times New Roman" w:hAnsi="Times New Roman" w:cs="Times New Roman"/>
                <w:color w:val="000000" w:themeColor="text1"/>
                <w:sz w:val="24"/>
                <w:lang w:eastAsia="zh-CN"/>
                <w14:textFill>
                  <w14:solidFill>
                    <w14:schemeClr w14:val="tx1"/>
                  </w14:solidFill>
                </w14:textFill>
              </w:rPr>
              <w:t>砂磨抛光机</w:t>
            </w:r>
            <w:r>
              <w:rPr>
                <w:rFonts w:hint="default" w:ascii="Times New Roman" w:hAnsi="Times New Roman" w:eastAsia="宋体" w:cs="Times New Roman"/>
                <w:color w:val="000000" w:themeColor="text1"/>
                <w:sz w:val="24"/>
                <w:lang w:eastAsia="zh-CN"/>
                <w14:textFill>
                  <w14:solidFill>
                    <w14:schemeClr w14:val="tx1"/>
                  </w14:solidFill>
                </w14:textFill>
              </w:rPr>
              <w:t>进行打磨，去除飞边毛刺</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砂磨抛光机经自带的湿式除尘装置处理，湿式除尘废水经过滤装置过滤后循环使用，不外排，定期清理过滤装置中的滤渣。</w:t>
            </w:r>
            <w:r>
              <w:rPr>
                <w:rFonts w:hint="default" w:ascii="Times New Roman" w:hAnsi="Times New Roman" w:eastAsia="宋体" w:cs="Times New Roman"/>
                <w:color w:val="000000" w:themeColor="text1"/>
                <w:sz w:val="24"/>
                <w:lang w:val="en-US" w:eastAsia="zh-CN"/>
                <w14:textFill>
                  <w14:solidFill>
                    <w14:schemeClr w14:val="tx1"/>
                  </w14:solidFill>
                </w14:textFill>
              </w:rPr>
              <w:t>此工序产生G4</w:t>
            </w:r>
            <w:r>
              <w:rPr>
                <w:rFonts w:hint="default" w:ascii="Times New Roman" w:hAnsi="Times New Roman" w:cs="Times New Roman"/>
                <w:color w:val="000000" w:themeColor="text1"/>
                <w:sz w:val="24"/>
                <w:lang w:val="en-US" w:eastAsia="zh-CN"/>
                <w14:textFill>
                  <w14:solidFill>
                    <w14:schemeClr w14:val="tx1"/>
                  </w14:solidFill>
                </w14:textFill>
              </w:rPr>
              <w:t>抛光粉尘</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废边角料、</w:t>
            </w:r>
            <w:r>
              <w:rPr>
                <w:rFonts w:hint="default" w:ascii="Times New Roman" w:hAnsi="Times New Roman" w:eastAsia="宋体" w:cs="Times New Roman"/>
                <w:color w:val="000000" w:themeColor="text1"/>
                <w:sz w:val="24"/>
                <w:lang w:val="en-US" w:eastAsia="zh-CN"/>
                <w14:textFill>
                  <w14:solidFill>
                    <w14:schemeClr w14:val="tx1"/>
                  </w14:solidFill>
                </w14:textFill>
              </w:rPr>
              <w:t>废铝屑S</w:t>
            </w:r>
            <w:r>
              <w:rPr>
                <w:rFonts w:hint="default" w:ascii="Times New Roman" w:hAnsi="Times New Roman" w:cs="Times New Roman"/>
                <w:color w:val="000000" w:themeColor="text1"/>
                <w:sz w:val="24"/>
                <w:lang w:val="en-US" w:eastAsia="zh-CN"/>
                <w14:textFill>
                  <w14:solidFill>
                    <w14:schemeClr w14:val="tx1"/>
                  </w14:solidFill>
                </w14:textFill>
              </w:rPr>
              <w:t>7、废滤渣</w:t>
            </w:r>
            <w:r>
              <w:rPr>
                <w:rFonts w:hint="default" w:ascii="Times New Roman" w:hAnsi="Times New Roman" w:eastAsia="宋体" w:cs="Times New Roman"/>
                <w:color w:val="000000" w:themeColor="text1"/>
                <w:sz w:val="24"/>
                <w:lang w:val="en-US" w:eastAsia="zh-CN"/>
                <w14:textFill>
                  <w14:solidFill>
                    <w14:schemeClr w14:val="tx1"/>
                  </w14:solidFill>
                </w14:textFill>
              </w:rPr>
              <w:t>、废滤芯S</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和</w:t>
            </w:r>
            <w:r>
              <w:rPr>
                <w:rFonts w:hint="default" w:ascii="Times New Roman" w:hAnsi="Times New Roman" w:cs="Times New Roman"/>
                <w:color w:val="000000" w:themeColor="text1"/>
                <w:sz w:val="24"/>
                <w:lang w:val="en-US" w:eastAsia="zh-CN"/>
                <w14:textFill>
                  <w14:solidFill>
                    <w14:schemeClr w14:val="tx1"/>
                  </w14:solidFill>
                </w14:textFill>
              </w:rPr>
              <w:t>湿式除尘废水W3</w:t>
            </w:r>
            <w:r>
              <w:rPr>
                <w:rFonts w:hint="default" w:ascii="Times New Roman" w:hAnsi="Times New Roman" w:eastAsia="宋体" w:cs="Times New Roman"/>
                <w:color w:val="000000" w:themeColor="text1"/>
                <w:sz w:val="24"/>
                <w:lang w:val="en-US" w:eastAsia="zh-CN"/>
                <w14:textFill>
                  <w14:solidFill>
                    <w14:schemeClr w14:val="tx1"/>
                  </w14:solidFill>
                </w14:textFill>
              </w:rPr>
              <w:t>。产生的</w:t>
            </w:r>
            <w:r>
              <w:rPr>
                <w:rFonts w:hint="default" w:ascii="Times New Roman" w:hAnsi="Times New Roman" w:cs="Times New Roman"/>
                <w:color w:val="000000" w:themeColor="text1"/>
                <w:sz w:val="24"/>
                <w:lang w:val="en-US" w:eastAsia="zh-CN"/>
                <w14:textFill>
                  <w14:solidFill>
                    <w14:schemeClr w14:val="tx1"/>
                  </w14:solidFill>
                </w14:textFill>
              </w:rPr>
              <w:t>废边角料、</w:t>
            </w:r>
            <w:r>
              <w:rPr>
                <w:rFonts w:hint="default" w:ascii="Times New Roman" w:hAnsi="Times New Roman" w:eastAsia="宋体" w:cs="Times New Roman"/>
                <w:color w:val="000000" w:themeColor="text1"/>
                <w:sz w:val="24"/>
                <w:lang w:val="en-US" w:eastAsia="zh-CN"/>
                <w14:textFill>
                  <w14:solidFill>
                    <w14:schemeClr w14:val="tx1"/>
                  </w14:solidFill>
                </w14:textFill>
              </w:rPr>
              <w:t>废铝屑收集后送入</w:t>
            </w:r>
            <w:r>
              <w:rPr>
                <w:rFonts w:hint="default" w:ascii="Times New Roman" w:hAnsi="Times New Roman" w:cs="Times New Roman"/>
                <w:color w:val="000000" w:themeColor="text1"/>
                <w:sz w:val="24"/>
                <w:lang w:val="en-US" w:eastAsia="zh-CN"/>
                <w14:textFill>
                  <w14:solidFill>
                    <w14:schemeClr w14:val="tx1"/>
                  </w14:solidFill>
                </w14:textFill>
              </w:rPr>
              <w:t>熔铝炉</w:t>
            </w:r>
            <w:r>
              <w:rPr>
                <w:rFonts w:hint="default" w:ascii="Times New Roman" w:hAnsi="Times New Roman" w:eastAsia="宋体" w:cs="Times New Roman"/>
                <w:color w:val="000000" w:themeColor="text1"/>
                <w:sz w:val="24"/>
                <w:lang w:val="en-US" w:eastAsia="zh-CN"/>
                <w14:textFill>
                  <w14:solidFill>
                    <w14:schemeClr w14:val="tx1"/>
                  </w14:solidFill>
                </w14:textFill>
              </w:rPr>
              <w:t>回用。</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）铸件检验：机加工后的产品进行</w:t>
            </w:r>
            <w:r>
              <w:rPr>
                <w:rFonts w:hint="default" w:ascii="Times New Roman" w:hAnsi="Times New Roman" w:cs="Times New Roman"/>
                <w:color w:val="000000" w:themeColor="text1"/>
                <w:sz w:val="24"/>
                <w:lang w:val="en-US" w:eastAsia="zh-CN"/>
                <w14:textFill>
                  <w14:solidFill>
                    <w14:schemeClr w14:val="tx1"/>
                  </w14:solidFill>
                </w14:textFill>
              </w:rPr>
              <w:t>人工</w:t>
            </w:r>
            <w:r>
              <w:rPr>
                <w:rFonts w:hint="default" w:ascii="Times New Roman" w:hAnsi="Times New Roman" w:eastAsia="宋体" w:cs="Times New Roman"/>
                <w:color w:val="000000" w:themeColor="text1"/>
                <w:sz w:val="24"/>
                <w:lang w:val="en-US" w:eastAsia="zh-CN"/>
                <w14:textFill>
                  <w14:solidFill>
                    <w14:schemeClr w14:val="tx1"/>
                  </w14:solidFill>
                </w14:textFill>
              </w:rPr>
              <w:t>检验，此工序产生一定量的不合格品S</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lang w:val="en-US" w:eastAsia="zh-CN"/>
                <w14:textFill>
                  <w14:solidFill>
                    <w14:schemeClr w14:val="tx1"/>
                  </w14:solidFill>
                </w14:textFill>
              </w:rPr>
              <w:t>。不合格品收集后送入</w:t>
            </w:r>
            <w:r>
              <w:rPr>
                <w:rFonts w:hint="default" w:ascii="Times New Roman" w:hAnsi="Times New Roman" w:cs="Times New Roman"/>
                <w:color w:val="000000" w:themeColor="text1"/>
                <w:sz w:val="24"/>
                <w:lang w:val="en-US" w:eastAsia="zh-CN"/>
                <w14:textFill>
                  <w14:solidFill>
                    <w14:schemeClr w14:val="tx1"/>
                  </w14:solidFill>
                </w14:textFill>
              </w:rPr>
              <w:t>熔铝炉</w:t>
            </w:r>
            <w:r>
              <w:rPr>
                <w:rFonts w:hint="default" w:ascii="Times New Roman" w:hAnsi="Times New Roman" w:eastAsia="宋体" w:cs="Times New Roman"/>
                <w:color w:val="000000" w:themeColor="text1"/>
                <w:sz w:val="24"/>
                <w:lang w:val="en-US" w:eastAsia="zh-CN"/>
                <w14:textFill>
                  <w14:solidFill>
                    <w14:schemeClr w14:val="tx1"/>
                  </w14:solidFill>
                </w14:textFill>
              </w:rPr>
              <w:t>回用。</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）粗加工：利用数控机床、钻床进行粗加工</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）精加工：利用CNC加工中心对工件进行精加工</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机</w:t>
            </w:r>
            <w:r>
              <w:rPr>
                <w:rFonts w:hint="default" w:ascii="Times New Roman" w:hAnsi="Times New Roman" w:eastAsia="宋体" w:cs="Times New Roman"/>
                <w:color w:val="000000" w:themeColor="text1"/>
                <w:sz w:val="24"/>
                <w:lang w:val="en-US" w:eastAsia="zh-CN"/>
                <w14:textFill>
                  <w14:solidFill>
                    <w14:schemeClr w14:val="tx1"/>
                  </w14:solidFill>
                </w14:textFill>
              </w:rPr>
              <w:t>加工</w:t>
            </w:r>
            <w:r>
              <w:rPr>
                <w:rFonts w:hint="default" w:ascii="Times New Roman" w:hAnsi="Times New Roman" w:cs="Times New Roman"/>
                <w:color w:val="000000" w:themeColor="text1"/>
                <w:sz w:val="24"/>
                <w:lang w:val="en-US" w:eastAsia="zh-CN"/>
                <w14:textFill>
                  <w14:solidFill>
                    <w14:schemeClr w14:val="tx1"/>
                  </w14:solidFill>
                </w14:textFill>
              </w:rPr>
              <w:t>均为湿式作业，切削液与水配比使用</w:t>
            </w:r>
            <w:r>
              <w:rPr>
                <w:rFonts w:hint="default" w:ascii="Times New Roman" w:hAnsi="Times New Roman" w:eastAsia="宋体" w:cs="Times New Roman"/>
                <w:color w:val="000000" w:themeColor="text1"/>
                <w:sz w:val="24"/>
                <w:lang w:val="en-US" w:eastAsia="zh-CN"/>
                <w14:textFill>
                  <w14:solidFill>
                    <w14:schemeClr w14:val="tx1"/>
                  </w14:solidFill>
                </w14:textFill>
              </w:rPr>
              <w:t>，切削液：水=1:40。此工序产生废化学品包装桶S</w:t>
            </w:r>
            <w:r>
              <w:rPr>
                <w:rFonts w:hint="default" w:ascii="Times New Roman" w:hAnsi="Times New Roman" w:cs="Times New Roman"/>
                <w:color w:val="000000" w:themeColor="text1"/>
                <w:sz w:val="24"/>
                <w:lang w:val="en-US" w:eastAsia="zh-CN"/>
                <w14:textFill>
                  <w14:solidFill>
                    <w14:schemeClr w14:val="tx1"/>
                  </w14:solidFill>
                </w14:textFill>
              </w:rPr>
              <w:t>6、废边角料、废铝屑S7、废切削液</w:t>
            </w:r>
            <w:r>
              <w:rPr>
                <w:rFonts w:hint="default" w:ascii="Times New Roman" w:hAnsi="Times New Roman" w:eastAsia="宋体"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废机油</w:t>
            </w:r>
            <w:r>
              <w:rPr>
                <w:rFonts w:hint="default" w:ascii="Times New Roman" w:hAnsi="Times New Roman" w:eastAsia="宋体"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val="en-US" w:eastAsia="zh-CN"/>
                <w14:textFill>
                  <w14:solidFill>
                    <w14:schemeClr w14:val="tx1"/>
                  </w14:solidFill>
                </w14:textFill>
              </w:rPr>
              <w:t>10、含油铝屑</w:t>
            </w:r>
            <w:r>
              <w:rPr>
                <w:rFonts w:hint="default" w:ascii="Times New Roman" w:hAnsi="Times New Roman" w:eastAsia="宋体"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val="en-US" w:eastAsia="zh-CN"/>
                <w14:textFill>
                  <w14:solidFill>
                    <w14:schemeClr w14:val="tx1"/>
                  </w14:solidFill>
                </w14:textFill>
              </w:rPr>
              <w:t>11、含油木屑</w:t>
            </w:r>
            <w:r>
              <w:rPr>
                <w:rFonts w:hint="default" w:ascii="Times New Roman" w:hAnsi="Times New Roman" w:eastAsia="宋体" w:cs="Times New Roman"/>
                <w:color w:val="000000" w:themeColor="text1"/>
                <w:sz w:val="24"/>
                <w:lang w:val="en-US" w:eastAsia="zh-CN"/>
                <w14:textFill>
                  <w14:solidFill>
                    <w14:schemeClr w14:val="tx1"/>
                  </w14:solidFill>
                </w14:textFill>
              </w:rPr>
              <w:t>S1</w:t>
            </w:r>
            <w:r>
              <w:rPr>
                <w:rFonts w:hint="default" w:ascii="Times New Roman" w:hAnsi="Times New Roman" w:cs="Times New Roman"/>
                <w:color w:val="000000" w:themeColor="text1"/>
                <w:sz w:val="24"/>
                <w:lang w:val="en-US" w:eastAsia="zh-CN"/>
                <w14:textFill>
                  <w14:solidFill>
                    <w14:schemeClr w14:val="tx1"/>
                  </w14:solidFill>
                </w14:textFill>
              </w:rPr>
              <w:t>2和</w:t>
            </w:r>
            <w:r>
              <w:rPr>
                <w:rFonts w:hint="default" w:ascii="Times New Roman" w:hAnsi="Times New Roman" w:eastAsia="宋体" w:cs="Times New Roman"/>
                <w:color w:val="000000" w:themeColor="text1"/>
                <w:sz w:val="24"/>
                <w:lang w:val="en-US" w:eastAsia="zh-CN"/>
                <w14:textFill>
                  <w14:solidFill>
                    <w14:schemeClr w14:val="tx1"/>
                  </w14:solidFill>
                </w14:textFill>
              </w:rPr>
              <w:t>切削液配比水W</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）抛丸/光饰：根据企业提供资料，</w:t>
            </w:r>
            <w:r>
              <w:rPr>
                <w:rFonts w:hint="default" w:ascii="Times New Roman" w:hAnsi="Times New Roman" w:cs="Times New Roman"/>
                <w:color w:val="000000" w:themeColor="text1"/>
                <w:sz w:val="24"/>
                <w:lang w:val="en-US" w:eastAsia="zh-CN"/>
                <w14:textFill>
                  <w14:solidFill>
                    <w14:schemeClr w14:val="tx1"/>
                  </w14:solidFill>
                </w14:textFill>
              </w:rPr>
              <w:t>根据产品需要，</w:t>
            </w:r>
            <w:r>
              <w:rPr>
                <w:rFonts w:hint="default" w:ascii="Times New Roman" w:hAnsi="Times New Roman" w:eastAsia="宋体" w:cs="Times New Roman"/>
                <w:color w:val="000000" w:themeColor="text1"/>
                <w:sz w:val="24"/>
                <w:lang w:val="en-US" w:eastAsia="zh-CN"/>
                <w14:textFill>
                  <w14:solidFill>
                    <w14:schemeClr w14:val="tx1"/>
                  </w14:solidFill>
                </w14:textFill>
              </w:rPr>
              <w:t>项目产品抛丸、光饰工序二选一，其中约有</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%产品进行光饰处理，其余产品进行抛丸处理</w:t>
            </w:r>
            <w:r>
              <w:rPr>
                <w:rFonts w:hint="default" w:ascii="Times New Roman" w:hAnsi="Times New Roman" w:cs="Times New Roman"/>
                <w:color w:val="000000" w:themeColor="text1"/>
                <w:sz w:val="24"/>
                <w:lang w:val="en-US" w:eastAsia="zh-CN"/>
                <w14:textFill>
                  <w14:solidFill>
                    <w14:schemeClr w14:val="tx1"/>
                  </w14:solidFill>
                </w14:textFill>
              </w:rPr>
              <w:t>。抛丸工序是</w:t>
            </w:r>
            <w:r>
              <w:rPr>
                <w:rFonts w:hint="default" w:ascii="Times New Roman" w:hAnsi="Times New Roman" w:eastAsia="宋体" w:cs="Times New Roman"/>
                <w:color w:val="000000" w:themeColor="text1"/>
                <w:sz w:val="24"/>
                <w:lang w:val="en-US" w:eastAsia="zh-CN"/>
                <w14:textFill>
                  <w14:solidFill>
                    <w14:schemeClr w14:val="tx1"/>
                  </w14:solidFill>
                </w14:textFill>
              </w:rPr>
              <w:t>利用抛丸机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对铸件表面进行物理打磨抛光，使铸件表面粗糙度降低，以获得光亮、平整表面，利用</w:t>
            </w:r>
            <w:r>
              <w:rPr>
                <w:rFonts w:hint="default" w:ascii="Times New Roman" w:hAnsi="Times New Roman" w:eastAsia="宋体" w:cs="Times New Roman"/>
                <w:color w:val="000000" w:themeColor="text1"/>
                <w:sz w:val="24"/>
                <w:lang w:val="en-US" w:eastAsia="zh-CN"/>
                <w14:textFill>
                  <w14:solidFill>
                    <w14:schemeClr w14:val="tx1"/>
                  </w14:solidFill>
                </w14:textFill>
              </w:rPr>
              <w:t>振动光饰机对工件表面进行抛光</w:t>
            </w:r>
            <w:r>
              <w:rPr>
                <w:rFonts w:hint="default" w:ascii="Times New Roman" w:hAnsi="Times New Roman" w:cs="Times New Roman"/>
                <w:color w:val="000000" w:themeColor="text1"/>
                <w:sz w:val="24"/>
                <w:lang w:val="en-US" w:eastAsia="zh-CN"/>
                <w14:textFill>
                  <w14:solidFill>
                    <w14:schemeClr w14:val="tx1"/>
                  </w14:solidFill>
                </w14:textFill>
              </w:rPr>
              <w:t>和去毛刺</w:t>
            </w:r>
            <w:r>
              <w:rPr>
                <w:rFonts w:hint="default" w:ascii="Times New Roman" w:hAnsi="Times New Roman" w:eastAsia="宋体" w:cs="Times New Roman"/>
                <w:color w:val="000000" w:themeColor="text1"/>
                <w:sz w:val="24"/>
                <w:lang w:val="en-US" w:eastAsia="zh-CN"/>
                <w14:textFill>
                  <w14:solidFill>
                    <w14:schemeClr w14:val="tx1"/>
                  </w14:solidFill>
                </w14:textFill>
              </w:rPr>
              <w:t>，提高表面强度</w:t>
            </w:r>
            <w:r>
              <w:rPr>
                <w:rFonts w:hint="default" w:ascii="Times New Roman" w:hAnsi="Times New Roman" w:cs="Times New Roman"/>
                <w:color w:val="000000" w:themeColor="text1"/>
                <w:sz w:val="24"/>
                <w:lang w:val="en-US" w:eastAsia="zh-CN"/>
                <w14:textFill>
                  <w14:solidFill>
                    <w14:schemeClr w14:val="tx1"/>
                  </w14:solidFill>
                </w14:textFill>
              </w:rPr>
              <w:t>；项目光</w:t>
            </w:r>
            <w:r>
              <w:rPr>
                <w:rFonts w:hint="default" w:ascii="Times New Roman" w:hAnsi="Times New Roman" w:cs="Times New Roman"/>
                <w:color w:val="000000" w:themeColor="text1"/>
                <w:sz w:val="24"/>
                <w:szCs w:val="24"/>
                <w:lang w:val="en-US" w:eastAsia="zh-CN"/>
                <w14:textFill>
                  <w14:solidFill>
                    <w14:schemeClr w14:val="tx1"/>
                  </w14:solidFill>
                </w14:textFill>
              </w:rPr>
              <w:t>饰采用湿式加工，振动研磨剂：水=1:40，故无粉尘产生。光饰</w:t>
            </w:r>
            <w:r>
              <w:rPr>
                <w:rFonts w:hint="default" w:ascii="Times New Roman" w:hAnsi="Times New Roman" w:cs="Times New Roman"/>
                <w:color w:val="000000" w:themeColor="text1"/>
                <w:sz w:val="24"/>
                <w:szCs w:val="24"/>
                <w:lang w:eastAsia="zh-CN"/>
                <w14:textFill>
                  <w14:solidFill>
                    <w14:schemeClr w14:val="tx1"/>
                  </w14:solidFill>
                </w14:textFill>
              </w:rPr>
              <w:t>工序是</w:t>
            </w:r>
            <w:r>
              <w:rPr>
                <w:rFonts w:hint="default" w:ascii="Times New Roman" w:hAnsi="Times New Roman" w:cs="Times New Roman"/>
                <w:color w:val="000000" w:themeColor="text1"/>
                <w:sz w:val="24"/>
                <w:szCs w:val="24"/>
                <w:lang w:val="en-US" w:eastAsia="zh-CN"/>
                <w14:textFill>
                  <w14:solidFill>
                    <w14:schemeClr w14:val="tx1"/>
                  </w14:solidFill>
                </w14:textFill>
              </w:rPr>
              <w:t>将一定比例的工件、振动研磨剂、钢丸和清水放在光饰机的容器中，依靠容器的周期性振动，使工件和钢丸运动并相互磨削而达到去毛刺的目的。光饰废水经自建污水处理设施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此工序产生抛丸粉尘G</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废化学品包装桶S</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废钢丸S</w:t>
            </w:r>
            <w:r>
              <w:rPr>
                <w:rFonts w:hint="default" w:ascii="Times New Roman" w:hAnsi="Times New Roman" w:cs="Times New Roman"/>
                <w:color w:val="000000" w:themeColor="text1"/>
                <w:sz w:val="24"/>
                <w:szCs w:val="24"/>
                <w:lang w:val="en-US" w:eastAsia="zh-CN"/>
                <w14:textFill>
                  <w14:solidFill>
                    <w14:schemeClr w14:val="tx1"/>
                  </w14:solidFill>
                </w14:textFill>
              </w:rPr>
              <w:t>13、污泥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w:t>
            </w:r>
            <w:r>
              <w:rPr>
                <w:rFonts w:hint="default" w:ascii="Times New Roman" w:hAnsi="Times New Roman" w:cs="Times New Roman"/>
                <w:color w:val="000000" w:themeColor="text1"/>
                <w:sz w:val="24"/>
                <w:szCs w:val="24"/>
                <w:lang w:val="en-US" w:eastAsia="zh-CN"/>
                <w14:textFill>
                  <w14:solidFill>
                    <w14:schemeClr w14:val="tx1"/>
                  </w14:solidFill>
                </w14:textFill>
              </w:rPr>
              <w:t>14、废包装材料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w:t>
            </w:r>
            <w:r>
              <w:rPr>
                <w:rFonts w:hint="default" w:ascii="Times New Roman" w:hAnsi="Times New Roman" w:cs="Times New Roman"/>
                <w:color w:val="000000" w:themeColor="text1"/>
                <w:sz w:val="24"/>
                <w:szCs w:val="24"/>
                <w:lang w:val="en-US" w:eastAsia="zh-CN"/>
                <w14:textFill>
                  <w14:solidFill>
                    <w14:schemeClr w14:val="tx1"/>
                  </w14:solidFill>
                </w14:textFill>
              </w:rPr>
              <w:t>15、抛丸除尘装置收集的粉尘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w:t>
            </w:r>
            <w:r>
              <w:rPr>
                <w:rFonts w:hint="default"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w:t>
            </w:r>
            <w:r>
              <w:rPr>
                <w:rFonts w:hint="default" w:ascii="Times New Roman" w:hAnsi="Times New Roman" w:cs="Times New Roman"/>
                <w:color w:val="000000" w:themeColor="text1"/>
                <w:sz w:val="24"/>
                <w:szCs w:val="24"/>
                <w:lang w:val="en-US" w:eastAsia="zh-CN"/>
                <w14:textFill>
                  <w14:solidFill>
                    <w14:schemeClr w14:val="tx1"/>
                  </w14:solidFill>
                </w14:textFill>
              </w:rPr>
              <w:t>光饰废水W5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线切割加工、氧化、着色：项目线切割加工、氧化、着色工序均委外处理，本环评不做分析。</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氧化、着色</w:t>
            </w:r>
            <w:r>
              <w:rPr>
                <w:rFonts w:hint="default" w:ascii="Times New Roman" w:hAnsi="Times New Roman" w:cs="Times New Roman"/>
                <w:color w:val="000000" w:themeColor="text1"/>
                <w:sz w:val="24"/>
                <w:lang w:val="en-US" w:eastAsia="zh-CN"/>
                <w14:textFill>
                  <w14:solidFill>
                    <w14:schemeClr w14:val="tx1"/>
                  </w14:solidFill>
                </w14:textFill>
              </w:rPr>
              <w:t>原理：</w:t>
            </w:r>
            <w:r>
              <w:rPr>
                <w:rFonts w:hint="default" w:ascii="Times New Roman" w:hAnsi="Times New Roman" w:eastAsia="Arial" w:cs="Times New Roman"/>
                <w:i w:val="0"/>
                <w:iCs w:val="0"/>
                <w:caps w:val="0"/>
                <w:color w:val="000000" w:themeColor="text1"/>
                <w:spacing w:val="0"/>
                <w:sz w:val="24"/>
                <w:szCs w:val="24"/>
                <w:shd w:val="clear" w:fill="FFFFFF"/>
                <w14:textFill>
                  <w14:solidFill>
                    <w14:schemeClr w14:val="tx1"/>
                  </w14:solidFill>
                </w14:textFill>
              </w:rPr>
              <w:t>将铝的工件悬于适当的电解质溶液内，以此作阳极进行电解。在电解过程中，水中的氢氧根离子在阳极放出电子成为水和新生态的氧，它使铝氧化成较厚的氧化铝膜，因为这个过程是金属制品作阳极被氧化的，所以叫做阳极氧化。铝制品经阳极氧化后，表面形成了能吸附，以共价键或氢键等键型键合而成有色络合物，出现色泽。</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lang w:val="en-US" w:eastAsia="zh-CN"/>
                <w14:textFill>
                  <w14:solidFill>
                    <w14:schemeClr w14:val="tx1"/>
                  </w14:solidFill>
                </w14:textFill>
              </w:rPr>
              <w:t>）成品</w:t>
            </w:r>
            <w:r>
              <w:rPr>
                <w:rFonts w:hint="default" w:ascii="Times New Roman" w:hAnsi="Times New Roman" w:cs="Times New Roman"/>
                <w:color w:val="000000" w:themeColor="text1"/>
                <w:sz w:val="24"/>
                <w:lang w:val="en-US" w:eastAsia="zh-CN"/>
                <w14:textFill>
                  <w14:solidFill>
                    <w14:schemeClr w14:val="tx1"/>
                  </w14:solidFill>
                </w14:textFill>
              </w:rPr>
              <w:t>检验</w:t>
            </w:r>
            <w:r>
              <w:rPr>
                <w:rFonts w:hint="default" w:ascii="Times New Roman" w:hAnsi="Times New Roman" w:eastAsia="宋体" w:cs="Times New Roman"/>
                <w:color w:val="000000" w:themeColor="text1"/>
                <w:sz w:val="24"/>
                <w:lang w:val="en-US" w:eastAsia="zh-CN"/>
                <w14:textFill>
                  <w14:solidFill>
                    <w14:schemeClr w14:val="tx1"/>
                  </w14:solidFill>
                </w14:textFill>
              </w:rPr>
              <w:t>入库：对产品检验后包装入库。</w:t>
            </w:r>
            <w:r>
              <w:rPr>
                <w:rFonts w:hint="default" w:ascii="Times New Roman" w:hAnsi="Times New Roman" w:cs="Times New Roman"/>
                <w:color w:val="000000" w:themeColor="text1"/>
                <w:sz w:val="24"/>
                <w:lang w:val="en-US" w:eastAsia="zh-CN"/>
                <w14:textFill>
                  <w14:solidFill>
                    <w14:schemeClr w14:val="tx1"/>
                  </w14:solidFill>
                </w14:textFill>
              </w:rPr>
              <w:t>此工序产生不合格品S9。</w:t>
            </w:r>
          </w:p>
          <w:p>
            <w:pPr>
              <w:pStyle w:val="38"/>
              <w:snapToGrid w:val="0"/>
              <w:spacing w:line="360" w:lineRule="auto"/>
              <w:ind w:firstLine="482" w:firstLineChars="200"/>
              <w:jc w:val="both"/>
              <w:rPr>
                <w:rFonts w:hint="default" w:ascii="Times New Roman" w:hAnsi="Times New Roman" w:cs="Times New Roman"/>
                <w:b/>
                <w:bCs/>
                <w:color w:val="000000" w:themeColor="text1"/>
                <w:lang w:val="en-US" w:eastAsia="zh-CN" w:bidi="ar"/>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2、模具开发产品制造工艺流程简述</w:t>
            </w:r>
          </w:p>
          <w:p>
            <w:pPr>
              <w:pStyle w:val="38"/>
              <w:spacing w:line="360" w:lineRule="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根据企业提供资料，项目模具开发产品制造工艺进行委外处理，故本环评不做分析。</w:t>
            </w:r>
          </w:p>
          <w:p>
            <w:pPr>
              <w:pStyle w:val="38"/>
              <w:snapToGrid w:val="0"/>
              <w:spacing w:line="360" w:lineRule="auto"/>
              <w:ind w:firstLine="482" w:firstLineChars="200"/>
              <w:jc w:val="both"/>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b/>
                <w:bCs/>
                <w:color w:val="000000" w:themeColor="text1"/>
                <w:lang w:val="en-US" w:eastAsia="zh-CN" w:bidi="ar"/>
                <w14:textFill>
                  <w14:solidFill>
                    <w14:schemeClr w14:val="tx1"/>
                  </w14:solidFill>
                </w14:textFill>
              </w:rPr>
              <w:t>3</w:t>
            </w:r>
            <w:r>
              <w:rPr>
                <w:rFonts w:hint="default" w:ascii="Times New Roman" w:hAnsi="Times New Roman" w:eastAsia="宋体" w:cs="Times New Roman"/>
                <w:b/>
                <w:bCs/>
                <w:color w:val="000000" w:themeColor="text1"/>
                <w:lang w:val="en-US" w:eastAsia="zh-CN" w:bidi="ar"/>
                <w14:textFill>
                  <w14:solidFill>
                    <w14:schemeClr w14:val="tx1"/>
                  </w14:solidFill>
                </w14:textFill>
              </w:rPr>
              <w:t>、营运期</w:t>
            </w: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污染因子分析</w:t>
            </w: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表2-</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10</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本项目主要污染工序及污染因子一览表</w:t>
            </w:r>
          </w:p>
          <w:tbl>
            <w:tblPr>
              <w:tblStyle w:val="32"/>
              <w:tblW w:w="8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332"/>
              <w:gridCol w:w="2315"/>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pPr>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类别</w:t>
                  </w:r>
                </w:p>
              </w:tc>
              <w:tc>
                <w:tcPr>
                  <w:tcW w:w="2332" w:type="dxa"/>
                  <w:vAlign w:val="center"/>
                </w:tcPr>
                <w:p>
                  <w:pPr>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污染工序</w:t>
                  </w:r>
                </w:p>
              </w:tc>
              <w:tc>
                <w:tcPr>
                  <w:tcW w:w="2315" w:type="dxa"/>
                  <w:vAlign w:val="center"/>
                </w:tcPr>
                <w:p>
                  <w:pPr>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产生工序</w:t>
                  </w:r>
                </w:p>
              </w:tc>
              <w:tc>
                <w:tcPr>
                  <w:tcW w:w="2529" w:type="dxa"/>
                  <w:vAlign w:val="center"/>
                </w:tcPr>
                <w:p>
                  <w:pPr>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G1</w:t>
                  </w:r>
                </w:p>
              </w:tc>
              <w:tc>
                <w:tcPr>
                  <w:tcW w:w="2315"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p>
              </w:tc>
              <w:tc>
                <w:tcPr>
                  <w:tcW w:w="2529"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G2</w:t>
                  </w:r>
                </w:p>
              </w:tc>
              <w:tc>
                <w:tcPr>
                  <w:tcW w:w="2315"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天然气燃烧</w:t>
                  </w:r>
                </w:p>
              </w:tc>
              <w:tc>
                <w:tcPr>
                  <w:tcW w:w="2529"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SO</w:t>
                  </w:r>
                  <w:r>
                    <w:rPr>
                      <w:rFonts w:hint="default" w:ascii="Times New Roman" w:hAnsi="Times New Roman" w:cs="Times New Roman"/>
                      <w:color w:val="000000" w:themeColor="text1"/>
                      <w:szCs w:val="21"/>
                      <w:vertAlign w:val="sub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G3</w:t>
                  </w:r>
                </w:p>
              </w:tc>
              <w:tc>
                <w:tcPr>
                  <w:tcW w:w="2315"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压铸、脱膜</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G4</w:t>
                  </w:r>
                </w:p>
              </w:tc>
              <w:tc>
                <w:tcPr>
                  <w:tcW w:w="2315"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抛光</w:t>
                  </w:r>
                </w:p>
              </w:tc>
              <w:tc>
                <w:tcPr>
                  <w:tcW w:w="2529"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G5</w:t>
                  </w:r>
                </w:p>
              </w:tc>
              <w:tc>
                <w:tcPr>
                  <w:tcW w:w="2315" w:type="dxa"/>
                  <w:vAlign w:val="center"/>
                </w:tcPr>
                <w:p>
                  <w:pPr>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抛丸</w:t>
                  </w:r>
                </w:p>
              </w:tc>
              <w:tc>
                <w:tcPr>
                  <w:tcW w:w="252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2332" w:type="dxa"/>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w:t>
                  </w:r>
                </w:p>
              </w:tc>
              <w:tc>
                <w:tcPr>
                  <w:tcW w:w="2315"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生活污水</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r>
                    <w:rPr>
                      <w:rFonts w:hint="default" w:ascii="Times New Roman" w:hAnsi="Times New Roman" w:cs="Times New Roman"/>
                      <w:color w:val="000000" w:themeColor="text1"/>
                      <w14:textFill>
                        <w14:solidFill>
                          <w14:schemeClr w14:val="tx1"/>
                        </w14:solidFill>
                      </w14:textFill>
                    </w:rPr>
                    <w:t>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、SS、氨</w:t>
                  </w:r>
                  <w:r>
                    <w:rPr>
                      <w:rFonts w:hint="default" w:ascii="Times New Roman" w:hAnsi="Times New Roman" w:cs="Times New Roman"/>
                      <w:color w:val="000000" w:themeColor="text1"/>
                      <w:lang w:val="en-US" w:eastAsia="zh-CN"/>
                      <w14:textFill>
                        <w14:solidFill>
                          <w14:schemeClr w14:val="tx1"/>
                        </w14:solidFill>
                      </w14:textFill>
                    </w:rPr>
                    <w:t>氮、TP、</w:t>
                  </w:r>
                  <w:r>
                    <w:rPr>
                      <w:rFonts w:hint="default" w:ascii="Times New Roman" w:hAnsi="Times New Roman" w:eastAsia="宋体" w:cs="Times New Roman"/>
                      <w:color w:val="000000" w:themeColor="text1"/>
                      <w:lang w:eastAsia="zh-CN"/>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W1</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脱模剂配比水</w:t>
                  </w:r>
                </w:p>
              </w:tc>
              <w:tc>
                <w:tcPr>
                  <w:tcW w:w="2529"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、SS、氨</w:t>
                  </w:r>
                  <w:r>
                    <w:rPr>
                      <w:rFonts w:hint="default" w:ascii="Times New Roman" w:hAnsi="Times New Roman" w:cs="Times New Roman"/>
                      <w:color w:val="000000" w:themeColor="text1"/>
                      <w:lang w:val="en-US" w:eastAsia="zh-CN"/>
                      <w14:textFill>
                        <w14:solidFill>
                          <w14:schemeClr w14:val="tx1"/>
                        </w14:solidFill>
                      </w14:textFill>
                    </w:rPr>
                    <w:t>氮、TP、石油类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W2</w:t>
                  </w:r>
                </w:p>
              </w:tc>
              <w:tc>
                <w:tcPr>
                  <w:tcW w:w="2315"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循环冷却水</w:t>
                  </w:r>
                </w:p>
              </w:tc>
              <w:tc>
                <w:tcPr>
                  <w:tcW w:w="2529"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SS、</w:t>
                  </w:r>
                  <w:r>
                    <w:rPr>
                      <w:rFonts w:hint="default" w:ascii="Times New Roman" w:hAnsi="Times New Roman" w:cs="Times New Roman"/>
                      <w:color w:val="000000" w:themeColor="text1"/>
                      <w14:textFill>
                        <w14:solidFill>
                          <w14:schemeClr w14:val="tx1"/>
                        </w14:solidFill>
                      </w14:textFill>
                    </w:rPr>
                    <w:t>氨</w:t>
                  </w:r>
                  <w:r>
                    <w:rPr>
                      <w:rFonts w:hint="default" w:ascii="Times New Roman" w:hAnsi="Times New Roman" w:cs="Times New Roman"/>
                      <w:color w:val="000000" w:themeColor="text1"/>
                      <w:lang w:val="en-US" w:eastAsia="zh-CN"/>
                      <w14:textFill>
                        <w14:solidFill>
                          <w14:schemeClr w14:val="tx1"/>
                        </w14:solidFill>
                      </w14:textFill>
                    </w:rPr>
                    <w:t>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9"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噪声</w:t>
                  </w:r>
                </w:p>
              </w:tc>
              <w:tc>
                <w:tcPr>
                  <w:tcW w:w="23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设备运行</w:t>
                  </w:r>
                </w:p>
              </w:tc>
              <w:tc>
                <w:tcPr>
                  <w:tcW w:w="2315"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设备噪声</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9" w:type="dxa"/>
                  <w:vMerge w:val="restar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固废</w:t>
                  </w:r>
                </w:p>
              </w:tc>
              <w:tc>
                <w:tcPr>
                  <w:tcW w:w="2332" w:type="dxa"/>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S1</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熔化</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铝灰渣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S2</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废气治理</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压铸耐高温布袋除尘器收集的粉尘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S3</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废气治理</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油雾净化器收集的废油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S4</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废气治理</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S5</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原料使用</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废脱模剂油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S6</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原料使用</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废化学品包装桶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S7</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机加工</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废边角料、废铝屑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S8</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湿式除尘器</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废滤渣、废滤芯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S9</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机加工</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废切削液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S10</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机加工</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S11</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机加工</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含油铝屑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S12</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车间清洁</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含油木屑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S13</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抛丸、光饰</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废钢丸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S14</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废水治理</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S15</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原料使用</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S16</w:t>
                  </w:r>
                </w:p>
              </w:tc>
              <w:tc>
                <w:tcPr>
                  <w:tcW w:w="2315"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废气治理</w:t>
                  </w:r>
                </w:p>
              </w:tc>
              <w:tc>
                <w:tcPr>
                  <w:tcW w:w="252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抛丸除尘装置收集的粉尘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2332"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S</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19</w:t>
                  </w:r>
                </w:p>
              </w:tc>
              <w:tc>
                <w:tcPr>
                  <w:tcW w:w="2315"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员工生活</w:t>
                  </w:r>
                </w:p>
              </w:tc>
              <w:tc>
                <w:tcPr>
                  <w:tcW w:w="2529"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生活垃圾</w:t>
                  </w:r>
                </w:p>
              </w:tc>
            </w:tr>
          </w:tbl>
          <w:p>
            <w:pPr>
              <w:widowControl/>
              <w:adjustRightInd w:val="0"/>
              <w:snapToGrid w:val="0"/>
              <w:spacing w:line="360" w:lineRule="auto"/>
              <w:jc w:val="left"/>
              <w:rPr>
                <w:rFonts w:hint="default" w:ascii="Times New Roman" w:hAnsi="Times New Roman" w:cs="Times New Roman"/>
                <w:b/>
                <w:bCs/>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3" w:hRule="atLeast"/>
        </w:trPr>
        <w:tc>
          <w:tcPr>
            <w:tcW w:w="453" w:type="dxa"/>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与项目有关的原有环境污染问题</w:t>
            </w:r>
          </w:p>
        </w:tc>
        <w:tc>
          <w:tcPr>
            <w:tcW w:w="8891" w:type="dxa"/>
            <w:noWrap w:val="0"/>
            <w:vAlign w:val="center"/>
          </w:tcPr>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本项目位于安徽省六安市舒城县龙津大道光世集团院内，租赁</w:t>
            </w:r>
            <w:r>
              <w:rPr>
                <w:rFonts w:hint="default" w:ascii="Times New Roman" w:hAnsi="Times New Roman" w:cs="Times New Roman"/>
                <w:color w:val="000000" w:themeColor="text1"/>
                <w:sz w:val="24"/>
                <w:szCs w:val="24"/>
                <w:lang w:val="en-US" w:eastAsia="zh-CN"/>
                <w14:textFill>
                  <w14:solidFill>
                    <w14:schemeClr w14:val="tx1"/>
                  </w14:solidFill>
                </w14:textFill>
              </w:rPr>
              <w:t>安徽光世门业有限公司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厂房占地面积（1500m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）作为生产车间，</w:t>
            </w:r>
            <w:r>
              <w:rPr>
                <w:rFonts w:hint="default" w:ascii="Times New Roman" w:hAnsi="Times New Roman" w:cs="Times New Roman"/>
                <w:color w:val="000000" w:themeColor="text1"/>
                <w:sz w:val="24"/>
                <w:szCs w:val="24"/>
                <w:lang w:val="en-US" w:eastAsia="zh-CN"/>
                <w14:textFill>
                  <w14:solidFill>
                    <w14:schemeClr w14:val="tx1"/>
                  </w14:solidFill>
                </w14:textFill>
              </w:rPr>
              <w:t>安徽光世门业有限公司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成立于20</w:t>
            </w:r>
            <w:r>
              <w:rPr>
                <w:rFonts w:hint="default" w:ascii="Times New Roman" w:hAnsi="Times New Roman" w:cs="Times New Roman"/>
                <w:color w:val="000000" w:themeColor="text1"/>
                <w:sz w:val="24"/>
                <w:szCs w:val="24"/>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号，根据现场调查，在本项目入驻前该厂房为空置，故不存在与本项目有关的原有污染情况及主要环境问题。</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安徽光世门业有限公司旗下安徽光世门业销售有限公司</w:t>
            </w:r>
            <w:r>
              <w:rPr>
                <w:rFonts w:hint="default" w:ascii="Times New Roman" w:hAnsi="Times New Roman" w:cs="Times New Roman"/>
                <w:color w:val="000000" w:themeColor="text1"/>
                <w:sz w:val="24"/>
                <w14:textFill>
                  <w14:solidFill>
                    <w14:schemeClr w14:val="tx1"/>
                  </w14:solidFill>
                </w14:textFill>
              </w:rPr>
              <w:t>于20</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年1</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日经舒城县环境保护局批复，批复文号为舒环管【201</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14:textFill>
                  <w14:solidFill>
                    <w14:schemeClr w14:val="tx1"/>
                  </w14:solidFill>
                </w14:textFill>
              </w:rPr>
              <w:t>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2017年5月25日获得舒城县环境保护局验收批复，批复文号为</w:t>
            </w:r>
            <w:r>
              <w:rPr>
                <w:rFonts w:hint="default" w:ascii="Times New Roman" w:hAnsi="Times New Roman" w:cs="Times New Roman"/>
                <w:color w:val="000000" w:themeColor="text1"/>
                <w:sz w:val="24"/>
                <w14:textFill>
                  <w14:solidFill>
                    <w14:schemeClr w14:val="tx1"/>
                  </w14:solidFill>
                </w14:textFill>
              </w:rPr>
              <w:t>舒环管【201</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71</w:t>
            </w:r>
            <w:r>
              <w:rPr>
                <w:rFonts w:hint="default" w:ascii="Times New Roman" w:hAnsi="Times New Roman" w:cs="Times New Roman"/>
                <w:color w:val="000000" w:themeColor="text1"/>
                <w:sz w:val="24"/>
                <w14:textFill>
                  <w14:solidFill>
                    <w14:schemeClr w14:val="tx1"/>
                  </w14:solidFill>
                </w14:textFill>
              </w:rPr>
              <w:t>号。根据现场调查，</w:t>
            </w:r>
            <w:r>
              <w:rPr>
                <w:rFonts w:hint="default" w:ascii="Times New Roman" w:hAnsi="Times New Roman" w:cs="Times New Roman"/>
                <w:color w:val="000000" w:themeColor="text1"/>
                <w:sz w:val="24"/>
                <w:szCs w:val="24"/>
                <w:lang w:val="en-US" w:eastAsia="zh-CN"/>
                <w14:textFill>
                  <w14:solidFill>
                    <w14:schemeClr w14:val="tx1"/>
                  </w14:solidFill>
                </w14:textFill>
              </w:rPr>
              <w:t>安徽光世门业有限公司</w:t>
            </w:r>
            <w:r>
              <w:rPr>
                <w:rFonts w:hint="default" w:ascii="Times New Roman" w:hAnsi="Times New Roman" w:cs="Times New Roman"/>
                <w:color w:val="000000" w:themeColor="text1"/>
                <w:sz w:val="24"/>
                <w14:textFill>
                  <w14:solidFill>
                    <w14:schemeClr w14:val="tx1"/>
                  </w14:solidFill>
                </w14:textFill>
              </w:rPr>
              <w:t>内的雨污管网、化粪池等基础设施已建设完善。</w:t>
            </w:r>
          </w:p>
          <w:p>
            <w:pPr>
              <w:spacing w:line="360" w:lineRule="auto"/>
              <w:ind w:firstLine="420" w:firstLineChars="200"/>
              <w:rPr>
                <w:rFonts w:hint="default" w:ascii="Times New Roman" w:hAnsi="Times New Roman" w:cs="Times New Roman"/>
                <w:color w:val="000000" w:themeColor="text1"/>
                <w:lang w:val="en-US" w:eastAsia="zh-CN"/>
                <w14:textFill>
                  <w14:solidFill>
                    <w14:schemeClr w14:val="tx1"/>
                  </w14:solidFill>
                </w14:textFill>
              </w:rPr>
            </w:pPr>
          </w:p>
        </w:tc>
      </w:tr>
    </w:tbl>
    <w:p>
      <w:pPr>
        <w:pStyle w:val="29"/>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6" w:type="default"/>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tabs>
          <w:tab w:val="left" w:pos="270"/>
          <w:tab w:val="center" w:pos="4422"/>
        </w:tabs>
        <w:spacing w:before="0" w:beforeAutospacing="0" w:after="0" w:afterAutospacing="0"/>
        <w:jc w:val="center"/>
        <w:outlineLvl w:val="0"/>
        <w:rPr>
          <w:rFonts w:hint="default" w:ascii="Times New Roman" w:hAnsi="Times New Roman" w:eastAsia="宋体" w:cs="Times New Roman"/>
          <w:b/>
          <w:snapToGrid w:val="0"/>
          <w:color w:val="000000" w:themeColor="text1"/>
          <w:sz w:val="30"/>
          <w:szCs w:val="30"/>
          <w14:textFill>
            <w14:solidFill>
              <w14:schemeClr w14:val="tx1"/>
            </w14:solidFill>
          </w14:textFill>
        </w:rPr>
      </w:pPr>
      <w:r>
        <w:rPr>
          <w:rFonts w:hint="default" w:ascii="Times New Roman" w:hAnsi="Times New Roman" w:eastAsia="宋体" w:cs="Times New Roman"/>
          <w:b/>
          <w:snapToGrid w:val="0"/>
          <w:color w:val="000000" w:themeColor="text1"/>
          <w:sz w:val="30"/>
          <w:szCs w:val="30"/>
          <w14:textFill>
            <w14:solidFill>
              <w14:schemeClr w14:val="tx1"/>
            </w14:solidFill>
          </w14:textFill>
        </w:rPr>
        <w:t>三、区域环境质量现状、环境保护目标及评价标准</w:t>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dxa"/>
            <w:noWrap w:val="0"/>
            <w:vAlign w:val="center"/>
          </w:tcPr>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区域</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质量</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现状</w:t>
            </w:r>
          </w:p>
        </w:tc>
        <w:tc>
          <w:tcPr>
            <w:tcW w:w="8635" w:type="dxa"/>
            <w:noWrap w:val="0"/>
            <w:vAlign w:val="top"/>
          </w:tcPr>
          <w:p>
            <w:pPr>
              <w:adjustRightInd w:val="0"/>
              <w:spacing w:before="120" w:beforeLines="5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w:t>
            </w:r>
            <w:r>
              <w:rPr>
                <w:rFonts w:hint="default" w:ascii="Times New Roman" w:hAnsi="Times New Roman" w:cs="Times New Roman"/>
                <w:b/>
                <w:bCs/>
                <w:color w:val="000000" w:themeColor="text1"/>
                <w:sz w:val="24"/>
                <w14:textFill>
                  <w14:solidFill>
                    <w14:schemeClr w14:val="tx1"/>
                  </w14:solidFill>
                </w14:textFill>
              </w:rPr>
              <w:t>大气环境质量现状</w:t>
            </w:r>
          </w:p>
          <w:p>
            <w:pPr>
              <w:autoSpaceDE w:val="0"/>
              <w:spacing w:line="360" w:lineRule="auto"/>
              <w:ind w:firstLine="480" w:firstLineChars="200"/>
              <w:rPr>
                <w:rFonts w:hint="default" w:ascii="Times New Roman" w:hAnsi="Times New Roman" w:cs="Times New Roman"/>
                <w:bCs/>
                <w:color w:val="000000" w:themeColor="text1"/>
                <w:kern w:val="1"/>
                <w:sz w:val="24"/>
                <w:szCs w:val="24"/>
                <w14:textFill>
                  <w14:solidFill>
                    <w14:schemeClr w14:val="tx1"/>
                  </w14:solidFill>
                </w14:textFill>
              </w:rPr>
            </w:pPr>
            <w:r>
              <w:rPr>
                <w:rFonts w:hint="default" w:ascii="Times New Roman" w:hAnsi="Times New Roman" w:cs="Times New Roman"/>
                <w:bCs/>
                <w:color w:val="000000" w:themeColor="text1"/>
                <w:kern w:val="1"/>
                <w:sz w:val="24"/>
                <w:szCs w:val="24"/>
                <w14:textFill>
                  <w14:solidFill>
                    <w14:schemeClr w14:val="tx1"/>
                  </w14:solidFill>
                </w14:textFill>
              </w:rPr>
              <w:t>（</w:t>
            </w:r>
            <w:r>
              <w:rPr>
                <w:rFonts w:hint="default" w:ascii="Times New Roman" w:hAnsi="Times New Roman" w:cs="Times New Roman"/>
                <w:bCs/>
                <w:color w:val="000000" w:themeColor="text1"/>
                <w:kern w:val="1"/>
                <w:sz w:val="24"/>
                <w:szCs w:val="24"/>
                <w:lang w:val="en-US" w:eastAsia="zh-CN"/>
                <w14:textFill>
                  <w14:solidFill>
                    <w14:schemeClr w14:val="tx1"/>
                  </w14:solidFill>
                </w14:textFill>
              </w:rPr>
              <w:t>1</w:t>
            </w:r>
            <w:r>
              <w:rPr>
                <w:rFonts w:hint="default" w:ascii="Times New Roman" w:hAnsi="Times New Roman" w:cs="Times New Roman"/>
                <w:bCs/>
                <w:color w:val="000000" w:themeColor="text1"/>
                <w:kern w:val="1"/>
                <w:sz w:val="24"/>
                <w:szCs w:val="24"/>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基本污染物</w:t>
            </w:r>
            <w:r>
              <w:rPr>
                <w:rFonts w:hint="default" w:ascii="Times New Roman" w:hAnsi="Times New Roman" w:cs="Times New Roman"/>
                <w:bCs/>
                <w:color w:val="000000" w:themeColor="text1"/>
                <w:kern w:val="1"/>
                <w:sz w:val="24"/>
                <w:szCs w:val="24"/>
                <w14:textFill>
                  <w14:solidFill>
                    <w14:schemeClr w14:val="tx1"/>
                  </w14:solidFill>
                </w14:textFill>
              </w:rPr>
              <w:t>环境空气质量现状</w:t>
            </w:r>
          </w:p>
          <w:p>
            <w:pPr>
              <w:pStyle w:val="91"/>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本项目所在区域大气基本污染物（因子为SO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、CO、O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）环境质量现状引用安徽省空气质量监测站点（舒城县站点）202</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年全年年均值监测数据。</w:t>
            </w:r>
          </w:p>
          <w:p>
            <w:pPr>
              <w:pStyle w:val="38"/>
              <w:keepNext w:val="0"/>
              <w:keepLines w:val="0"/>
              <w:pageBreakBefore w:val="0"/>
              <w:widowControl w:val="0"/>
              <w:kinsoku/>
              <w:wordWrap/>
              <w:overflowPunct/>
              <w:topLinePunct w:val="0"/>
              <w:autoSpaceDE w:val="0"/>
              <w:autoSpaceDN w:val="0"/>
              <w:bidi w:val="0"/>
              <w:adjustRightInd w:val="0"/>
              <w:snapToGrid/>
              <w:spacing w:before="313" w:beforeLines="100"/>
              <w:ind w:firstLine="482"/>
              <w:jc w:val="center"/>
              <w:textAlignment w:val="auto"/>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表3-1 区域环境空气质量现状监测结果（以最大值计）  单位：μg/m</w:t>
            </w:r>
            <w:r>
              <w:rPr>
                <w:rFonts w:hint="default" w:ascii="Times New Roman" w:hAnsi="Times New Roman" w:eastAsia="宋体" w:cs="Times New Roman"/>
                <w:b/>
                <w:color w:val="000000" w:themeColor="text1"/>
                <w:kern w:val="0"/>
                <w:sz w:val="24"/>
                <w:szCs w:val="20"/>
                <w:vertAlign w:val="superscript"/>
                <w:lang w:val="en-US" w:eastAsia="zh-CN" w:bidi="ar-SA"/>
                <w14:textFill>
                  <w14:solidFill>
                    <w14:schemeClr w14:val="tx1"/>
                  </w14:solidFill>
                </w14:textFill>
              </w:rPr>
              <w:t>3</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2159"/>
              <w:gridCol w:w="1106"/>
              <w:gridCol w:w="1418"/>
              <w:gridCol w:w="153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shd w:val="clear" w:color="auto" w:fill="FFFFFF"/>
                  <w:noWrap w:val="0"/>
                  <w:vAlign w:val="center"/>
                </w:tcPr>
                <w:p>
                  <w:pPr>
                    <w:pStyle w:val="38"/>
                    <w:ind w:firstLine="0"/>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站点</w:t>
                  </w:r>
                </w:p>
              </w:tc>
              <w:tc>
                <w:tcPr>
                  <w:tcW w:w="1286" w:type="pct"/>
                  <w:shd w:val="clear" w:color="auto" w:fill="FFFFFF"/>
                  <w:noWrap w:val="0"/>
                  <w:vAlign w:val="center"/>
                </w:tcPr>
                <w:p>
                  <w:pPr>
                    <w:pStyle w:val="38"/>
                    <w:ind w:firstLine="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659" w:type="pct"/>
                  <w:shd w:val="clear" w:color="auto" w:fill="FFFFFF"/>
                  <w:noWrap w:val="0"/>
                  <w:vAlign w:val="center"/>
                </w:tcPr>
                <w:p>
                  <w:pPr>
                    <w:pStyle w:val="38"/>
                    <w:ind w:firstLine="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845" w:type="pct"/>
                  <w:shd w:val="clear" w:color="auto" w:fill="FFFFFF"/>
                  <w:noWrap w:val="0"/>
                  <w:vAlign w:val="center"/>
                </w:tcPr>
                <w:p>
                  <w:pPr>
                    <w:pStyle w:val="38"/>
                    <w:ind w:firstLine="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17" w:type="pct"/>
                  <w:shd w:val="clear" w:color="auto" w:fill="FFFFFF"/>
                  <w:noWrap w:val="0"/>
                  <w:vAlign w:val="center"/>
                </w:tcPr>
                <w:p>
                  <w:pPr>
                    <w:pStyle w:val="38"/>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p>
                  <w:pPr>
                    <w:pStyle w:val="38"/>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84" w:type="pct"/>
                  <w:shd w:val="clear" w:color="auto" w:fill="FFFFFF"/>
                  <w:noWrap w:val="0"/>
                  <w:vAlign w:val="center"/>
                </w:tcPr>
                <w:p>
                  <w:pPr>
                    <w:widowControl/>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vMerge w:val="restar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舒城县站点</w:t>
                  </w:r>
                </w:p>
              </w:tc>
              <w:tc>
                <w:tcPr>
                  <w:tcW w:w="1286"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SO</w:t>
                  </w:r>
                  <w:r>
                    <w:rPr>
                      <w:rFonts w:hint="default" w:ascii="Times New Roman" w:hAnsi="Times New Roman" w:cs="Times New Roman"/>
                      <w:color w:val="000000" w:themeColor="text1"/>
                      <w:kern w:val="0"/>
                      <w:szCs w:val="21"/>
                      <w:vertAlign w:val="subscript"/>
                      <w14:textFill>
                        <w14:solidFill>
                          <w14:schemeClr w14:val="tx1"/>
                        </w14:solidFill>
                      </w14:textFill>
                    </w:rPr>
                    <w:t>2</w:t>
                  </w:r>
                </w:p>
              </w:tc>
              <w:tc>
                <w:tcPr>
                  <w:tcW w:w="659" w:type="pct"/>
                  <w:vMerge w:val="restar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202</w:t>
                  </w:r>
                  <w:r>
                    <w:rPr>
                      <w:rFonts w:hint="default" w:ascii="Times New Roman" w:hAnsi="Times New Roman" w:cs="Times New Roman"/>
                      <w:color w:val="000000" w:themeColor="text1"/>
                      <w:kern w:val="0"/>
                      <w:szCs w:val="21"/>
                      <w:lang w:val="en-US" w:eastAsia="zh-CN"/>
                      <w14:textFill>
                        <w14:solidFill>
                          <w14:schemeClr w14:val="tx1"/>
                        </w14:solidFill>
                      </w14:textFill>
                    </w:rPr>
                    <w:t>3</w:t>
                  </w:r>
                  <w:r>
                    <w:rPr>
                      <w:rFonts w:hint="default" w:ascii="Times New Roman" w:hAnsi="Times New Roman" w:cs="Times New Roman"/>
                      <w:color w:val="000000" w:themeColor="text1"/>
                      <w:kern w:val="0"/>
                      <w:szCs w:val="21"/>
                      <w14:textFill>
                        <w14:solidFill>
                          <w14:schemeClr w14:val="tx1"/>
                        </w14:solidFill>
                      </w14:textFill>
                    </w:rPr>
                    <w:t>年</w:t>
                  </w:r>
                </w:p>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年均值</w:t>
                  </w:r>
                </w:p>
              </w:tc>
              <w:tc>
                <w:tcPr>
                  <w:tcW w:w="845" w:type="pct"/>
                  <w:shd w:val="clear" w:color="auto" w:fill="FFFFFF"/>
                  <w:noWrap w:val="0"/>
                  <w:vAlign w:val="center"/>
                </w:tcPr>
                <w:p>
                  <w:pPr>
                    <w:widowControl/>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6</w:t>
                  </w:r>
                </w:p>
              </w:tc>
              <w:tc>
                <w:tcPr>
                  <w:tcW w:w="917"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60</w:t>
                  </w:r>
                </w:p>
              </w:tc>
              <w:tc>
                <w:tcPr>
                  <w:tcW w:w="984"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1286"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NO</w:t>
                  </w:r>
                  <w:r>
                    <w:rPr>
                      <w:rFonts w:hint="default" w:ascii="Times New Roman" w:hAnsi="Times New Roman" w:cs="Times New Roman"/>
                      <w:color w:val="000000" w:themeColor="text1"/>
                      <w:kern w:val="0"/>
                      <w:szCs w:val="21"/>
                      <w:vertAlign w:val="subscript"/>
                      <w14:textFill>
                        <w14:solidFill>
                          <w14:schemeClr w14:val="tx1"/>
                        </w14:solidFill>
                      </w14:textFill>
                    </w:rPr>
                    <w:t>2</w:t>
                  </w:r>
                </w:p>
              </w:tc>
              <w:tc>
                <w:tcPr>
                  <w:tcW w:w="659"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845" w:type="pct"/>
                  <w:shd w:val="clear" w:color="auto" w:fill="FFFFFF"/>
                  <w:noWrap w:val="0"/>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23</w:t>
                  </w:r>
                </w:p>
              </w:tc>
              <w:tc>
                <w:tcPr>
                  <w:tcW w:w="917"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40</w:t>
                  </w:r>
                </w:p>
              </w:tc>
              <w:tc>
                <w:tcPr>
                  <w:tcW w:w="984"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1286"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PM</w:t>
                  </w:r>
                  <w:r>
                    <w:rPr>
                      <w:rFonts w:hint="default" w:ascii="Times New Roman" w:hAnsi="Times New Roman" w:cs="Times New Roman"/>
                      <w:color w:val="000000" w:themeColor="text1"/>
                      <w:kern w:val="0"/>
                      <w:szCs w:val="21"/>
                      <w:vertAlign w:val="subscript"/>
                      <w14:textFill>
                        <w14:solidFill>
                          <w14:schemeClr w14:val="tx1"/>
                        </w14:solidFill>
                      </w14:textFill>
                    </w:rPr>
                    <w:t>10</w:t>
                  </w:r>
                </w:p>
              </w:tc>
              <w:tc>
                <w:tcPr>
                  <w:tcW w:w="659"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845" w:type="pct"/>
                  <w:shd w:val="clear" w:color="auto" w:fill="FFFFFF"/>
                  <w:noWrap w:val="0"/>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55</w:t>
                  </w:r>
                </w:p>
              </w:tc>
              <w:tc>
                <w:tcPr>
                  <w:tcW w:w="917"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70</w:t>
                  </w:r>
                </w:p>
              </w:tc>
              <w:tc>
                <w:tcPr>
                  <w:tcW w:w="984"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1286"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CO-95</w:t>
                  </w:r>
                </w:p>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百分位(mg/m³)</w:t>
                  </w:r>
                </w:p>
              </w:tc>
              <w:tc>
                <w:tcPr>
                  <w:tcW w:w="659"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845" w:type="pct"/>
                  <w:shd w:val="clear" w:color="auto" w:fill="FFFFFF"/>
                  <w:noWrap w:val="0"/>
                  <w:vAlign w:val="center"/>
                </w:tcPr>
                <w:p>
                  <w:pPr>
                    <w:widowControl/>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w:t>
                  </w:r>
                  <w:r>
                    <w:rPr>
                      <w:rFonts w:hint="default" w:ascii="Times New Roman" w:hAnsi="Times New Roman" w:cs="Times New Roman"/>
                      <w:color w:val="000000" w:themeColor="text1"/>
                      <w:kern w:val="0"/>
                      <w:szCs w:val="21"/>
                      <w:lang w:val="en-US" w:eastAsia="zh-CN"/>
                      <w14:textFill>
                        <w14:solidFill>
                          <w14:schemeClr w14:val="tx1"/>
                        </w14:solidFill>
                      </w14:textFill>
                    </w:rPr>
                    <w:t>9</w:t>
                  </w:r>
                </w:p>
              </w:tc>
              <w:tc>
                <w:tcPr>
                  <w:tcW w:w="917"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w:t>
                  </w:r>
                </w:p>
              </w:tc>
              <w:tc>
                <w:tcPr>
                  <w:tcW w:w="984"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1286"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O</w:t>
                  </w:r>
                  <w:r>
                    <w:rPr>
                      <w:rFonts w:hint="default" w:ascii="Times New Roman" w:hAnsi="Times New Roman" w:cs="Times New Roman"/>
                      <w:color w:val="000000" w:themeColor="text1"/>
                      <w:kern w:val="0"/>
                      <w:szCs w:val="21"/>
                      <w:vertAlign w:val="subscript"/>
                      <w14:textFill>
                        <w14:solidFill>
                          <w14:schemeClr w14:val="tx1"/>
                        </w14:solidFill>
                      </w14:textFill>
                    </w:rPr>
                    <w:t>3</w:t>
                  </w:r>
                  <w:r>
                    <w:rPr>
                      <w:rFonts w:hint="default" w:ascii="Times New Roman" w:hAnsi="Times New Roman" w:cs="Times New Roman"/>
                      <w:color w:val="000000" w:themeColor="text1"/>
                      <w:kern w:val="0"/>
                      <w:szCs w:val="21"/>
                      <w14:textFill>
                        <w14:solidFill>
                          <w14:schemeClr w14:val="tx1"/>
                        </w14:solidFill>
                      </w14:textFill>
                    </w:rPr>
                    <w:t>-8H-90百分位</w:t>
                  </w:r>
                </w:p>
              </w:tc>
              <w:tc>
                <w:tcPr>
                  <w:tcW w:w="659"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845" w:type="pct"/>
                  <w:shd w:val="clear" w:color="auto" w:fill="FFFFFF"/>
                  <w:noWrap w:val="0"/>
                  <w:vAlign w:val="center"/>
                </w:tcPr>
                <w:p>
                  <w:pPr>
                    <w:widowControl/>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14</w:t>
                  </w:r>
                  <w:r>
                    <w:rPr>
                      <w:rFonts w:hint="default" w:ascii="Times New Roman" w:hAnsi="Times New Roman" w:cs="Times New Roman"/>
                      <w:color w:val="000000" w:themeColor="text1"/>
                      <w:kern w:val="0"/>
                      <w:szCs w:val="21"/>
                      <w:lang w:val="en-US" w:eastAsia="zh-CN"/>
                      <w14:textFill>
                        <w14:solidFill>
                          <w14:schemeClr w14:val="tx1"/>
                        </w14:solidFill>
                      </w14:textFill>
                    </w:rPr>
                    <w:t>0</w:t>
                  </w:r>
                </w:p>
              </w:tc>
              <w:tc>
                <w:tcPr>
                  <w:tcW w:w="917"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160</w:t>
                  </w:r>
                </w:p>
              </w:tc>
              <w:tc>
                <w:tcPr>
                  <w:tcW w:w="984"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5"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1286"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PM</w:t>
                  </w:r>
                  <w:r>
                    <w:rPr>
                      <w:rFonts w:hint="default" w:ascii="Times New Roman" w:hAnsi="Times New Roman" w:cs="Times New Roman"/>
                      <w:color w:val="000000" w:themeColor="text1"/>
                      <w:kern w:val="0"/>
                      <w:szCs w:val="21"/>
                      <w:vertAlign w:val="subscript"/>
                      <w14:textFill>
                        <w14:solidFill>
                          <w14:schemeClr w14:val="tx1"/>
                        </w14:solidFill>
                      </w14:textFill>
                    </w:rPr>
                    <w:t>2.5</w:t>
                  </w:r>
                </w:p>
              </w:tc>
              <w:tc>
                <w:tcPr>
                  <w:tcW w:w="659" w:type="pct"/>
                  <w:vMerge w:val="continue"/>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845" w:type="pct"/>
                  <w:shd w:val="clear" w:color="auto" w:fill="FFFFFF"/>
                  <w:noWrap w:val="0"/>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31</w:t>
                  </w:r>
                </w:p>
              </w:tc>
              <w:tc>
                <w:tcPr>
                  <w:tcW w:w="917"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35</w:t>
                  </w:r>
                </w:p>
              </w:tc>
              <w:tc>
                <w:tcPr>
                  <w:tcW w:w="984" w:type="pct"/>
                  <w:shd w:val="clear" w:color="auto" w:fill="FFFFFF"/>
                  <w:noWrap w:val="0"/>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达标</w:t>
                  </w:r>
                </w:p>
              </w:tc>
            </w:tr>
          </w:tbl>
          <w:p>
            <w:pPr>
              <w:pStyle w:val="91"/>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由上表可知，本项目所在区域大气基本污染物满足《环境空气质量标准》（GB3095-2012）中二级标准要求，项目所在区域为达标区。</w:t>
            </w:r>
          </w:p>
          <w:p>
            <w:pPr>
              <w:numPr>
                <w:ilvl w:val="0"/>
                <w:numId w:val="0"/>
              </w:numPr>
              <w:snapToGrid w:val="0"/>
              <w:spacing w:line="360" w:lineRule="auto"/>
              <w:ind w:leftChars="200"/>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2）特征污染物环境质量现状</w:t>
            </w:r>
            <w:r>
              <w:rPr>
                <w:rFonts w:hint="default" w:ascii="Times New Roman" w:hAnsi="Times New Roman" w:cs="Times New Roman"/>
                <w:b/>
                <w:bCs/>
                <w:color w:val="000000" w:themeColor="text1"/>
                <w:sz w:val="24"/>
                <w:lang w:eastAsia="zh-CN"/>
                <w14:textFill>
                  <w14:solidFill>
                    <w14:schemeClr w14:val="tx1"/>
                  </w14:solidFill>
                </w14:textFill>
              </w:rPr>
              <w:t xml:space="preserve"> </w:t>
            </w:r>
          </w:p>
          <w:p>
            <w:pPr>
              <w:spacing w:line="360" w:lineRule="auto"/>
              <w:ind w:firstLine="48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为了解区域大气环境质量现状，TSP监测数据引用《</w:t>
            </w:r>
            <w:r>
              <w:rPr>
                <w:rFonts w:hint="default" w:ascii="Times New Roman" w:hAnsi="Times New Roman" w:eastAsia="宋体" w:cs="Times New Roman"/>
                <w:color w:val="000000" w:themeColor="text1"/>
                <w:sz w:val="24"/>
                <w:szCs w:val="24"/>
                <w:lang w:eastAsia="zh-CN"/>
                <w14:textFill>
                  <w14:solidFill>
                    <w14:schemeClr w14:val="tx1"/>
                  </w14:solidFill>
                </w14:textFill>
              </w:rPr>
              <w:t>舒城快乐豆儿童用品有限公司舒城快乐豆儿童用品项目</w:t>
            </w:r>
            <w:r>
              <w:rPr>
                <w:rFonts w:hint="default" w:ascii="Times New Roman" w:hAnsi="Times New Roman" w:eastAsia="宋体" w:cs="Times New Roman"/>
                <w:color w:val="000000" w:themeColor="text1"/>
                <w:sz w:val="24"/>
                <w:szCs w:val="24"/>
                <w14:textFill>
                  <w14:solidFill>
                    <w14:schemeClr w14:val="tx1"/>
                  </w14:solidFill>
                </w14:textFill>
              </w:rPr>
              <w:t>环境影响报告</w:t>
            </w:r>
            <w:r>
              <w:rPr>
                <w:rFonts w:hint="default" w:ascii="Times New Roman" w:hAnsi="Times New Roman" w:eastAsia="宋体" w:cs="Times New Roman"/>
                <w:color w:val="000000" w:themeColor="text1"/>
                <w:sz w:val="24"/>
                <w:szCs w:val="24"/>
                <w:lang w:eastAsia="zh-CN"/>
                <w14:textFill>
                  <w14:solidFill>
                    <w14:schemeClr w14:val="tx1"/>
                  </w14:solidFill>
                </w14:textFill>
              </w:rPr>
              <w:t>表</w:t>
            </w:r>
            <w:r>
              <w:rPr>
                <w:rFonts w:hint="default" w:ascii="Times New Roman" w:hAnsi="Times New Roman" w:eastAsia="宋体" w:cs="Times New Roman"/>
                <w:color w:val="000000" w:themeColor="text1"/>
                <w:sz w:val="24"/>
                <w:szCs w:val="24"/>
                <w14:textFill>
                  <w14:solidFill>
                    <w14:schemeClr w14:val="tx1"/>
                  </w14:solidFill>
                </w14:textFill>
              </w:rPr>
              <w:t>》中的环境空气质量现状监测数据，监测点位位于本项目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lang w:eastAsia="zh-CN"/>
                <w14:textFill>
                  <w14:solidFill>
                    <w14:schemeClr w14:val="tx1"/>
                  </w14:solidFill>
                </w14:textFill>
              </w:rPr>
              <w:t>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3.9 km</w:t>
            </w:r>
            <w:r>
              <w:rPr>
                <w:rFonts w:hint="default" w:ascii="Times New Roman" w:hAnsi="Times New Roman" w:eastAsia="宋体" w:cs="Times New Roman"/>
                <w:color w:val="000000" w:themeColor="text1"/>
                <w:sz w:val="24"/>
                <w:szCs w:val="24"/>
                <w14:textFill>
                  <w14:solidFill>
                    <w14:schemeClr w14:val="tx1"/>
                  </w14:solidFill>
                </w14:textFill>
              </w:rPr>
              <w:t>，监测时间为202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日~</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日，监测时间在3年内，引用数据满足要求。监</w:t>
            </w:r>
            <w:r>
              <w:rPr>
                <w:rFonts w:hint="default" w:ascii="Times New Roman" w:hAnsi="Times New Roman" w:cs="Times New Roman"/>
                <w:color w:val="000000" w:themeColor="text1"/>
                <w:sz w:val="24"/>
                <w:szCs w:val="24"/>
                <w14:textFill>
                  <w14:solidFill>
                    <w14:schemeClr w14:val="tx1"/>
                  </w14:solidFill>
                </w14:textFill>
              </w:rPr>
              <w:t>测结果详见下表。</w:t>
            </w:r>
          </w:p>
          <w:p>
            <w:pPr>
              <w:pStyle w:val="38"/>
              <w:keepNext w:val="0"/>
              <w:keepLines w:val="0"/>
              <w:pageBreakBefore w:val="0"/>
              <w:widowControl w:val="0"/>
              <w:kinsoku/>
              <w:wordWrap/>
              <w:overflowPunct/>
              <w:topLinePunct w:val="0"/>
              <w:autoSpaceDE w:val="0"/>
              <w:autoSpaceDN w:val="0"/>
              <w:bidi w:val="0"/>
              <w:adjustRightInd w:val="0"/>
              <w:snapToGrid/>
              <w:spacing w:before="313" w:beforeLines="100"/>
              <w:ind w:firstLine="482"/>
              <w:jc w:val="center"/>
              <w:textAlignment w:val="auto"/>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表3-2</w:t>
            </w: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ab/>
            </w:r>
            <w:r>
              <w:rPr>
                <w:rFonts w:hint="default" w:ascii="Times New Roman" w:hAnsi="Times New Roman" w:cs="Times New Roman"/>
                <w:b/>
                <w:color w:val="000000" w:themeColor="text1"/>
                <w:kern w:val="0"/>
                <w:sz w:val="24"/>
                <w:szCs w:val="20"/>
                <w:lang w:val="en-US" w:eastAsia="zh-CN" w:bidi="ar-SA"/>
                <w14:textFill>
                  <w14:solidFill>
                    <w14:schemeClr w14:val="tx1"/>
                  </w14:solidFill>
                </w14:textFill>
              </w:rPr>
              <w:t>特征污染物环境质量现状</w:t>
            </w: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监测结果</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755"/>
              <w:gridCol w:w="1748"/>
              <w:gridCol w:w="1749"/>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26" w:type="pct"/>
                  <w:vAlign w:val="center"/>
                </w:tcPr>
                <w:p>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检测项目</w:t>
                  </w:r>
                </w:p>
              </w:tc>
              <w:tc>
                <w:tcPr>
                  <w:tcW w:w="1046" w:type="pct"/>
                  <w:vAlign w:val="center"/>
                </w:tcPr>
                <w:p>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采样日期</w:t>
                  </w:r>
                </w:p>
              </w:tc>
              <w:tc>
                <w:tcPr>
                  <w:tcW w:w="1042" w:type="pct"/>
                  <w:vAlign w:val="center"/>
                </w:tcPr>
                <w:p>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采样点位</w:t>
                  </w:r>
                </w:p>
              </w:tc>
              <w:tc>
                <w:tcPr>
                  <w:tcW w:w="1042" w:type="pct"/>
                  <w:vAlign w:val="center"/>
                </w:tcPr>
                <w:p>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检测结果（mg/m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c>
                <w:tcPr>
                  <w:tcW w:w="1042" w:type="pct"/>
                  <w:vAlign w:val="center"/>
                </w:tcPr>
                <w:p>
                  <w:pPr>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标准值</w:t>
                  </w:r>
                </w:p>
                <w:p>
                  <w:pPr>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w:t>
                  </w:r>
                  <w:r>
                    <w:rPr>
                      <w:rFonts w:hint="default" w:ascii="Times New Roman" w:hAnsi="Times New Roman" w:eastAsia="宋体" w:cs="Times New Roman"/>
                      <w:b/>
                      <w:bCs/>
                      <w:color w:val="000000" w:themeColor="text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zCs w:val="21"/>
                      <w:lang w:eastAsia="zh-CN"/>
                      <w14:textFill>
                        <w14:solidFill>
                          <w14:schemeClr w14:val="tx1"/>
                        </w14:solidFill>
                      </w14:textFill>
                    </w:rPr>
                    <w:t>g/m</w:t>
                  </w:r>
                  <w:r>
                    <w:rPr>
                      <w:rFonts w:hint="default" w:ascii="Times New Roman" w:hAnsi="Times New Roman" w:eastAsia="宋体" w:cs="Times New Roman"/>
                      <w:b/>
                      <w:bCs/>
                      <w:color w:val="000000" w:themeColor="text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zCs w:val="21"/>
                      <w:lang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restart"/>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TSP（mg/m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46" w:type="pct"/>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2024/2/23</w:t>
                  </w:r>
                </w:p>
              </w:tc>
              <w:tc>
                <w:tcPr>
                  <w:tcW w:w="1042" w:type="pct"/>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舒城快乐豆儿童用品项目区</w:t>
                  </w:r>
                  <w:r>
                    <w:rPr>
                      <w:rFonts w:hint="default" w:ascii="Times New Roman" w:hAnsi="Times New Roman" w:cs="Times New Roman"/>
                      <w:color w:val="000000" w:themeColor="text1"/>
                      <w:sz w:val="21"/>
                      <w:szCs w:val="21"/>
                      <w:lang w:val="en-US" w:eastAsia="zh-CN"/>
                      <w14:textFill>
                        <w14:solidFill>
                          <w14:schemeClr w14:val="tx1"/>
                        </w14:solidFill>
                      </w14:textFill>
                    </w:rPr>
                    <w:t>G1</w:t>
                  </w:r>
                </w:p>
              </w:tc>
              <w:tc>
                <w:tcPr>
                  <w:tcW w:w="1749"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0.202</w:t>
                  </w:r>
                </w:p>
              </w:tc>
              <w:tc>
                <w:tcPr>
                  <w:tcW w:w="1042"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46" w:type="pct"/>
                  <w:vAlign w:val="center"/>
                </w:tcPr>
                <w:p>
                  <w:pPr>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2024/2/24</w:t>
                  </w:r>
                </w:p>
              </w:tc>
              <w:tc>
                <w:tcPr>
                  <w:tcW w:w="1042" w:type="pct"/>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舒城快乐豆儿童用品项目区</w:t>
                  </w:r>
                  <w:r>
                    <w:rPr>
                      <w:rFonts w:hint="default" w:ascii="Times New Roman" w:hAnsi="Times New Roman" w:cs="Times New Roman"/>
                      <w:color w:val="000000" w:themeColor="text1"/>
                      <w:sz w:val="21"/>
                      <w:szCs w:val="21"/>
                      <w:lang w:val="en-US" w:eastAsia="zh-CN"/>
                      <w14:textFill>
                        <w14:solidFill>
                          <w14:schemeClr w14:val="tx1"/>
                        </w14:solidFill>
                      </w14:textFill>
                    </w:rPr>
                    <w:t>G1</w:t>
                  </w:r>
                </w:p>
              </w:tc>
              <w:tc>
                <w:tcPr>
                  <w:tcW w:w="1749"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0.226</w:t>
                  </w:r>
                </w:p>
              </w:tc>
              <w:tc>
                <w:tcPr>
                  <w:tcW w:w="1042"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46" w:type="pct"/>
                  <w:vAlign w:val="center"/>
                </w:tcPr>
                <w:p>
                  <w:pPr>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2024/2/25</w:t>
                  </w:r>
                </w:p>
              </w:tc>
              <w:tc>
                <w:tcPr>
                  <w:tcW w:w="1042" w:type="pct"/>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舒城快乐豆儿童用品项目区</w:t>
                  </w:r>
                  <w:r>
                    <w:rPr>
                      <w:rFonts w:hint="default" w:ascii="Times New Roman" w:hAnsi="Times New Roman" w:cs="Times New Roman"/>
                      <w:color w:val="000000" w:themeColor="text1"/>
                      <w:sz w:val="21"/>
                      <w:szCs w:val="21"/>
                      <w:lang w:val="en-US" w:eastAsia="zh-CN"/>
                      <w14:textFill>
                        <w14:solidFill>
                          <w14:schemeClr w14:val="tx1"/>
                        </w14:solidFill>
                      </w14:textFill>
                    </w:rPr>
                    <w:t>G1</w:t>
                  </w:r>
                </w:p>
              </w:tc>
              <w:tc>
                <w:tcPr>
                  <w:tcW w:w="1749"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0.213</w:t>
                  </w:r>
                </w:p>
              </w:tc>
              <w:tc>
                <w:tcPr>
                  <w:tcW w:w="1042"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w:t>
                  </w:r>
                </w:p>
              </w:tc>
            </w:tr>
          </w:tbl>
          <w:p>
            <w:pPr>
              <w:pStyle w:val="71"/>
              <w:keepNext w:val="0"/>
              <w:keepLines w:val="0"/>
              <w:pageBreakBefore w:val="0"/>
              <w:widowControl w:val="0"/>
              <w:numPr>
                <w:ilvl w:val="0"/>
                <w:numId w:val="0"/>
              </w:numPr>
              <w:kinsoku/>
              <w:wordWrap/>
              <w:overflowPunct/>
              <w:topLinePunct w:val="0"/>
              <w:autoSpaceDE/>
              <w:autoSpaceDN/>
              <w:bidi w:val="0"/>
              <w:adjustRightInd/>
              <w:snapToGrid/>
              <w:spacing w:line="339" w:lineRule="auto"/>
              <w:ind w:right="96" w:righ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根据现状监测数据确定项目所在区域</w:t>
            </w:r>
            <w:r>
              <w:rPr>
                <w:rFonts w:hint="default" w:ascii="Times New Roman" w:hAnsi="Times New Roman" w:cs="Times New Roman"/>
                <w:bCs/>
                <w:color w:val="000000" w:themeColor="text1"/>
                <w:sz w:val="24"/>
                <w:lang w:val="en-US" w:eastAsia="zh-CN"/>
                <w14:textFill>
                  <w14:solidFill>
                    <w14:schemeClr w14:val="tx1"/>
                  </w14:solidFill>
                </w14:textFill>
              </w:rPr>
              <w:t>TSP浓度能够满足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《环境空气质量标准》（GB3095-2012）及其修改单中的二级标准。</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地表水环境质量现状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bookmarkStart w:id="3" w:name="_Toc15197"/>
            <w:bookmarkStart w:id="4" w:name="_Toc17050"/>
            <w:bookmarkStart w:id="5" w:name="_Toc29831"/>
            <w:r>
              <w:rPr>
                <w:rFonts w:hint="default" w:ascii="Times New Roman" w:hAnsi="Times New Roman" w:cs="Times New Roman"/>
                <w:color w:val="000000" w:themeColor="text1"/>
                <w:sz w:val="24"/>
                <w:szCs w:val="24"/>
                <w14:textFill>
                  <w14:solidFill>
                    <w14:schemeClr w14:val="tx1"/>
                  </w14:solidFill>
                </w14:textFill>
              </w:rPr>
              <w:t>本次</w:t>
            </w:r>
            <w:r>
              <w:rPr>
                <w:rFonts w:hint="default" w:ascii="Times New Roman" w:hAnsi="Times New Roman" w:cs="Times New Roman"/>
                <w:color w:val="000000" w:themeColor="text1"/>
                <w:sz w:val="24"/>
                <w:szCs w:val="24"/>
                <w:lang w:eastAsia="zh-CN"/>
                <w14:textFill>
                  <w14:solidFill>
                    <w14:schemeClr w14:val="tx1"/>
                  </w14:solidFill>
                </w14:textFill>
              </w:rPr>
              <w:t>评价</w:t>
            </w:r>
            <w:r>
              <w:rPr>
                <w:rFonts w:hint="default" w:ascii="Times New Roman" w:hAnsi="Times New Roman" w:eastAsia="宋体" w:cs="Times New Roman"/>
                <w:color w:val="000000" w:themeColor="text1"/>
                <w:sz w:val="24"/>
                <w:szCs w:val="24"/>
                <w14:textFill>
                  <w14:solidFill>
                    <w14:schemeClr w14:val="tx1"/>
                  </w14:solidFill>
                </w14:textFill>
              </w:rPr>
              <w:t>引用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舒城县2023年8月例行监测数据</w:t>
            </w:r>
            <w:r>
              <w:rPr>
                <w:rFonts w:hint="default" w:ascii="Times New Roman" w:hAnsi="Times New Roman" w:eastAsia="宋体" w:cs="Times New Roman"/>
                <w:color w:val="000000" w:themeColor="text1"/>
                <w:sz w:val="24"/>
                <w:szCs w:val="24"/>
                <w14:textFill>
                  <w14:solidFill>
                    <w14:schemeClr w14:val="tx1"/>
                  </w14:solidFill>
                </w14:textFill>
              </w:rPr>
              <w:t>，监</w:t>
            </w:r>
            <w:r>
              <w:rPr>
                <w:rFonts w:hint="default" w:ascii="Times New Roman" w:hAnsi="Times New Roman" w:cs="Times New Roman"/>
                <w:color w:val="000000" w:themeColor="text1"/>
                <w:sz w:val="24"/>
                <w:szCs w:val="24"/>
                <w14:textFill>
                  <w14:solidFill>
                    <w14:schemeClr w14:val="tx1"/>
                  </w14:solidFill>
                </w14:textFill>
              </w:rPr>
              <w:t>测时间为202</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日，监测数据见下表。</w:t>
            </w:r>
          </w:p>
          <w:p>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表3-</w:t>
            </w:r>
            <w:r>
              <w:rPr>
                <w:rFonts w:hint="default" w:ascii="Times New Roman" w:hAnsi="Times New Roman" w:cs="Times New Roman"/>
                <w:b/>
                <w:color w:val="000000" w:themeColor="text1"/>
                <w:sz w:val="24"/>
                <w:szCs w:val="24"/>
                <w:lang w:val="en-US" w:eastAsia="zh-CN"/>
                <w14:textFill>
                  <w14:solidFill>
                    <w14:schemeClr w14:val="tx1"/>
                  </w14:solidFill>
                </w14:textFill>
              </w:rPr>
              <w:t>3</w:t>
            </w:r>
            <w:r>
              <w:rPr>
                <w:rFonts w:hint="default" w:ascii="Times New Roman" w:hAnsi="Times New Roman" w:cs="Times New Roman"/>
                <w:b/>
                <w:color w:val="000000" w:themeColor="text1"/>
                <w:sz w:val="24"/>
                <w:szCs w:val="24"/>
                <w14:textFill>
                  <w14:solidFill>
                    <w14:schemeClr w14:val="tx1"/>
                  </w14:solidFill>
                </w14:textFill>
              </w:rPr>
              <w:t xml:space="preserve"> 三里河水质监测结果表  单位:mg/L（pH除外）</w:t>
            </w:r>
          </w:p>
          <w:tbl>
            <w:tblPr>
              <w:tblStyle w:val="31"/>
              <w:tblW w:w="4999" w:type="pct"/>
              <w:jc w:val="center"/>
              <w:tblLayout w:type="autofit"/>
              <w:tblCellMar>
                <w:top w:w="0" w:type="dxa"/>
                <w:left w:w="108" w:type="dxa"/>
                <w:bottom w:w="0" w:type="dxa"/>
                <w:right w:w="108" w:type="dxa"/>
              </w:tblCellMar>
            </w:tblPr>
            <w:tblGrid>
              <w:gridCol w:w="2056"/>
              <w:gridCol w:w="3680"/>
              <w:gridCol w:w="1693"/>
              <w:gridCol w:w="968"/>
            </w:tblGrid>
            <w:tr>
              <w:tblPrEx>
                <w:tblCellMar>
                  <w:top w:w="0" w:type="dxa"/>
                  <w:left w:w="108" w:type="dxa"/>
                  <w:bottom w:w="0" w:type="dxa"/>
                  <w:right w:w="108" w:type="dxa"/>
                </w:tblCellMar>
              </w:tblPrEx>
              <w:trPr>
                <w:trHeight w:val="300" w:hRule="atLeast"/>
                <w:jc w:val="center"/>
              </w:trPr>
              <w:tc>
                <w:tcPr>
                  <w:tcW w:w="1224" w:type="pct"/>
                  <w:vMerge w:val="restart"/>
                  <w:tcBorders>
                    <w:top w:val="single" w:color="auto" w:sz="8" w:space="0"/>
                    <w:left w:val="single" w:color="auto" w:sz="8" w:space="0"/>
                    <w:bottom w:val="single" w:color="000000"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检测项目</w:t>
                  </w:r>
                </w:p>
              </w:tc>
              <w:tc>
                <w:tcPr>
                  <w:tcW w:w="2191" w:type="pct"/>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检测点位：</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三里河鼓楼北街桥</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断面</w:t>
                  </w:r>
                </w:p>
              </w:tc>
              <w:tc>
                <w:tcPr>
                  <w:tcW w:w="1584" w:type="pct"/>
                  <w:gridSpan w:val="2"/>
                  <w:vMerge w:val="restart"/>
                  <w:tcBorders>
                    <w:top w:val="single" w:color="auto" w:sz="8" w:space="0"/>
                    <w:left w:val="single" w:color="auto" w:sz="8" w:space="0"/>
                    <w:bottom w:val="single" w:color="000000" w:sz="8"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《地表水环境质量标准》（GB3838-2002）中</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Ⅳ</w:t>
                  </w:r>
                  <w:r>
                    <w:rPr>
                      <w:rFonts w:hint="default" w:ascii="Times New Roman" w:hAnsi="Times New Roman" w:eastAsia="宋体" w:cs="Times New Roman"/>
                      <w:b/>
                      <w:bCs/>
                      <w:color w:val="000000" w:themeColor="text1"/>
                      <w:sz w:val="21"/>
                      <w:szCs w:val="21"/>
                      <w14:textFill>
                        <w14:solidFill>
                          <w14:schemeClr w14:val="tx1"/>
                        </w14:solidFill>
                      </w14:textFill>
                    </w:rPr>
                    <w:t>类</w:t>
                  </w:r>
                </w:p>
              </w:tc>
            </w:tr>
            <w:tr>
              <w:tblPrEx>
                <w:tblCellMar>
                  <w:top w:w="0" w:type="dxa"/>
                  <w:left w:w="108" w:type="dxa"/>
                  <w:bottom w:w="0" w:type="dxa"/>
                  <w:right w:w="108" w:type="dxa"/>
                </w:tblCellMar>
              </w:tblPrEx>
              <w:trPr>
                <w:trHeight w:val="300" w:hRule="atLeast"/>
                <w:jc w:val="center"/>
              </w:trPr>
              <w:tc>
                <w:tcPr>
                  <w:tcW w:w="1224" w:type="pct"/>
                  <w:vMerge w:val="continue"/>
                  <w:tcBorders>
                    <w:top w:val="single" w:color="auto" w:sz="8" w:space="0"/>
                    <w:left w:val="single" w:color="auto" w:sz="8" w:space="0"/>
                    <w:bottom w:val="single" w:color="000000"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191" w:type="pct"/>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检测时间</w:t>
                  </w:r>
                </w:p>
              </w:tc>
              <w:tc>
                <w:tcPr>
                  <w:tcW w:w="1584" w:type="pct"/>
                  <w:gridSpan w:val="2"/>
                  <w:vMerge w:val="continue"/>
                  <w:tcBorders>
                    <w:top w:val="single" w:color="auto" w:sz="8" w:space="0"/>
                    <w:left w:val="single" w:color="auto" w:sz="8" w:space="0"/>
                    <w:bottom w:val="single" w:color="000000" w:sz="8"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255" w:hRule="atLeast"/>
                <w:jc w:val="center"/>
              </w:trPr>
              <w:tc>
                <w:tcPr>
                  <w:tcW w:w="1224" w:type="pct"/>
                  <w:vMerge w:val="continue"/>
                  <w:tcBorders>
                    <w:top w:val="single" w:color="auto" w:sz="8" w:space="0"/>
                    <w:left w:val="single" w:color="auto" w:sz="8" w:space="0"/>
                    <w:bottom w:val="single" w:color="000000"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202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3.8.2</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标准限值</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水温</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18.6</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7.9</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无量纲</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溶解氧</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电导率</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47.8</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ms/m</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浊度</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9.8</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NTU</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高锰酸盐指数</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化学需氧量</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五日生化需氧量</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4.4</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氨氮</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1.08</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总磷</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总氮</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6.02</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铜</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锌</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氟化物</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0.44</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硒</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0.0004L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289"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砷</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0.0003L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汞</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0.00004L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镉</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六价铬</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0.004L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铅</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氰化物</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挥发酚</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0.0003L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石油类</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阴离子表面活性剂</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硫化物</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L</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r>
            <w:tr>
              <w:tblPrEx>
                <w:tblCellMar>
                  <w:top w:w="0" w:type="dxa"/>
                  <w:left w:w="108" w:type="dxa"/>
                  <w:bottom w:w="0" w:type="dxa"/>
                  <w:right w:w="108" w:type="dxa"/>
                </w:tblCellMar>
              </w:tblPrEx>
              <w:trPr>
                <w:trHeight w:val="300" w:hRule="atLeast"/>
                <w:jc w:val="center"/>
              </w:trPr>
              <w:tc>
                <w:tcPr>
                  <w:tcW w:w="1224"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粪大肠菌群</w:t>
                  </w:r>
                </w:p>
              </w:tc>
              <w:tc>
                <w:tcPr>
                  <w:tcW w:w="2191"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p>
              </w:tc>
              <w:tc>
                <w:tcPr>
                  <w:tcW w:w="1008"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20000</w:t>
                  </w:r>
                </w:p>
              </w:tc>
              <w:tc>
                <w:tcPr>
                  <w:tcW w:w="575" w:type="pct"/>
                  <w:tcBorders>
                    <w:top w:val="nil"/>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MPN/L</w:t>
                  </w:r>
                </w:p>
              </w:tc>
            </w:tr>
          </w:tbl>
          <w:p>
            <w:pPr>
              <w:adjustRightInd w:val="0"/>
              <w:snapToGrid w:val="0"/>
              <w:spacing w:line="360" w:lineRule="auto"/>
              <w:ind w:firstLine="48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监测结果表明，三里河水质能够达到《地表水环境质量现状标准》（GB3838-2002）中Ⅳ类水体功能要求。</w:t>
            </w:r>
          </w:p>
          <w:bookmarkEnd w:id="3"/>
          <w:bookmarkEnd w:id="4"/>
          <w:bookmarkEnd w:id="5"/>
          <w:p>
            <w:pPr>
              <w:adjustRightIn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声环境质量现状</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项目环境影响报告表编制技术指南（污染影响类）（试行）》中“区域环境质量”的“3、声环境厂界外周边50米范围内存在声环境保护目标的建设项目，应监测保护目标声环境质量现状并评价达标情况。各点位应监测昼夜间噪声，监测时间不少于1天，项目夜间不生产则仅监测昼间噪声</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。本项目厂界外周边50米范围内不存在声环境保护目标，故无需进行声现状监测。</w:t>
            </w:r>
          </w:p>
          <w:p>
            <w:pPr>
              <w:autoSpaceDE w:val="0"/>
              <w:spacing w:line="360" w:lineRule="auto"/>
              <w:ind w:firstLine="482" w:firstLineChars="200"/>
              <w:rPr>
                <w:rFonts w:hint="default" w:ascii="Times New Roman" w:hAnsi="Times New Roman" w:cs="Times New Roman"/>
                <w:bCs/>
                <w:color w:val="000000" w:themeColor="text1"/>
                <w:kern w:val="1"/>
                <w:sz w:val="24"/>
                <w:szCs w:val="24"/>
                <w14:textFill>
                  <w14:solidFill>
                    <w14:schemeClr w14:val="tx1"/>
                  </w14:solidFill>
                </w14:textFill>
              </w:rPr>
            </w:pPr>
            <w:r>
              <w:rPr>
                <w:rFonts w:hint="default" w:ascii="Times New Roman" w:hAnsi="Times New Roman" w:cs="Times New Roman"/>
                <w:b/>
                <w:color w:val="000000" w:themeColor="text1"/>
                <w:kern w:val="1"/>
                <w:sz w:val="24"/>
                <w:szCs w:val="24"/>
                <w14:textFill>
                  <w14:solidFill>
                    <w14:schemeClr w14:val="tx1"/>
                  </w14:solidFill>
                </w14:textFill>
              </w:rPr>
              <w:t>4</w:t>
            </w:r>
            <w:r>
              <w:rPr>
                <w:rFonts w:hint="default" w:ascii="Times New Roman" w:hAnsi="Times New Roman" w:cs="Times New Roman"/>
                <w:b/>
                <w:color w:val="000000" w:themeColor="text1"/>
                <w:kern w:val="1"/>
                <w:sz w:val="24"/>
                <w:szCs w:val="24"/>
                <w:lang w:eastAsia="zh-CN"/>
                <w14:textFill>
                  <w14:solidFill>
                    <w14:schemeClr w14:val="tx1"/>
                  </w14:solidFill>
                </w14:textFill>
              </w:rPr>
              <w:t>、</w:t>
            </w:r>
            <w:r>
              <w:rPr>
                <w:rFonts w:hint="default" w:ascii="Times New Roman" w:hAnsi="Times New Roman" w:cs="Times New Roman"/>
                <w:b/>
                <w:color w:val="000000" w:themeColor="text1"/>
                <w:kern w:val="1"/>
                <w:sz w:val="24"/>
                <w:szCs w:val="24"/>
                <w14:textFill>
                  <w14:solidFill>
                    <w14:schemeClr w14:val="tx1"/>
                  </w14:solidFill>
                </w14:textFill>
              </w:rPr>
              <w:t>地下水环境质量现状</w:t>
            </w:r>
          </w:p>
          <w:p>
            <w:pPr>
              <w:autoSpaceDE w:val="0"/>
              <w:spacing w:line="360" w:lineRule="auto"/>
              <w:ind w:firstLine="480" w:firstLineChars="200"/>
              <w:rPr>
                <w:rFonts w:hint="default" w:ascii="Times New Roman" w:hAnsi="Times New Roman" w:cs="Times New Roman"/>
                <w:color w:val="000000" w:themeColor="text1"/>
                <w:sz w:val="24"/>
                <w:szCs w:val="24"/>
                <w:lang w:val="zh-CN"/>
                <w14:textFill>
                  <w14:solidFill>
                    <w14:schemeClr w14:val="tx1"/>
                  </w14:solidFill>
                </w14:textFill>
              </w:rPr>
            </w:pPr>
            <w:r>
              <w:rPr>
                <w:rFonts w:hint="default" w:ascii="Times New Roman" w:hAnsi="Times New Roman" w:cs="Times New Roman"/>
                <w:bCs/>
                <w:color w:val="000000" w:themeColor="text1"/>
                <w:kern w:val="1"/>
                <w:sz w:val="24"/>
                <w:szCs w:val="24"/>
                <w14:textFill>
                  <w14:solidFill>
                    <w14:schemeClr w14:val="tx1"/>
                  </w14:solidFill>
                </w14:textFill>
              </w:rPr>
              <w:t>本次环评不涉及地下水现状调查。</w:t>
            </w:r>
          </w:p>
          <w:p>
            <w:pPr>
              <w:autoSpaceDE w:val="0"/>
              <w:spacing w:line="360" w:lineRule="auto"/>
              <w:ind w:firstLine="482" w:firstLineChars="200"/>
              <w:rPr>
                <w:rFonts w:hint="default" w:ascii="Times New Roman" w:hAnsi="Times New Roman" w:cs="Times New Roman"/>
                <w:bCs/>
                <w:color w:val="000000" w:themeColor="text1"/>
                <w:kern w:val="1"/>
                <w:sz w:val="24"/>
                <w:szCs w:val="24"/>
                <w14:textFill>
                  <w14:solidFill>
                    <w14:schemeClr w14:val="tx1"/>
                  </w14:solidFill>
                </w14:textFill>
              </w:rPr>
            </w:pPr>
            <w:r>
              <w:rPr>
                <w:rFonts w:hint="default" w:ascii="Times New Roman" w:hAnsi="Times New Roman" w:cs="Times New Roman"/>
                <w:b/>
                <w:color w:val="000000" w:themeColor="text1"/>
                <w:kern w:val="1"/>
                <w:sz w:val="24"/>
                <w:szCs w:val="24"/>
                <w14:textFill>
                  <w14:solidFill>
                    <w14:schemeClr w14:val="tx1"/>
                  </w14:solidFill>
                </w14:textFill>
              </w:rPr>
              <w:t>5</w:t>
            </w:r>
            <w:r>
              <w:rPr>
                <w:rFonts w:hint="default" w:ascii="Times New Roman" w:hAnsi="Times New Roman" w:cs="Times New Roman"/>
                <w:b/>
                <w:color w:val="000000" w:themeColor="text1"/>
                <w:kern w:val="1"/>
                <w:sz w:val="24"/>
                <w:szCs w:val="24"/>
                <w:lang w:eastAsia="zh-CN"/>
                <w14:textFill>
                  <w14:solidFill>
                    <w14:schemeClr w14:val="tx1"/>
                  </w14:solidFill>
                </w14:textFill>
              </w:rPr>
              <w:t>、</w:t>
            </w:r>
            <w:r>
              <w:rPr>
                <w:rFonts w:hint="default" w:ascii="Times New Roman" w:hAnsi="Times New Roman" w:cs="Times New Roman"/>
                <w:b/>
                <w:color w:val="000000" w:themeColor="text1"/>
                <w:kern w:val="1"/>
                <w:sz w:val="24"/>
                <w:szCs w:val="24"/>
                <w14:textFill>
                  <w14:solidFill>
                    <w14:schemeClr w14:val="tx1"/>
                  </w14:solidFill>
                </w14:textFill>
              </w:rPr>
              <w:t>生态环境质量现状</w:t>
            </w:r>
          </w:p>
          <w:p>
            <w:pPr>
              <w:autoSpaceDE w:val="0"/>
              <w:spacing w:line="360" w:lineRule="auto"/>
              <w:ind w:firstLine="480" w:firstLineChars="200"/>
              <w:rPr>
                <w:rFonts w:hint="default" w:ascii="Times New Roman" w:hAnsi="Times New Roman" w:cs="Times New Roman"/>
                <w:bCs/>
                <w:color w:val="000000" w:themeColor="text1"/>
                <w:kern w:val="1"/>
                <w:sz w:val="24"/>
                <w:szCs w:val="24"/>
                <w14:textFill>
                  <w14:solidFill>
                    <w14:schemeClr w14:val="tx1"/>
                  </w14:solidFill>
                </w14:textFill>
              </w:rPr>
            </w:pPr>
            <w:r>
              <w:rPr>
                <w:rFonts w:hint="default" w:ascii="Times New Roman" w:hAnsi="Times New Roman" w:cs="Times New Roman"/>
                <w:bCs/>
                <w:color w:val="000000" w:themeColor="text1"/>
                <w:kern w:val="1"/>
                <w:sz w:val="24"/>
                <w:szCs w:val="24"/>
                <w14:textFill>
                  <w14:solidFill>
                    <w14:schemeClr w14:val="tx1"/>
                  </w14:solidFill>
                </w14:textFill>
              </w:rPr>
              <w:t>项目用地范围内不含生态环境保护目标，不涉及生态现状调查。</w:t>
            </w:r>
          </w:p>
          <w:p>
            <w:pPr>
              <w:autoSpaceDE w:val="0"/>
              <w:spacing w:line="360" w:lineRule="auto"/>
              <w:ind w:firstLine="482" w:firstLineChars="200"/>
              <w:rPr>
                <w:rFonts w:hint="default" w:ascii="Times New Roman" w:hAnsi="Times New Roman" w:cs="Times New Roman"/>
                <w:bCs/>
                <w:color w:val="000000" w:themeColor="text1"/>
                <w:kern w:val="1"/>
                <w:sz w:val="24"/>
                <w:szCs w:val="24"/>
                <w14:textFill>
                  <w14:solidFill>
                    <w14:schemeClr w14:val="tx1"/>
                  </w14:solidFill>
                </w14:textFill>
              </w:rPr>
            </w:pPr>
            <w:r>
              <w:rPr>
                <w:rFonts w:hint="default" w:ascii="Times New Roman" w:hAnsi="Times New Roman" w:cs="Times New Roman"/>
                <w:b/>
                <w:color w:val="000000" w:themeColor="text1"/>
                <w:kern w:val="1"/>
                <w:sz w:val="24"/>
                <w:szCs w:val="24"/>
                <w14:textFill>
                  <w14:solidFill>
                    <w14:schemeClr w14:val="tx1"/>
                  </w14:solidFill>
                </w14:textFill>
              </w:rPr>
              <w:t>6</w:t>
            </w:r>
            <w:r>
              <w:rPr>
                <w:rFonts w:hint="default" w:ascii="Times New Roman" w:hAnsi="Times New Roman" w:cs="Times New Roman"/>
                <w:b/>
                <w:color w:val="000000" w:themeColor="text1"/>
                <w:kern w:val="1"/>
                <w:sz w:val="24"/>
                <w:szCs w:val="24"/>
                <w:lang w:eastAsia="zh-CN"/>
                <w14:textFill>
                  <w14:solidFill>
                    <w14:schemeClr w14:val="tx1"/>
                  </w14:solidFill>
                </w14:textFill>
              </w:rPr>
              <w:t>、</w:t>
            </w:r>
            <w:r>
              <w:rPr>
                <w:rFonts w:hint="default" w:ascii="Times New Roman" w:hAnsi="Times New Roman" w:cs="Times New Roman"/>
                <w:b/>
                <w:color w:val="000000" w:themeColor="text1"/>
                <w:kern w:val="1"/>
                <w:sz w:val="24"/>
                <w:szCs w:val="24"/>
                <w14:textFill>
                  <w14:solidFill>
                    <w14:schemeClr w14:val="tx1"/>
                  </w14:solidFill>
                </w14:textFill>
              </w:rPr>
              <w:t>电磁辐射环境质量现状</w:t>
            </w:r>
          </w:p>
          <w:p>
            <w:pPr>
              <w:autoSpaceDE w:val="0"/>
              <w:spacing w:line="360" w:lineRule="auto"/>
              <w:ind w:firstLine="480" w:firstLineChars="200"/>
              <w:rPr>
                <w:rFonts w:hint="default" w:ascii="Times New Roman" w:hAnsi="Times New Roman" w:cs="Times New Roman"/>
                <w:bCs/>
                <w:color w:val="000000" w:themeColor="text1"/>
                <w:kern w:val="1"/>
                <w:sz w:val="24"/>
                <w:szCs w:val="24"/>
                <w14:textFill>
                  <w14:solidFill>
                    <w14:schemeClr w14:val="tx1"/>
                  </w14:solidFill>
                </w14:textFill>
              </w:rPr>
            </w:pPr>
            <w:r>
              <w:rPr>
                <w:rFonts w:hint="default" w:ascii="Times New Roman" w:hAnsi="Times New Roman" w:cs="Times New Roman"/>
                <w:bCs/>
                <w:color w:val="000000" w:themeColor="text1"/>
                <w:kern w:val="1"/>
                <w:sz w:val="24"/>
                <w:szCs w:val="24"/>
                <w14:textFill>
                  <w14:solidFill>
                    <w14:schemeClr w14:val="tx1"/>
                  </w14:solidFill>
                </w14:textFill>
              </w:rPr>
              <w:t>本次环评不涉及含电磁辐射现状监测与评价。</w:t>
            </w:r>
          </w:p>
          <w:p>
            <w:pPr>
              <w:autoSpaceDE w:val="0"/>
              <w:spacing w:line="360" w:lineRule="auto"/>
              <w:ind w:firstLine="482" w:firstLineChars="200"/>
              <w:rPr>
                <w:rFonts w:hint="default" w:ascii="Times New Roman" w:hAnsi="Times New Roman" w:cs="Times New Roman"/>
                <w:b/>
                <w:color w:val="000000" w:themeColor="text1"/>
                <w:kern w:val="1"/>
                <w:sz w:val="24"/>
                <w:szCs w:val="24"/>
                <w14:textFill>
                  <w14:solidFill>
                    <w14:schemeClr w14:val="tx1"/>
                  </w14:solidFill>
                </w14:textFill>
              </w:rPr>
            </w:pPr>
            <w:r>
              <w:rPr>
                <w:rFonts w:hint="default" w:ascii="Times New Roman" w:hAnsi="Times New Roman" w:cs="Times New Roman"/>
                <w:b/>
                <w:color w:val="000000" w:themeColor="text1"/>
                <w:kern w:val="1"/>
                <w:sz w:val="24"/>
                <w:szCs w:val="24"/>
                <w14:textFill>
                  <w14:solidFill>
                    <w14:schemeClr w14:val="tx1"/>
                  </w14:solidFill>
                </w14:textFill>
              </w:rPr>
              <w:t>7</w:t>
            </w:r>
            <w:r>
              <w:rPr>
                <w:rFonts w:hint="default" w:ascii="Times New Roman" w:hAnsi="Times New Roman" w:cs="Times New Roman"/>
                <w:b/>
                <w:color w:val="000000" w:themeColor="text1"/>
                <w:kern w:val="1"/>
                <w:sz w:val="24"/>
                <w:szCs w:val="24"/>
                <w:lang w:eastAsia="zh-CN"/>
                <w14:textFill>
                  <w14:solidFill>
                    <w14:schemeClr w14:val="tx1"/>
                  </w14:solidFill>
                </w14:textFill>
              </w:rPr>
              <w:t>、</w:t>
            </w:r>
            <w:r>
              <w:rPr>
                <w:rFonts w:hint="default" w:ascii="Times New Roman" w:hAnsi="Times New Roman" w:cs="Times New Roman"/>
                <w:b/>
                <w:color w:val="000000" w:themeColor="text1"/>
                <w:kern w:val="1"/>
                <w:sz w:val="24"/>
                <w:szCs w:val="24"/>
                <w14:textFill>
                  <w14:solidFill>
                    <w14:schemeClr w14:val="tx1"/>
                  </w14:solidFill>
                </w14:textFill>
              </w:rPr>
              <w:t>土壤环境质量现状</w:t>
            </w:r>
          </w:p>
          <w:p>
            <w:pPr>
              <w:autoSpaceDE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kern w:val="1"/>
                <w:sz w:val="24"/>
                <w:szCs w:val="24"/>
                <w14:textFill>
                  <w14:solidFill>
                    <w14:schemeClr w14:val="tx1"/>
                  </w14:solidFill>
                </w14:textFill>
              </w:rPr>
              <w:t>本次环评不涉及土壤现状调查。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3" w:hRule="atLeast"/>
          <w:jc w:val="center"/>
        </w:trPr>
        <w:tc>
          <w:tcPr>
            <w:tcW w:w="436" w:type="dxa"/>
            <w:noWrap w:val="0"/>
            <w:vAlign w:val="center"/>
          </w:tcPr>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保护</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目标</w:t>
            </w:r>
          </w:p>
        </w:tc>
        <w:tc>
          <w:tcPr>
            <w:tcW w:w="8635" w:type="dxa"/>
            <w:noWrap w:val="0"/>
            <w:vAlign w:val="top"/>
          </w:tcPr>
          <w:p>
            <w:pPr>
              <w:adjustRightInd w:val="0"/>
              <w:snapToGrid w:val="0"/>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主要环境保护目标（列出名单及保护级别）</w:t>
            </w:r>
          </w:p>
          <w:p>
            <w:pPr>
              <w:widowControl/>
              <w:spacing w:line="360" w:lineRule="auto"/>
              <w:ind w:firstLine="472" w:firstLineChars="197"/>
              <w:jc w:val="left"/>
              <w:rPr>
                <w:rFonts w:hint="default" w:ascii="Times New Roman" w:hAnsi="Times New Roman" w:eastAsia="宋体" w:cs="Times New Roman"/>
                <w:snapToGrid w:val="0"/>
                <w:color w:val="000000" w:themeColor="text1"/>
                <w:kern w:val="0"/>
                <w:sz w:val="24"/>
                <w:szCs w:val="20"/>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14:textFill>
                  <w14:solidFill>
                    <w14:schemeClr w14:val="tx1"/>
                  </w14:solidFill>
                </w14:textFill>
              </w:rPr>
              <w:t>项目厂界外500m范围内</w:t>
            </w:r>
            <w:r>
              <w:rPr>
                <w:rFonts w:hint="default" w:ascii="Times New Roman" w:hAnsi="Times New Roman" w:cs="Times New Roman"/>
                <w:snapToGrid w:val="0"/>
                <w:color w:val="000000" w:themeColor="text1"/>
                <w:kern w:val="0"/>
                <w:sz w:val="24"/>
                <w:szCs w:val="20"/>
                <w:lang w:eastAsia="zh-CN"/>
                <w14:textFill>
                  <w14:solidFill>
                    <w14:schemeClr w14:val="tx1"/>
                  </w14:solidFill>
                </w14:textFill>
              </w:rPr>
              <w:t>大气</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环境保护目标见下表。</w:t>
            </w: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表3-4  本项目主要环境保护目标一览表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267"/>
              <w:gridCol w:w="990"/>
              <w:gridCol w:w="1045"/>
              <w:gridCol w:w="1095"/>
              <w:gridCol w:w="1990"/>
              <w:gridCol w:w="60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2" w:type="dxa"/>
                  <w:vMerge w:val="restart"/>
                  <w:tcBorders>
                    <w:top w:val="single" w:color="auto" w:sz="4" w:space="0"/>
                    <w:left w:val="single" w:color="auto" w:sz="4" w:space="0"/>
                    <w:right w:val="single" w:color="auto" w:sz="6" w:space="0"/>
                  </w:tcBorders>
                  <w:vAlign w:val="center"/>
                </w:tcPr>
                <w:p>
                  <w:pPr>
                    <w:adjustRightInd w:val="0"/>
                    <w:snapToGrid w:val="0"/>
                    <w:jc w:val="center"/>
                    <w:textAlignment w:val="baseline"/>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序号</w:t>
                  </w:r>
                </w:p>
              </w:tc>
              <w:tc>
                <w:tcPr>
                  <w:tcW w:w="1267"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名称</w:t>
                  </w:r>
                </w:p>
              </w:tc>
              <w:tc>
                <w:tcPr>
                  <w:tcW w:w="2035" w:type="dxa"/>
                  <w:gridSpan w:val="2"/>
                  <w:tcBorders>
                    <w:top w:val="single" w:color="auto" w:sz="4"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坐标/m</w:t>
                  </w:r>
                </w:p>
              </w:tc>
              <w:tc>
                <w:tcPr>
                  <w:tcW w:w="1095"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保护内容</w:t>
                  </w:r>
                </w:p>
              </w:tc>
              <w:tc>
                <w:tcPr>
                  <w:tcW w:w="1990" w:type="dxa"/>
                  <w:vMerge w:val="restart"/>
                  <w:tcBorders>
                    <w:top w:val="single" w:color="auto" w:sz="4" w:space="0"/>
                    <w:left w:val="nil"/>
                    <w:right w:val="single" w:color="auto" w:sz="4" w:space="0"/>
                  </w:tcBorders>
                  <w:vAlign w:val="center"/>
                </w:tcPr>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保护</w:t>
                  </w:r>
                </w:p>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级别</w:t>
                  </w:r>
                </w:p>
              </w:tc>
              <w:tc>
                <w:tcPr>
                  <w:tcW w:w="605" w:type="dxa"/>
                  <w:vMerge w:val="restart"/>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方位</w:t>
                  </w:r>
                </w:p>
              </w:tc>
              <w:tc>
                <w:tcPr>
                  <w:tcW w:w="695"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42" w:type="dxa"/>
                  <w:vMerge w:val="continue"/>
                  <w:tcBorders>
                    <w:left w:val="single" w:color="auto" w:sz="4" w:space="0"/>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1267"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990" w:type="dxa"/>
                  <w:tcBorders>
                    <w:top w:val="single" w:color="auto" w:sz="6" w:space="0"/>
                    <w:left w:val="nil"/>
                    <w:bottom w:val="single" w:color="auto" w:sz="4" w:space="0"/>
                    <w:right w:val="single" w:color="auto" w:sz="4" w:space="0"/>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经度</w:t>
                  </w:r>
                </w:p>
              </w:tc>
              <w:tc>
                <w:tcPr>
                  <w:tcW w:w="1045" w:type="dxa"/>
                  <w:tcBorders>
                    <w:top w:val="single" w:color="auto" w:sz="6" w:space="0"/>
                    <w:left w:val="single" w:color="auto" w:sz="6" w:space="0"/>
                    <w:bottom w:val="single" w:color="auto" w:sz="4" w:space="0"/>
                    <w:right w:val="single" w:color="auto" w:sz="4" w:space="0"/>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纬度</w:t>
                  </w:r>
                </w:p>
              </w:tc>
              <w:tc>
                <w:tcPr>
                  <w:tcW w:w="1095" w:type="dxa"/>
                  <w:vMerge w:val="continue"/>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1990" w:type="dxa"/>
                  <w:vMerge w:val="continue"/>
                  <w:tcBorders>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605" w:type="dxa"/>
                  <w:vMerge w:val="continue"/>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695" w:type="dxa"/>
                  <w:vMerge w:val="continue"/>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42"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267"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三沟小学</w:t>
                  </w:r>
                </w:p>
              </w:tc>
              <w:tc>
                <w:tcPr>
                  <w:tcW w:w="990" w:type="dxa"/>
                  <w:tcBorders>
                    <w:top w:val="single" w:color="auto" w:sz="6"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116.977</w:t>
                  </w:r>
                </w:p>
              </w:tc>
              <w:tc>
                <w:tcPr>
                  <w:tcW w:w="1045"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31.491</w:t>
                  </w:r>
                </w:p>
              </w:tc>
              <w:tc>
                <w:tcPr>
                  <w:tcW w:w="10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500人</w:t>
                  </w:r>
                </w:p>
              </w:tc>
              <w:tc>
                <w:tcPr>
                  <w:tcW w:w="1990" w:type="dxa"/>
                  <w:vMerge w:val="restart"/>
                  <w:tcBorders>
                    <w:left w:val="nil"/>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《环境空气质量标准》（GB3095-2012）二级标准</w:t>
                  </w:r>
                </w:p>
              </w:tc>
              <w:tc>
                <w:tcPr>
                  <w:tcW w:w="605" w:type="dxa"/>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E</w:t>
                  </w:r>
                </w:p>
              </w:tc>
              <w:tc>
                <w:tcPr>
                  <w:tcW w:w="6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42"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1267"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林庄</w:t>
                  </w:r>
                </w:p>
              </w:tc>
              <w:tc>
                <w:tcPr>
                  <w:tcW w:w="990" w:type="dxa"/>
                  <w:tcBorders>
                    <w:top w:val="single" w:color="auto" w:sz="6"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116.978</w:t>
                  </w:r>
                </w:p>
              </w:tc>
              <w:tc>
                <w:tcPr>
                  <w:tcW w:w="1045"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31.489</w:t>
                  </w:r>
                </w:p>
              </w:tc>
              <w:tc>
                <w:tcPr>
                  <w:tcW w:w="10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300户，1500人</w:t>
                  </w:r>
                </w:p>
              </w:tc>
              <w:tc>
                <w:tcPr>
                  <w:tcW w:w="1990" w:type="dxa"/>
                  <w:vMerge w:val="continue"/>
                  <w:tcBorders>
                    <w:left w:val="nil"/>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605" w:type="dxa"/>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E</w:t>
                  </w:r>
                </w:p>
              </w:tc>
              <w:tc>
                <w:tcPr>
                  <w:tcW w:w="6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42"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1267"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韦家庄</w:t>
                  </w:r>
                </w:p>
              </w:tc>
              <w:tc>
                <w:tcPr>
                  <w:tcW w:w="990" w:type="dxa"/>
                  <w:tcBorders>
                    <w:top w:val="single" w:color="auto" w:sz="6"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116.970</w:t>
                  </w:r>
                </w:p>
              </w:tc>
              <w:tc>
                <w:tcPr>
                  <w:tcW w:w="1045"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31.487</w:t>
                  </w:r>
                </w:p>
              </w:tc>
              <w:tc>
                <w:tcPr>
                  <w:tcW w:w="10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280户，1400人</w:t>
                  </w:r>
                </w:p>
              </w:tc>
              <w:tc>
                <w:tcPr>
                  <w:tcW w:w="1990" w:type="dxa"/>
                  <w:vMerge w:val="continue"/>
                  <w:tcBorders>
                    <w:left w:val="nil"/>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605" w:type="dxa"/>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w:t>
                  </w:r>
                </w:p>
              </w:tc>
              <w:tc>
                <w:tcPr>
                  <w:tcW w:w="6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2"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1267"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杨家庄</w:t>
                  </w:r>
                </w:p>
              </w:tc>
              <w:tc>
                <w:tcPr>
                  <w:tcW w:w="990" w:type="dxa"/>
                  <w:tcBorders>
                    <w:top w:val="single" w:color="auto" w:sz="6"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116.968</w:t>
                  </w:r>
                </w:p>
              </w:tc>
              <w:tc>
                <w:tcPr>
                  <w:tcW w:w="1045"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31.492</w:t>
                  </w:r>
                </w:p>
              </w:tc>
              <w:tc>
                <w:tcPr>
                  <w:tcW w:w="10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180户，1000人</w:t>
                  </w:r>
                </w:p>
              </w:tc>
              <w:tc>
                <w:tcPr>
                  <w:tcW w:w="1990" w:type="dxa"/>
                  <w:vMerge w:val="continue"/>
                  <w:tcBorders>
                    <w:left w:val="nil"/>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605" w:type="dxa"/>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SW</w:t>
                  </w:r>
                </w:p>
              </w:tc>
              <w:tc>
                <w:tcPr>
                  <w:tcW w:w="6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42"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267"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枫丹欧洲华城</w:t>
                  </w:r>
                </w:p>
              </w:tc>
              <w:tc>
                <w:tcPr>
                  <w:tcW w:w="990" w:type="dxa"/>
                  <w:tcBorders>
                    <w:top w:val="single" w:color="auto" w:sz="6"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116.974</w:t>
                  </w:r>
                </w:p>
              </w:tc>
              <w:tc>
                <w:tcPr>
                  <w:tcW w:w="1045"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31.484</w:t>
                  </w:r>
                </w:p>
              </w:tc>
              <w:tc>
                <w:tcPr>
                  <w:tcW w:w="10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350户，2000人</w:t>
                  </w:r>
                </w:p>
              </w:tc>
              <w:tc>
                <w:tcPr>
                  <w:tcW w:w="1990" w:type="dxa"/>
                  <w:vMerge w:val="continue"/>
                  <w:tcBorders>
                    <w:left w:val="nil"/>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05" w:type="dxa"/>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SE</w:t>
                  </w:r>
                </w:p>
              </w:tc>
              <w:tc>
                <w:tcPr>
                  <w:tcW w:w="6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42"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1267" w:type="dxa"/>
                  <w:tcBorders>
                    <w:top w:val="single" w:color="auto" w:sz="4"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王家庄</w:t>
                  </w:r>
                </w:p>
              </w:tc>
              <w:tc>
                <w:tcPr>
                  <w:tcW w:w="990" w:type="dxa"/>
                  <w:tcBorders>
                    <w:top w:val="single" w:color="auto" w:sz="6" w:space="0"/>
                    <w:left w:val="nil"/>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116.971</w:t>
                  </w:r>
                </w:p>
              </w:tc>
              <w:tc>
                <w:tcPr>
                  <w:tcW w:w="1045"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31.496</w:t>
                  </w:r>
                </w:p>
              </w:tc>
              <w:tc>
                <w:tcPr>
                  <w:tcW w:w="10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140户800人</w:t>
                  </w:r>
                </w:p>
              </w:tc>
              <w:tc>
                <w:tcPr>
                  <w:tcW w:w="1990" w:type="dxa"/>
                  <w:vMerge w:val="continue"/>
                  <w:tcBorders>
                    <w:left w:val="nil"/>
                    <w:right w:val="single" w:color="auto" w:sz="4" w:space="0"/>
                  </w:tcBorders>
                  <w:vAlign w:val="center"/>
                </w:tcPr>
                <w:p>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05" w:type="dxa"/>
                  <w:tcBorders>
                    <w:top w:val="single" w:color="auto" w:sz="4" w:space="0"/>
                    <w:left w:val="nil"/>
                    <w:bottom w:val="single" w:color="auto" w:sz="4" w:space="0"/>
                    <w:right w:val="single" w:color="auto" w:sz="6"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NW</w:t>
                  </w:r>
                </w:p>
              </w:tc>
              <w:tc>
                <w:tcPr>
                  <w:tcW w:w="695"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477m</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jc w:val="both"/>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注：本项目以厂址中心为坐标原点，正东为X轴正方向，正北为Y轴正方向，其中环境空气保护目标坐标取距离厂址最近点位位置。</w:t>
            </w:r>
          </w:p>
          <w:p>
            <w:pPr>
              <w:widowControl/>
              <w:spacing w:line="360" w:lineRule="auto"/>
              <w:ind w:firstLine="472" w:firstLineChars="197"/>
              <w:jc w:val="left"/>
              <w:rPr>
                <w:rFonts w:hint="default" w:ascii="Times New Roman" w:hAnsi="Times New Roman" w:cs="Times New Roman"/>
                <w:snapToGrid w:val="0"/>
                <w:color w:val="000000" w:themeColor="text1"/>
                <w:kern w:val="0"/>
                <w:sz w:val="24"/>
                <w:szCs w:val="20"/>
                <w14:textFill>
                  <w14:solidFill>
                    <w14:schemeClr w14:val="tx1"/>
                  </w14:solidFill>
                </w14:textFill>
              </w:rPr>
            </w:pPr>
            <w:r>
              <w:rPr>
                <w:rFonts w:hint="default" w:ascii="Times New Roman" w:hAnsi="Times New Roman" w:cs="Times New Roman"/>
                <w:snapToGrid w:val="0"/>
                <w:color w:val="000000" w:themeColor="text1"/>
                <w:kern w:val="0"/>
                <w:sz w:val="24"/>
                <w:szCs w:val="20"/>
                <w14:textFill>
                  <w14:solidFill>
                    <w14:schemeClr w14:val="tx1"/>
                  </w14:solidFill>
                </w14:textFill>
              </w:rPr>
              <w:t>地下水环境：项目厂界外500米范围内无地下水集中式饮用水水源和热水、矿泉水、温泉等特殊地下水资源的存在情况。</w:t>
            </w:r>
          </w:p>
          <w:p>
            <w:pPr>
              <w:widowControl/>
              <w:spacing w:line="360" w:lineRule="auto"/>
              <w:ind w:firstLine="472" w:firstLineChars="197"/>
              <w:jc w:val="left"/>
              <w:rPr>
                <w:rFonts w:hint="default" w:ascii="Times New Roman" w:hAnsi="Times New Roman" w:cs="Times New Roman"/>
                <w:snapToGrid w:val="0"/>
                <w:color w:val="000000" w:themeColor="text1"/>
                <w:kern w:val="0"/>
                <w:sz w:val="24"/>
                <w:szCs w:val="20"/>
                <w14:textFill>
                  <w14:solidFill>
                    <w14:schemeClr w14:val="tx1"/>
                  </w14:solidFill>
                </w14:textFill>
              </w:rPr>
            </w:pPr>
            <w:r>
              <w:rPr>
                <w:rFonts w:hint="default" w:ascii="Times New Roman" w:hAnsi="Times New Roman" w:cs="Times New Roman"/>
                <w:snapToGrid w:val="0"/>
                <w:color w:val="000000" w:themeColor="text1"/>
                <w:kern w:val="0"/>
                <w:sz w:val="24"/>
                <w:szCs w:val="20"/>
                <w14:textFill>
                  <w14:solidFill>
                    <w14:schemeClr w14:val="tx1"/>
                  </w14:solidFill>
                </w14:textFill>
              </w:rPr>
              <w:t>声环境：厂界外50米范围内无声环境保护目标。</w:t>
            </w:r>
          </w:p>
          <w:p>
            <w:pPr>
              <w:widowControl/>
              <w:spacing w:line="360" w:lineRule="auto"/>
              <w:ind w:firstLine="472" w:firstLineChars="197"/>
              <w:jc w:val="left"/>
              <w:rPr>
                <w:rFonts w:hint="default" w:ascii="Times New Roman" w:hAnsi="Times New Roman" w:cs="Times New Roman"/>
                <w:snapToGrid w:val="0"/>
                <w:color w:val="000000" w:themeColor="text1"/>
                <w:kern w:val="0"/>
                <w:sz w:val="24"/>
                <w:szCs w:val="20"/>
                <w:lang w:eastAsia="zh-CN"/>
                <w14:textFill>
                  <w14:solidFill>
                    <w14:schemeClr w14:val="tx1"/>
                  </w14:solidFill>
                </w14:textFill>
              </w:rPr>
            </w:pPr>
            <w:r>
              <w:rPr>
                <w:rFonts w:hint="default" w:ascii="Times New Roman" w:hAnsi="Times New Roman" w:cs="Times New Roman"/>
                <w:snapToGrid w:val="0"/>
                <w:color w:val="000000" w:themeColor="text1"/>
                <w:kern w:val="0"/>
                <w:sz w:val="24"/>
                <w:szCs w:val="20"/>
                <w:lang w:eastAsia="zh-CN"/>
                <w14:textFill>
                  <w14:solidFill>
                    <w14:schemeClr w14:val="tx1"/>
                  </w14:solidFill>
                </w14:textFill>
              </w:rPr>
              <w:t>生态环境：项目用地范围内不涉及生态环境保护目标。</w:t>
            </w:r>
          </w:p>
          <w:p>
            <w:pPr>
              <w:pStyle w:val="17"/>
              <w:keepNext w:val="0"/>
              <w:keepLines w:val="0"/>
              <w:pageBreakBefore w:val="0"/>
              <w:widowControl w:val="0"/>
              <w:numPr>
                <w:ilvl w:val="0"/>
                <w:numId w:val="0"/>
              </w:numPr>
              <w:kinsoku/>
              <w:wordWrap/>
              <w:overflowPunct/>
              <w:topLinePunct w:val="0"/>
              <w:autoSpaceDE/>
              <w:autoSpaceDN/>
              <w:bidi w:val="0"/>
              <w:adjustRightInd w:val="0"/>
              <w:snapToGrid/>
              <w:spacing w:before="0" w:line="360" w:lineRule="auto"/>
              <w:jc w:val="both"/>
              <w:textAlignment w:val="baseline"/>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1" w:hRule="atLeast"/>
          <w:jc w:val="center"/>
        </w:trPr>
        <w:tc>
          <w:tcPr>
            <w:tcW w:w="436" w:type="dxa"/>
            <w:noWrap w:val="0"/>
            <w:tcMar>
              <w:left w:w="28" w:type="dxa"/>
              <w:right w:w="28" w:type="dxa"/>
            </w:tcMar>
            <w:vAlign w:val="center"/>
          </w:tcPr>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污染</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物排</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放控</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制标</w:t>
            </w:r>
          </w:p>
          <w:p>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准</w:t>
            </w:r>
          </w:p>
        </w:tc>
        <w:tc>
          <w:tcPr>
            <w:tcW w:w="8635" w:type="dxa"/>
            <w:noWrap w:val="0"/>
            <w:vAlign w:val="top"/>
          </w:tcPr>
          <w:p>
            <w:pPr>
              <w:pStyle w:val="71"/>
              <w:spacing w:before="73" w:line="360" w:lineRule="auto"/>
              <w:ind w:left="583" w:right="0"/>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1、废气排放标准</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p>
          <w:p>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）本项目天然气熔铝炉、抛丸、压</w:t>
            </w:r>
            <w:r>
              <w:rPr>
                <w:rFonts w:hint="default" w:ascii="Times New Roman" w:hAnsi="Times New Roman" w:eastAsia="宋体" w:cs="Times New Roman"/>
                <w:color w:val="000000" w:themeColor="text1"/>
                <w:sz w:val="24"/>
                <w:szCs w:val="24"/>
                <w:lang w:eastAsia="zh-CN"/>
                <w14:textFill>
                  <w14:solidFill>
                    <w14:schemeClr w14:val="tx1"/>
                  </w14:solidFill>
                </w14:textFill>
              </w:rPr>
              <w:t>铸、</w:t>
            </w:r>
            <w:r>
              <w:rPr>
                <w:rFonts w:hint="default" w:ascii="Times New Roman" w:hAnsi="Times New Roman" w:cs="Times New Roman"/>
                <w:color w:val="000000" w:themeColor="text1"/>
                <w:sz w:val="24"/>
                <w:szCs w:val="24"/>
                <w:lang w:val="en-US" w:eastAsia="zh-CN"/>
                <w14:textFill>
                  <w14:solidFill>
                    <w14:schemeClr w14:val="tx1"/>
                  </w14:solidFill>
                </w14:textFill>
              </w:rPr>
              <w:t>抛光</w:t>
            </w:r>
            <w:r>
              <w:rPr>
                <w:rFonts w:hint="default" w:ascii="Times New Roman" w:hAnsi="Times New Roman" w:eastAsia="宋体" w:cs="Times New Roman"/>
                <w:color w:val="000000" w:themeColor="text1"/>
                <w:sz w:val="24"/>
                <w:szCs w:val="24"/>
                <w:lang w:eastAsia="zh-CN"/>
                <w14:textFill>
                  <w14:solidFill>
                    <w14:schemeClr w14:val="tx1"/>
                  </w14:solidFill>
                </w14:textFill>
              </w:rPr>
              <w:t>废</w:t>
            </w:r>
            <w:r>
              <w:rPr>
                <w:rFonts w:hint="default" w:ascii="Times New Roman" w:hAnsi="Times New Roman" w:cs="Times New Roman"/>
                <w:color w:val="000000" w:themeColor="text1"/>
                <w:sz w:val="24"/>
                <w:szCs w:val="24"/>
                <w:lang w:eastAsia="zh-CN"/>
                <w14:textFill>
                  <w14:solidFill>
                    <w14:schemeClr w14:val="tx1"/>
                  </w14:solidFill>
                </w14:textFill>
              </w:rPr>
              <w:t>气排放执行《铸造工业大气污染物排放标准》（GB39726—2020）中表1标准限值，其中脱模废气排放参照执行《铸造工业大气污染物排放标准》（GB39726—2020）中表1表面涂装标准限值。</w:t>
            </w: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 3-5  大气污染物排放限值</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79"/>
              <w:gridCol w:w="1042"/>
              <w:gridCol w:w="1219"/>
              <w:gridCol w:w="1206"/>
              <w:gridCol w:w="1206"/>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96" w:type="pct"/>
                  <w:vAlign w:val="center"/>
                </w:tcPr>
                <w:p>
                  <w:pPr>
                    <w:widowControl/>
                    <w:snapToGrid w:val="0"/>
                    <w:jc w:val="center"/>
                    <w:rPr>
                      <w:rFonts w:hint="default" w:ascii="Times New Roman" w:hAnsi="Times New Roman" w:cs="Times New Roman" w:eastAsiaTheme="minorEastAsia"/>
                      <w:b/>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0"/>
                      <w:sz w:val="21"/>
                      <w:szCs w:val="21"/>
                      <w:lang w:val="en-US" w:eastAsia="zh-CN" w:bidi="ar-SA"/>
                      <w14:textFill>
                        <w14:solidFill>
                          <w14:schemeClr w14:val="tx1"/>
                        </w14:solidFill>
                      </w14:textFill>
                    </w:rPr>
                    <w:t>序号</w:t>
                  </w:r>
                </w:p>
              </w:tc>
              <w:tc>
                <w:tcPr>
                  <w:tcW w:w="524" w:type="pct"/>
                  <w:vAlign w:val="center"/>
                </w:tcPr>
                <w:p>
                  <w:pPr>
                    <w:widowControl/>
                    <w:snapToGrid w:val="0"/>
                    <w:jc w:val="center"/>
                    <w:rPr>
                      <w:rFonts w:hint="default" w:ascii="Times New Roman" w:hAnsi="Times New Roman" w:cs="Times New Roman" w:eastAsiaTheme="minorEastAsia"/>
                      <w:b/>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0"/>
                      <w:szCs w:val="21"/>
                      <w14:textFill>
                        <w14:solidFill>
                          <w14:schemeClr w14:val="tx1"/>
                        </w14:solidFill>
                      </w14:textFill>
                    </w:rPr>
                    <w:t>污染源</w:t>
                  </w:r>
                </w:p>
              </w:tc>
              <w:tc>
                <w:tcPr>
                  <w:tcW w:w="621" w:type="pct"/>
                  <w:vAlign w:val="center"/>
                </w:tcPr>
                <w:p>
                  <w:pPr>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r>
                    <w:rPr>
                      <w:rFonts w:hint="default" w:ascii="Times New Roman" w:hAnsi="Times New Roman" w:cs="Times New Roman"/>
                      <w:b/>
                      <w:bCs/>
                      <w:color w:val="000000" w:themeColor="text1"/>
                      <w:lang w:eastAsia="zh-CN"/>
                      <w14:textFill>
                        <w14:solidFill>
                          <w14:schemeClr w14:val="tx1"/>
                        </w14:solidFill>
                      </w14:textFill>
                    </w:rPr>
                    <w:t>名称</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最高允许排放浓度（mg/m</w:t>
                  </w:r>
                  <w:r>
                    <w:rPr>
                      <w:rFonts w:hint="default" w:ascii="Times New Roman" w:hAnsi="Times New Roman" w:eastAsia="宋体" w:cs="Times New Roman"/>
                      <w:b/>
                      <w:bCs/>
                      <w:color w:val="000000" w:themeColor="text1"/>
                      <w:vertAlign w:val="superscript"/>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最高运行排放速率（</w:t>
                  </w:r>
                  <w:r>
                    <w:rPr>
                      <w:rFonts w:hint="default" w:ascii="Times New Roman" w:hAnsi="Times New Roman" w:eastAsia="宋体" w:cs="Times New Roman"/>
                      <w:b/>
                      <w:bCs/>
                      <w:color w:val="000000" w:themeColor="text1"/>
                      <w:lang w:val="en-US" w:eastAsia="zh-CN"/>
                      <w14:textFill>
                        <w14:solidFill>
                          <w14:schemeClr w14:val="tx1"/>
                        </w14:solidFill>
                      </w14:textFill>
                    </w:rPr>
                    <w:t>kg/h）</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污染物排放监控位置</w:t>
                  </w:r>
                </w:p>
              </w:tc>
              <w:tc>
                <w:tcPr>
                  <w:tcW w:w="1193" w:type="pct"/>
                  <w:vAlign w:val="center"/>
                </w:tcPr>
                <w:p>
                  <w:pPr>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524" w:type="pct"/>
                  <w:vMerge w:val="restar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621"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726"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w:t>
                  </w:r>
                </w:p>
              </w:tc>
              <w:tc>
                <w:tcPr>
                  <w:tcW w:w="719"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车间或生产设施排气筒</w:t>
                  </w:r>
                </w:p>
              </w:tc>
              <w:tc>
                <w:tcPr>
                  <w:tcW w:w="1193" w:type="pct"/>
                  <w:vMerge w:val="restar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《铸造工业大气污染物排放标准》（GB39726-2020）</w:t>
                  </w: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中表1标准限值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6" w:type="pct"/>
                  <w:vMerge w:val="continue"/>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24" w:type="pct"/>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621" w:type="pct"/>
                  <w:vAlign w:val="center"/>
                </w:tcPr>
                <w:p>
                  <w:pPr>
                    <w:widowControl/>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SO</w:t>
                  </w:r>
                  <w:r>
                    <w:rPr>
                      <w:rFonts w:hint="default" w:ascii="Times New Roman" w:hAnsi="Times New Roman" w:cs="Times New Roman"/>
                      <w:color w:val="000000" w:themeColor="text1"/>
                      <w:kern w:val="0"/>
                      <w:szCs w:val="21"/>
                      <w:vertAlign w:val="subscript"/>
                      <w14:textFill>
                        <w14:solidFill>
                          <w14:schemeClr w14:val="tx1"/>
                        </w14:solidFill>
                      </w14:textFill>
                    </w:rPr>
                    <w:t>2</w:t>
                  </w:r>
                </w:p>
              </w:tc>
              <w:tc>
                <w:tcPr>
                  <w:tcW w:w="726"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w:t>
                  </w:r>
                </w:p>
              </w:tc>
              <w:tc>
                <w:tcPr>
                  <w:tcW w:w="719"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6" w:type="pct"/>
                  <w:vMerge w:val="continue"/>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24" w:type="pct"/>
                  <w:vMerge w:val="continue"/>
                  <w:vAlign w:val="center"/>
                </w:tcPr>
                <w:p>
                  <w:pPr>
                    <w:jc w:val="center"/>
                    <w:rPr>
                      <w:rFonts w:hint="default" w:ascii="Times New Roman" w:hAnsi="Times New Roman" w:cs="Times New Roman"/>
                      <w:color w:val="000000" w:themeColor="text1"/>
                      <w:lang w:eastAsia="zh-CN"/>
                      <w14:textFill>
                        <w14:solidFill>
                          <w14:schemeClr w14:val="tx1"/>
                        </w14:solidFill>
                      </w14:textFill>
                    </w:rPr>
                  </w:pPr>
                </w:p>
              </w:tc>
              <w:tc>
                <w:tcPr>
                  <w:tcW w:w="621" w:type="pct"/>
                  <w:vAlign w:val="center"/>
                </w:tcPr>
                <w:p>
                  <w:pPr>
                    <w:widowControl/>
                    <w:snapToGrid w:val="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NOx</w:t>
                  </w:r>
                </w:p>
              </w:tc>
              <w:tc>
                <w:tcPr>
                  <w:tcW w:w="726"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w:t>
                  </w:r>
                </w:p>
              </w:tc>
              <w:tc>
                <w:tcPr>
                  <w:tcW w:w="719"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6"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524" w:type="pct"/>
                  <w:vAlign w:val="center"/>
                </w:tcPr>
                <w:p>
                  <w:pPr>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抛丸、压铸、</w:t>
                  </w:r>
                  <w:r>
                    <w:rPr>
                      <w:rFonts w:hint="default" w:ascii="Times New Roman" w:hAnsi="Times New Roman" w:cs="Times New Roman"/>
                      <w:color w:val="000000" w:themeColor="text1"/>
                      <w:szCs w:val="21"/>
                      <w:lang w:val="en-US" w:eastAsia="zh-CN"/>
                      <w14:textFill>
                        <w14:solidFill>
                          <w14:schemeClr w14:val="tx1"/>
                        </w14:solidFill>
                      </w14:textFill>
                    </w:rPr>
                    <w:t>抛光</w:t>
                  </w:r>
                </w:p>
              </w:tc>
              <w:tc>
                <w:tcPr>
                  <w:tcW w:w="621"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726"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w:t>
                  </w:r>
                </w:p>
              </w:tc>
              <w:tc>
                <w:tcPr>
                  <w:tcW w:w="719"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6"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524" w:type="pct"/>
                  <w:vAlign w:val="center"/>
                </w:tcPr>
                <w:p>
                  <w:pPr>
                    <w:jc w:val="center"/>
                    <w:rPr>
                      <w:rFonts w:hint="default" w:ascii="Times New Roman" w:hAnsi="Times New Roman" w:eastAsia="宋体" w:cs="Times New Roman"/>
                      <w:color w:val="000000" w:themeColor="text1"/>
                      <w:kern w:val="2"/>
                      <w:sz w:val="21"/>
                      <w:szCs w:val="24"/>
                      <w:lang w:val="en-GB"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脱膜</w:t>
                  </w:r>
                </w:p>
              </w:tc>
              <w:tc>
                <w:tcPr>
                  <w:tcW w:w="621"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非甲烷总烃</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100</w:t>
                  </w:r>
                </w:p>
              </w:tc>
              <w:tc>
                <w:tcPr>
                  <w:tcW w:w="71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w:t>
                  </w:r>
                </w:p>
              </w:tc>
              <w:tc>
                <w:tcPr>
                  <w:tcW w:w="719"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Merge w:val="continue"/>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（2）厂界</w:t>
            </w:r>
            <w:r>
              <w:rPr>
                <w:rFonts w:hint="default" w:ascii="Times New Roman" w:hAnsi="Times New Roman" w:cs="Times New Roman"/>
                <w:color w:val="000000" w:themeColor="text1"/>
                <w:sz w:val="24"/>
                <w:szCs w:val="24"/>
                <w14:textFill>
                  <w14:solidFill>
                    <w14:schemeClr w14:val="tx1"/>
                  </w14:solidFill>
                </w14:textFill>
              </w:rPr>
              <w:t>无组织非甲烷总烃、颗粒物等</w:t>
            </w:r>
            <w:r>
              <w:rPr>
                <w:rFonts w:hint="default" w:ascii="Times New Roman" w:hAnsi="Times New Roman" w:eastAsia="宋体" w:cs="Times New Roman"/>
                <w:color w:val="000000" w:themeColor="text1"/>
                <w:sz w:val="24"/>
                <w:szCs w:val="24"/>
                <w14:textFill>
                  <w14:solidFill>
                    <w14:schemeClr w14:val="tx1"/>
                  </w14:solidFill>
                </w14:textFill>
              </w:rPr>
              <w:t>执行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无组织排放监控浓度限值</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7"/>
              <w:ind w:left="0" w:leftChars="0" w:firstLine="0" w:firstLineChars="0"/>
              <w:jc w:val="center"/>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表3-6  厂界无组织大气污染物浓度限值   单位：mg/m</w:t>
            </w:r>
            <w:r>
              <w:rPr>
                <w:rFonts w:hint="default" w:ascii="Times New Roman" w:hAnsi="Times New Roman" w:eastAsia="宋体" w:cs="Times New Roman"/>
                <w:b/>
                <w:color w:val="000000" w:themeColor="text1"/>
                <w:sz w:val="24"/>
                <w:szCs w:val="24"/>
                <w:vertAlign w:val="superscript"/>
                <w14:textFill>
                  <w14:solidFill>
                    <w14:schemeClr w14:val="tx1"/>
                  </w14:solidFill>
                </w14:textFill>
              </w:rPr>
              <w:t>3</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08"/>
              <w:gridCol w:w="65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8"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392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92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《大气污染物综合排放标准》</w:t>
                  </w:r>
                  <w:r>
                    <w:rPr>
                      <w:rFonts w:hint="default" w:ascii="Times New Roman" w:hAnsi="Times New Roman" w:eastAsia="宋体" w:cs="Times New Roman"/>
                      <w:b/>
                      <w:bCs/>
                      <w:color w:val="000000" w:themeColor="text1"/>
                      <w:lang w:val="en-US" w:eastAsia="zh-CN"/>
                      <w14:textFill>
                        <w14:solidFill>
                          <w14:schemeClr w14:val="tx1"/>
                        </w14:solidFill>
                      </w14:textFill>
                    </w:rPr>
                    <w:t>（GB16297-1996）</w:t>
                  </w: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078" w:type="pct"/>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非甲烷总烃</w:t>
                  </w:r>
                </w:p>
              </w:tc>
              <w:tc>
                <w:tcPr>
                  <w:tcW w:w="3921"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078" w:type="pct"/>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颗粒物</w:t>
                  </w:r>
                </w:p>
              </w:tc>
              <w:tc>
                <w:tcPr>
                  <w:tcW w:w="3921"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厂区内颗粒物无组织监控点浓度执行《铸造工业大气污染物排放标准》（GB39726—2020）附录A表A.1中厂区内无组织排放限值，厂区内有机废气监控点浓度执行《挥发性有机物无组织排放控制标准》（GB37822-2019）表A.1特别排放限值及《铸造工业大气污染物排放标准》（GB39726-2020）附录A表A.1中厂区内无组织排放限值中的较严值。</w:t>
            </w:r>
          </w:p>
          <w:p>
            <w:pPr>
              <w:pStyle w:val="7"/>
              <w:ind w:left="0" w:leftChars="0" w:firstLine="0" w:firstLineChars="0"/>
              <w:jc w:val="center"/>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表3-</w:t>
            </w:r>
            <w:r>
              <w:rPr>
                <w:rFonts w:hint="default" w:ascii="Times New Roman" w:hAnsi="Times New Roman" w:cs="Times New Roman"/>
                <w:b/>
                <w:color w:val="000000" w:themeColor="text1"/>
                <w:kern w:val="0"/>
                <w:sz w:val="24"/>
                <w:szCs w:val="20"/>
                <w:lang w:val="en-US" w:eastAsia="zh-CN" w:bidi="ar-SA"/>
                <w14:textFill>
                  <w14:solidFill>
                    <w14:schemeClr w14:val="tx1"/>
                  </w14:solidFill>
                </w14:textFill>
              </w:rPr>
              <w:t>7</w:t>
            </w: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 xml:space="preserve">  厂区内颗粒物、VOCs无组织排放限值   单位：mg/m</w:t>
            </w:r>
            <w:r>
              <w:rPr>
                <w:rFonts w:hint="default" w:ascii="Times New Roman" w:hAnsi="Times New Roman" w:eastAsia="宋体" w:cs="Times New Roman"/>
                <w:b/>
                <w:color w:val="000000" w:themeColor="text1"/>
                <w:sz w:val="24"/>
                <w:szCs w:val="24"/>
                <w:vertAlign w:val="superscript"/>
                <w14:textFill>
                  <w14:solidFill>
                    <w14:schemeClr w14:val="tx1"/>
                  </w14:solidFill>
                </w14:textFill>
              </w:rPr>
              <w:t>3</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881"/>
              <w:gridCol w:w="1047"/>
              <w:gridCol w:w="1475"/>
              <w:gridCol w:w="1398"/>
              <w:gridCol w:w="28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88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限值</w:t>
                  </w:r>
                </w:p>
              </w:tc>
              <w:tc>
                <w:tcPr>
                  <w:tcW w:w="9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限值含义</w:t>
                  </w:r>
                </w:p>
              </w:tc>
              <w:tc>
                <w:tcPr>
                  <w:tcW w:w="85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无组织排放监控位置</w:t>
                  </w:r>
                </w:p>
              </w:tc>
              <w:tc>
                <w:tcPr>
                  <w:tcW w:w="171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8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p>
              </w:tc>
              <w:tc>
                <w:tcPr>
                  <w:tcW w:w="9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监控点处1h平均浓度值</w:t>
                  </w:r>
                </w:p>
              </w:tc>
              <w:tc>
                <w:tcPr>
                  <w:tcW w:w="85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在厂房外设置监控点</w:t>
                  </w:r>
                </w:p>
              </w:tc>
              <w:tc>
                <w:tcPr>
                  <w:tcW w:w="1715"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《铸造工业大气污染物排放标准》（GB39726—2020）附录A表A.1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80" w:type="pct"/>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NMHC</w:t>
                  </w: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9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监控点处1h平均浓度值</w:t>
                  </w:r>
                </w:p>
              </w:tc>
              <w:tc>
                <w:tcPr>
                  <w:tcW w:w="855"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在厂房外设置监控点</w:t>
                  </w:r>
                </w:p>
              </w:tc>
              <w:tc>
                <w:tcPr>
                  <w:tcW w:w="171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8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9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监控点处任意一次浓度值</w:t>
                  </w:r>
                </w:p>
              </w:tc>
              <w:tc>
                <w:tcPr>
                  <w:tcW w:w="85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1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8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6</w:t>
                  </w:r>
                </w:p>
              </w:tc>
              <w:tc>
                <w:tcPr>
                  <w:tcW w:w="9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监控点处1h平均浓度值</w:t>
                  </w:r>
                </w:p>
              </w:tc>
              <w:tc>
                <w:tcPr>
                  <w:tcW w:w="85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15"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《挥发性有机物无组织排放控制标准》（GB37822-2019）表</w:t>
                  </w:r>
                  <w:r>
                    <w:rPr>
                      <w:rFonts w:hint="default" w:ascii="Times New Roman" w:hAnsi="Times New Roman" w:eastAsia="宋体" w:cs="Times New Roman"/>
                      <w:b w:val="0"/>
                      <w:bCs w:val="0"/>
                      <w:color w:val="000000" w:themeColor="text1"/>
                      <w:sz w:val="21"/>
                      <w:szCs w:val="21"/>
                      <w14:textFill>
                        <w14:solidFill>
                          <w14:schemeClr w14:val="tx1"/>
                        </w14:solidFill>
                      </w14:textFill>
                    </w:rPr>
                    <w:t>A.1特别排放限值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88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20</w:t>
                  </w:r>
                </w:p>
              </w:tc>
              <w:tc>
                <w:tcPr>
                  <w:tcW w:w="90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监控点处任意一次浓度值</w:t>
                  </w:r>
                </w:p>
              </w:tc>
              <w:tc>
                <w:tcPr>
                  <w:tcW w:w="85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1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466"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本项目执行标准</w:t>
                  </w:r>
                </w:p>
              </w:tc>
              <w:tc>
                <w:tcPr>
                  <w:tcW w:w="41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颗粒物</w:t>
                  </w:r>
                </w:p>
              </w:tc>
              <w:tc>
                <w:tcPr>
                  <w:tcW w:w="10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p>
              </w:tc>
              <w:tc>
                <w:tcPr>
                  <w:tcW w:w="14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监控点处1h平均浓度值</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在厂房外设置监控点</w:t>
                  </w:r>
                </w:p>
              </w:tc>
              <w:tc>
                <w:tcPr>
                  <w:tcW w:w="171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46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14"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NMHC</w:t>
                  </w:r>
                </w:p>
              </w:tc>
              <w:tc>
                <w:tcPr>
                  <w:tcW w:w="10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6</w:t>
                  </w:r>
                </w:p>
              </w:tc>
              <w:tc>
                <w:tcPr>
                  <w:tcW w:w="14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监控点处1h平均浓度值</w:t>
                  </w:r>
                </w:p>
              </w:tc>
              <w:tc>
                <w:tcPr>
                  <w:tcW w:w="85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在厂房外设置监控点</w:t>
                  </w:r>
                </w:p>
              </w:tc>
              <w:tc>
                <w:tcPr>
                  <w:tcW w:w="171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46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20</w:t>
                  </w:r>
                </w:p>
              </w:tc>
              <w:tc>
                <w:tcPr>
                  <w:tcW w:w="14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监控点处任意一次浓度值</w:t>
                  </w:r>
                </w:p>
              </w:tc>
              <w:tc>
                <w:tcPr>
                  <w:tcW w:w="85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715"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bl>
          <w:p>
            <w:pPr>
              <w:pStyle w:val="71"/>
              <w:spacing w:before="158" w:line="360" w:lineRule="auto"/>
              <w:ind w:right="74" w:firstLine="480" w:firstLineChars="200"/>
              <w:jc w:val="left"/>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食堂油烟执行《饮食业油烟排放标准（试行）》（GB18483-2001）小型规模。</w:t>
            </w:r>
            <w:r>
              <w:rPr>
                <w:rFonts w:hint="default" w:ascii="Times New Roman" w:hAnsi="Times New Roman" w:cs="Times New Roman"/>
                <w:snapToGrid w:val="0"/>
                <w:color w:val="000000" w:themeColor="text1"/>
                <w:sz w:val="24"/>
                <w14:textFill>
                  <w14:solidFill>
                    <w14:schemeClr w14:val="tx1"/>
                  </w14:solidFill>
                </w14:textFill>
              </w:rPr>
              <w:t>详见下表：</w:t>
            </w:r>
          </w:p>
          <w:p>
            <w:pPr>
              <w:pStyle w:val="71"/>
              <w:spacing w:before="158"/>
              <w:ind w:right="74"/>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w:t>
            </w:r>
            <w:r>
              <w:rPr>
                <w:rFonts w:hint="default" w:ascii="Times New Roman" w:hAnsi="Times New Roman" w:eastAsia="宋体" w:cs="Times New Roman"/>
                <w:b/>
                <w:color w:val="000000" w:themeColor="text1"/>
                <w:kern w:val="0"/>
                <w:sz w:val="24"/>
                <w:szCs w:val="20"/>
                <w:lang w:val="en-US" w:eastAsia="zh-CN" w:bidi="ar-SA"/>
                <w14:textFill>
                  <w14:solidFill>
                    <w14:schemeClr w14:val="tx1"/>
                  </w14:solidFill>
                </w14:textFill>
              </w:rPr>
              <w:t>3-8  《</w:t>
            </w:r>
            <w:r>
              <w:rPr>
                <w:rFonts w:hint="default" w:ascii="Times New Roman" w:hAnsi="Times New Roman" w:cs="Times New Roman"/>
                <w:b/>
                <w:color w:val="000000" w:themeColor="text1"/>
                <w:sz w:val="24"/>
                <w14:textFill>
                  <w14:solidFill>
                    <w14:schemeClr w14:val="tx1"/>
                  </w14:solidFill>
                </w14:textFill>
              </w:rPr>
              <w:t>饮食业油烟排放标准（试行）》（GB18483-2001）</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1444"/>
              <w:gridCol w:w="1444"/>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2618" w:type="pct"/>
                  <w:vAlign w:val="center"/>
                </w:tcPr>
                <w:p>
                  <w:pPr>
                    <w:spacing w:line="320" w:lineRule="exact"/>
                    <w:ind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规模</w:t>
                  </w:r>
                </w:p>
              </w:tc>
              <w:tc>
                <w:tcPr>
                  <w:tcW w:w="861" w:type="pct"/>
                  <w:shd w:val="clear" w:color="auto" w:fill="BEBEBE" w:themeFill="background1" w:themeFillShade="BF"/>
                  <w:vAlign w:val="center"/>
                </w:tcPr>
                <w:p>
                  <w:pPr>
                    <w:spacing w:line="320" w:lineRule="exact"/>
                    <w:ind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小型</w:t>
                  </w:r>
                </w:p>
              </w:tc>
              <w:tc>
                <w:tcPr>
                  <w:tcW w:w="861" w:type="pct"/>
                  <w:vAlign w:val="center"/>
                </w:tcPr>
                <w:p>
                  <w:pPr>
                    <w:spacing w:line="320" w:lineRule="exact"/>
                    <w:ind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中型</w:t>
                  </w:r>
                </w:p>
              </w:tc>
              <w:tc>
                <w:tcPr>
                  <w:tcW w:w="658" w:type="pct"/>
                  <w:vAlign w:val="center"/>
                </w:tcPr>
                <w:p>
                  <w:pPr>
                    <w:spacing w:line="320" w:lineRule="exact"/>
                    <w:ind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618"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基准灶头数</w:t>
                  </w:r>
                </w:p>
              </w:tc>
              <w:tc>
                <w:tcPr>
                  <w:tcW w:w="861" w:type="pct"/>
                  <w:shd w:val="clear" w:color="auto" w:fill="BEBEBE" w:themeFill="background1" w:themeFillShade="BF"/>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≥1，&lt;3</w:t>
                  </w:r>
                </w:p>
              </w:tc>
              <w:tc>
                <w:tcPr>
                  <w:tcW w:w="861"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≥3，&lt;6</w:t>
                  </w:r>
                </w:p>
              </w:tc>
              <w:tc>
                <w:tcPr>
                  <w:tcW w:w="658"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jc w:val="center"/>
              </w:trPr>
              <w:tc>
                <w:tcPr>
                  <w:tcW w:w="2618"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最高允许排放浓度（mg/m</w:t>
                  </w:r>
                  <w:r>
                    <w:rPr>
                      <w:rFonts w:hint="default" w:ascii="Times New Roman" w:hAnsi="Times New Roman" w:cs="Times New Roman"/>
                      <w:bCs/>
                      <w:color w:val="000000" w:themeColor="text1"/>
                      <w:szCs w:val="21"/>
                      <w:vertAlign w:val="super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w:t>
                  </w:r>
                </w:p>
              </w:tc>
              <w:tc>
                <w:tcPr>
                  <w:tcW w:w="2381" w:type="pct"/>
                  <w:gridSpan w:val="3"/>
                  <w:shd w:val="clear" w:color="auto" w:fill="BEBEBE" w:themeFill="background1" w:themeFillShade="BF"/>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2618"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净化设施最低去除率（%）</w:t>
                  </w:r>
                </w:p>
              </w:tc>
              <w:tc>
                <w:tcPr>
                  <w:tcW w:w="861" w:type="pct"/>
                  <w:shd w:val="clear" w:color="auto" w:fill="BEBEBE" w:themeFill="background1" w:themeFillShade="BF"/>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60</w:t>
                  </w:r>
                </w:p>
              </w:tc>
              <w:tc>
                <w:tcPr>
                  <w:tcW w:w="861"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75</w:t>
                  </w:r>
                </w:p>
              </w:tc>
              <w:tc>
                <w:tcPr>
                  <w:tcW w:w="658" w:type="pct"/>
                  <w:vAlign w:val="center"/>
                </w:tcPr>
                <w:p>
                  <w:pPr>
                    <w:spacing w:line="320" w:lineRule="exact"/>
                    <w:ind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85</w:t>
                  </w:r>
                </w:p>
              </w:tc>
            </w:tr>
          </w:tbl>
          <w:p>
            <w:pPr>
              <w:pStyle w:val="71"/>
              <w:keepNext w:val="0"/>
              <w:keepLines w:val="0"/>
              <w:pageBreakBefore w:val="0"/>
              <w:widowControl w:val="0"/>
              <w:kinsoku/>
              <w:wordWrap/>
              <w:overflowPunct/>
              <w:topLinePunct w:val="0"/>
              <w:autoSpaceDE/>
              <w:autoSpaceDN/>
              <w:bidi w:val="0"/>
              <w:adjustRightInd/>
              <w:snapToGrid/>
              <w:spacing w:before="313" w:beforeLines="100" w:line="360" w:lineRule="auto"/>
              <w:ind w:left="584" w:right="0"/>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2、废水排放标准</w:t>
            </w:r>
          </w:p>
          <w:p>
            <w:pPr>
              <w:spacing w:line="360" w:lineRule="auto"/>
              <w:ind w:firstLine="480" w:firstLineChars="200"/>
              <w:jc w:val="left"/>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项目外排废水</w:t>
            </w:r>
            <w:r>
              <w:rPr>
                <w:rFonts w:hint="default" w:ascii="Times New Roman" w:hAnsi="Times New Roman" w:cs="Times New Roman"/>
                <w:color w:val="000000" w:themeColor="text1"/>
                <w:sz w:val="24"/>
                <w:szCs w:val="32"/>
                <w:lang w:eastAsia="zh-CN"/>
                <w14:textFill>
                  <w14:solidFill>
                    <w14:schemeClr w14:val="tx1"/>
                  </w14:solidFill>
                </w14:textFill>
              </w:rPr>
              <w:t>为生活污水和循环冷却水，</w:t>
            </w:r>
            <w:r>
              <w:rPr>
                <w:rFonts w:hint="default" w:ascii="Times New Roman" w:hAnsi="Times New Roman" w:cs="Times New Roman"/>
                <w:color w:val="000000" w:themeColor="text1"/>
                <w:sz w:val="24"/>
                <w:szCs w:val="32"/>
                <w:lang w:val="en-US" w:eastAsia="zh-CN"/>
                <w14:textFill>
                  <w14:solidFill>
                    <w14:schemeClr w14:val="tx1"/>
                  </w14:solidFill>
                </w14:textFill>
              </w:rPr>
              <w:t>项目厂区内市政污水管网接管前，生活污水经隔油池、化粪池处理后定期清掏；①循环冷却水循环使用，定期补充，每三个月排放一次，循环冷却水进入厂区暂存池暂存，定期委托罐车外运至舒城经济开发区污水处理厂</w:t>
            </w:r>
            <w:r>
              <w:rPr>
                <w:rFonts w:hint="default" w:ascii="Times New Roman" w:hAnsi="Times New Roman" w:cs="Times New Roman"/>
                <w:color w:val="000000" w:themeColor="text1"/>
                <w:sz w:val="24"/>
                <w:szCs w:val="24"/>
                <w:lang w:val="en-US" w:eastAsia="zh-CN"/>
                <w14:textFill>
                  <w14:solidFill>
                    <w14:schemeClr w14:val="tx1"/>
                  </w14:solidFill>
                </w14:textFill>
              </w:rPr>
              <w:t>，处理达标后排入三里河</w:t>
            </w:r>
            <w:r>
              <w:rPr>
                <w:rFonts w:hint="default" w:ascii="Times New Roman" w:hAnsi="Times New Roman" w:cs="Times New Roman"/>
                <w:color w:val="000000" w:themeColor="text1"/>
                <w:sz w:val="24"/>
                <w:szCs w:val="32"/>
                <w:lang w:val="en-US" w:eastAsia="zh-CN"/>
                <w14:textFill>
                  <w14:solidFill>
                    <w14:schemeClr w14:val="tx1"/>
                  </w14:solidFill>
                </w14:textFill>
              </w:rPr>
              <w:t>；②生活污水经隔油池、化粪池处理后定期清掏；</w:t>
            </w:r>
            <w:r>
              <w:rPr>
                <w:rFonts w:hint="default" w:ascii="Times New Roman" w:hAnsi="Times New Roman" w:cs="Times New Roman"/>
                <w:color w:val="000000" w:themeColor="text1"/>
                <w:kern w:val="1"/>
                <w:sz w:val="24"/>
                <w:szCs w:val="24"/>
                <w:highlight w:val="none"/>
                <w:lang w:val="en-US" w:eastAsia="zh-CN" w:bidi="ar"/>
                <w14:textFill>
                  <w14:solidFill>
                    <w14:schemeClr w14:val="tx1"/>
                  </w14:solidFill>
                </w14:textFill>
              </w:rPr>
              <w:t>市政</w:t>
            </w:r>
            <w:r>
              <w:rPr>
                <w:rFonts w:hint="default" w:ascii="Times New Roman" w:hAnsi="Times New Roman" w:cs="Times New Roman"/>
                <w:color w:val="000000" w:themeColor="text1"/>
                <w:sz w:val="24"/>
                <w:szCs w:val="32"/>
                <w:lang w:val="en-US" w:eastAsia="zh-CN"/>
                <w14:textFill>
                  <w14:solidFill>
                    <w14:schemeClr w14:val="tx1"/>
                  </w14:solidFill>
                </w14:textFill>
              </w:rPr>
              <w:t>污水管网接管后，①循环冷却水循环使用，定期补充，每三个月排放一次，循环冷却水排水接管龙津大道市政污水管网进入舒城经济开发区污水处理厂，处理达标后排入三里河；②生活污水经隔油池、化粪池处理执</w:t>
            </w:r>
            <w:r>
              <w:rPr>
                <w:rFonts w:hint="default" w:ascii="Times New Roman" w:hAnsi="Times New Roman" w:eastAsia="宋体" w:cs="Times New Roman"/>
                <w:color w:val="000000" w:themeColor="text1"/>
                <w:sz w:val="24"/>
                <w:szCs w:val="32"/>
                <w14:textFill>
                  <w14:solidFill>
                    <w14:schemeClr w14:val="tx1"/>
                  </w14:solidFill>
                </w14:textFill>
              </w:rPr>
              <w:t>行《污水综合排放标准》（GB8978-1996）表4中的三级标准，同时达到舒城经济开发区污水处理厂接管要求。其相应标准限值见下表：</w:t>
            </w: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表3-</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9</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污水排放执行标准   单位：mg/L</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1386"/>
              <w:gridCol w:w="683"/>
              <w:gridCol w:w="740"/>
              <w:gridCol w:w="550"/>
              <w:gridCol w:w="828"/>
              <w:gridCol w:w="828"/>
              <w:gridCol w:w="655"/>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1231"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b/>
                      <w:bCs/>
                      <w:i w:val="0"/>
                      <w:color w:val="000000" w:themeColor="text1"/>
                      <w:sz w:val="21"/>
                      <w:szCs w:val="21"/>
                      <w:u w:val="none"/>
                      <w:lang w:val="en-US" w:eastAsia="zh-CN"/>
                      <w14:textFill>
                        <w14:solidFill>
                          <w14:schemeClr w14:val="tx1"/>
                        </w14:solidFill>
                      </w14:textFill>
                    </w:rPr>
                    <w:t>标准来源</w:t>
                  </w:r>
                </w:p>
              </w:tc>
              <w:tc>
                <w:tcPr>
                  <w:tcW w:w="830"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color w:val="000000" w:themeColor="text1"/>
                      <w:sz w:val="21"/>
                      <w:szCs w:val="21"/>
                      <w:u w:val="none"/>
                      <w:lang w:val="en-US" w:eastAsia="zh-CN"/>
                      <w14:textFill>
                        <w14:solidFill>
                          <w14:schemeClr w14:val="tx1"/>
                        </w14:solidFill>
                      </w14:textFill>
                    </w:rPr>
                    <w:t>PH</w:t>
                  </w:r>
                </w:p>
              </w:tc>
              <w:tc>
                <w:tcPr>
                  <w:tcW w:w="394"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t>COD</w:t>
                  </w:r>
                </w:p>
              </w:tc>
              <w:tc>
                <w:tcPr>
                  <w:tcW w:w="427"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t>BOD</w:t>
                  </w:r>
                  <w:r>
                    <w:rPr>
                      <w:rFonts w:hint="default" w:ascii="Times New Roman" w:hAnsi="Times New Roman" w:eastAsia="宋体" w:cs="Times New Roman"/>
                      <w:b/>
                      <w:bCs/>
                      <w:i w:val="0"/>
                      <w:color w:val="000000" w:themeColor="text1"/>
                      <w:sz w:val="21"/>
                      <w:szCs w:val="21"/>
                      <w:u w:val="none"/>
                      <w:vertAlign w:val="subscript"/>
                      <w:lang w:val="zh-CN" w:eastAsia="zh-CN"/>
                      <w14:textFill>
                        <w14:solidFill>
                          <w14:schemeClr w14:val="tx1"/>
                        </w14:solidFill>
                      </w14:textFill>
                    </w:rPr>
                    <w:t>5</w:t>
                  </w:r>
                </w:p>
              </w:tc>
              <w:tc>
                <w:tcPr>
                  <w:tcW w:w="331"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t>SS</w:t>
                  </w:r>
                </w:p>
              </w:tc>
              <w:tc>
                <w:tcPr>
                  <w:tcW w:w="497"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t>NH</w:t>
                  </w:r>
                  <w:r>
                    <w:rPr>
                      <w:rFonts w:hint="default" w:ascii="Times New Roman" w:hAnsi="Times New Roman" w:eastAsia="宋体" w:cs="Times New Roman"/>
                      <w:b/>
                      <w:bCs/>
                      <w:i w:val="0"/>
                      <w:color w:val="000000" w:themeColor="text1"/>
                      <w:sz w:val="21"/>
                      <w:szCs w:val="21"/>
                      <w:u w:val="none"/>
                      <w:vertAlign w:val="subscript"/>
                      <w:lang w:val="zh-CN" w:eastAsia="zh-CN"/>
                      <w14:textFill>
                        <w14:solidFill>
                          <w14:schemeClr w14:val="tx1"/>
                        </w14:solidFill>
                      </w14:textFill>
                    </w:rPr>
                    <w:t>3</w:t>
                  </w:r>
                  <w:r>
                    <w:rPr>
                      <w:rFonts w:hint="default" w:ascii="Times New Roman" w:hAnsi="Times New Roman" w:eastAsia="宋体" w:cs="Times New Roman"/>
                      <w:b/>
                      <w:bCs/>
                      <w:i w:val="0"/>
                      <w:color w:val="000000" w:themeColor="text1"/>
                      <w:sz w:val="21"/>
                      <w:szCs w:val="21"/>
                      <w:u w:val="none"/>
                      <w:lang w:val="zh-CN" w:eastAsia="zh-CN"/>
                      <w14:textFill>
                        <w14:solidFill>
                          <w14:schemeClr w14:val="tx1"/>
                        </w14:solidFill>
                      </w14:textFill>
                    </w:rPr>
                    <w:t>-</w:t>
                  </w:r>
                  <w:r>
                    <w:rPr>
                      <w:rFonts w:hint="default" w:ascii="Times New Roman" w:hAnsi="Times New Roman" w:eastAsia="宋体" w:cs="Times New Roman"/>
                      <w:b/>
                      <w:bCs/>
                      <w:i w:val="0"/>
                      <w:color w:val="000000" w:themeColor="text1"/>
                      <w:sz w:val="21"/>
                      <w:szCs w:val="21"/>
                      <w:u w:val="none"/>
                      <w:lang w:val="en-US" w:eastAsia="zh-CN"/>
                      <w14:textFill>
                        <w14:solidFill>
                          <w14:schemeClr w14:val="tx1"/>
                        </w14:solidFill>
                      </w14:textFill>
                    </w:rPr>
                    <w:t>N</w:t>
                  </w:r>
                </w:p>
              </w:tc>
              <w:tc>
                <w:tcPr>
                  <w:tcW w:w="497" w:type="pct"/>
                  <w:tcBorders>
                    <w:tl2br w:val="nil"/>
                    <w:tr2bl w:val="nil"/>
                  </w:tcBorders>
                  <w:noWrap w:val="0"/>
                  <w:vAlign w:val="center"/>
                </w:tcPr>
                <w:p>
                  <w:pPr>
                    <w:spacing w:line="240" w:lineRule="auto"/>
                    <w:jc w:val="center"/>
                    <w:rPr>
                      <w:rFonts w:hint="default" w:ascii="Times New Roman" w:hAnsi="Times New Roman" w:eastAsia="宋体" w:cs="Times New Roman"/>
                      <w:b/>
                      <w:bCs/>
                      <w:i w:val="0"/>
                      <w:color w:val="000000" w:themeColor="text1"/>
                      <w:kern w:val="2"/>
                      <w:sz w:val="21"/>
                      <w:szCs w:val="21"/>
                      <w:u w:val="none"/>
                      <w:lang w:val="zh-CN" w:eastAsia="zh-CN" w:bidi="ar-SA"/>
                      <w14:textFill>
                        <w14:solidFill>
                          <w14:schemeClr w14:val="tx1"/>
                        </w14:solidFill>
                      </w14:textFill>
                    </w:rPr>
                  </w:pPr>
                  <w:r>
                    <w:rPr>
                      <w:rFonts w:hint="default" w:ascii="Times New Roman" w:hAnsi="Times New Roman" w:cs="Times New Roman"/>
                      <w:b/>
                      <w:bCs/>
                      <w:i w:val="0"/>
                      <w:color w:val="000000" w:themeColor="text1"/>
                      <w:sz w:val="21"/>
                      <w:szCs w:val="21"/>
                      <w:u w:val="none"/>
                      <w:lang w:val="zh-CN" w:eastAsia="zh-CN"/>
                      <w14:textFill>
                        <w14:solidFill>
                          <w14:schemeClr w14:val="tx1"/>
                        </w14:solidFill>
                      </w14:textFill>
                    </w:rPr>
                    <w:t>动植物油</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
                      <w:bCs/>
                      <w:color w:val="000000" w:themeColor="text1"/>
                      <w:kern w:val="2"/>
                      <w:sz w:val="21"/>
                      <w:szCs w:val="21"/>
                      <w:lang w:val="zh-CN" w:eastAsia="zh-CN" w:bidi="ar-SA"/>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总磷</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1"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《污水综合排放标准》（GB8978-1996）表4中的三级标准</w:t>
                  </w:r>
                </w:p>
              </w:tc>
              <w:tc>
                <w:tcPr>
                  <w:tcW w:w="830"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zh-CN"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zh-CN" w:eastAsia="zh-CN"/>
                      <w14:textFill>
                        <w14:solidFill>
                          <w14:schemeClr w14:val="tx1"/>
                        </w14:solidFill>
                      </w14:textFill>
                    </w:rPr>
                    <w:t>6~9（无量纲）</w:t>
                  </w:r>
                </w:p>
              </w:tc>
              <w:tc>
                <w:tcPr>
                  <w:tcW w:w="394"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500</w:t>
                  </w:r>
                </w:p>
              </w:tc>
              <w:tc>
                <w:tcPr>
                  <w:tcW w:w="427"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300</w:t>
                  </w:r>
                </w:p>
              </w:tc>
              <w:tc>
                <w:tcPr>
                  <w:tcW w:w="331"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400</w:t>
                  </w:r>
                </w:p>
              </w:tc>
              <w:tc>
                <w:tcPr>
                  <w:tcW w:w="497"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w:t>
                  </w:r>
                </w:p>
              </w:tc>
              <w:tc>
                <w:tcPr>
                  <w:tcW w:w="497"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i w:val="0"/>
                      <w:color w:val="000000" w:themeColor="text1"/>
                      <w:sz w:val="21"/>
                      <w:szCs w:val="21"/>
                      <w:u w:val="none"/>
                      <w:lang w:val="en-US" w:eastAsia="zh-CN"/>
                      <w14:textFill>
                        <w14:solidFill>
                          <w14:schemeClr w14:val="tx1"/>
                        </w14:solidFill>
                      </w14:textFill>
                    </w:rPr>
                    <w:t>100</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t>/</w:t>
                  </w:r>
                </w:p>
              </w:tc>
              <w:tc>
                <w:tcPr>
                  <w:tcW w:w="394" w:type="pct"/>
                  <w:tcBorders>
                    <w:tl2br w:val="nil"/>
                    <w:tr2bl w:val="nil"/>
                  </w:tcBorders>
                  <w:noWrap w:val="0"/>
                  <w:vAlign w:val="center"/>
                </w:tcPr>
                <w:p>
                  <w:pPr>
                    <w:spacing w:line="320" w:lineRule="exact"/>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31"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舒城经济开发区污水处理厂接管要求</w:t>
                  </w:r>
                </w:p>
              </w:tc>
              <w:tc>
                <w:tcPr>
                  <w:tcW w:w="830"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zh-CN" w:eastAsia="zh-CN"/>
                      <w14:textFill>
                        <w14:solidFill>
                          <w14:schemeClr w14:val="tx1"/>
                        </w14:solidFill>
                      </w14:textFill>
                    </w:rPr>
                    <w:t>6~9（无量纲）</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350</w:t>
                  </w:r>
                </w:p>
              </w:tc>
              <w:tc>
                <w:tcPr>
                  <w:tcW w:w="427"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180</w:t>
                  </w:r>
                </w:p>
              </w:tc>
              <w:tc>
                <w:tcPr>
                  <w:tcW w:w="331"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220</w:t>
                  </w:r>
                </w:p>
              </w:tc>
              <w:tc>
                <w:tcPr>
                  <w:tcW w:w="497"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30</w:t>
                  </w:r>
                </w:p>
              </w:tc>
              <w:tc>
                <w:tcPr>
                  <w:tcW w:w="497"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i w:val="0"/>
                      <w:color w:val="000000" w:themeColor="text1"/>
                      <w:sz w:val="21"/>
                      <w:szCs w:val="21"/>
                      <w:u w:val="none"/>
                      <w:lang w:val="en-US" w:eastAsia="zh-CN"/>
                      <w14:textFill>
                        <w14:solidFill>
                          <w14:schemeClr w14:val="tx1"/>
                        </w14:solidFill>
                      </w14:textFill>
                    </w:rPr>
                    <w:t>/</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4.0</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31"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color w:val="000000" w:themeColor="text1"/>
                      <w:sz w:val="21"/>
                      <w:szCs w:val="21"/>
                      <w:u w:val="none"/>
                      <w:lang w:val="en-US" w:eastAsia="zh-CN"/>
                      <w14:textFill>
                        <w14:solidFill>
                          <w14:schemeClr w14:val="tx1"/>
                        </w14:solidFill>
                      </w14:textFill>
                    </w:rPr>
                    <w:t>项目接管要求</w:t>
                  </w:r>
                </w:p>
              </w:tc>
              <w:tc>
                <w:tcPr>
                  <w:tcW w:w="830"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kern w:val="2"/>
                      <w:sz w:val="21"/>
                      <w:szCs w:val="21"/>
                      <w:u w:val="none"/>
                      <w:lang w:val="zh-CN" w:eastAsia="zh-CN" w:bidi="ar-SA"/>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zh-CN" w:eastAsia="zh-CN"/>
                      <w14:textFill>
                        <w14:solidFill>
                          <w14:schemeClr w14:val="tx1"/>
                        </w14:solidFill>
                      </w14:textFill>
                    </w:rPr>
                    <w:t>6~9（无量纲）</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350</w:t>
                  </w:r>
                </w:p>
              </w:tc>
              <w:tc>
                <w:tcPr>
                  <w:tcW w:w="427"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180</w:t>
                  </w:r>
                </w:p>
              </w:tc>
              <w:tc>
                <w:tcPr>
                  <w:tcW w:w="331"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220</w:t>
                  </w:r>
                </w:p>
              </w:tc>
              <w:tc>
                <w:tcPr>
                  <w:tcW w:w="497" w:type="pct"/>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30</w:t>
                  </w:r>
                </w:p>
              </w:tc>
              <w:tc>
                <w:tcPr>
                  <w:tcW w:w="497"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i w:val="0"/>
                      <w:color w:val="000000" w:themeColor="text1"/>
                      <w:sz w:val="21"/>
                      <w:szCs w:val="21"/>
                      <w:u w:val="none"/>
                      <w:lang w:val="en-US" w:eastAsia="zh-CN"/>
                      <w14:textFill>
                        <w14:solidFill>
                          <w14:schemeClr w14:val="tx1"/>
                        </w14:solidFill>
                      </w14:textFill>
                    </w:rPr>
                    <w:t>/</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4.0</w:t>
                  </w:r>
                </w:p>
              </w:tc>
              <w:tc>
                <w:tcPr>
                  <w:tcW w:w="394" w:type="pct"/>
                  <w:tcBorders>
                    <w:tl2br w:val="nil"/>
                    <w:tr2bl w:val="nil"/>
                  </w:tcBorders>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r>
          </w:tbl>
          <w:p>
            <w:pPr>
              <w:pStyle w:val="38"/>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firstLine="482"/>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3、噪声排放标准</w:t>
            </w:r>
          </w:p>
          <w:p>
            <w:pPr>
              <w:widowControl/>
              <w:spacing w:line="360" w:lineRule="auto"/>
              <w:ind w:firstLine="480" w:firstLineChars="20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运营期厂界噪声执行《工业企业厂界环境噪声排放标准》（GB12348-2008）中的3类标准</w:t>
            </w:r>
            <w:r>
              <w:rPr>
                <w:rFonts w:hint="default" w:ascii="Times New Roman" w:hAnsi="Times New Roman" w:cs="Times New Roman"/>
                <w:color w:val="000000" w:themeColor="text1"/>
                <w:sz w:val="24"/>
                <w14:textFill>
                  <w14:solidFill>
                    <w14:schemeClr w14:val="tx1"/>
                  </w14:solidFill>
                </w14:textFill>
              </w:rPr>
              <w:t>。</w:t>
            </w: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表3-</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10</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工业企业厂界环境噪声排放标准 单位：dB(A)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02"/>
              <w:gridCol w:w="943"/>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24" w:type="pct"/>
                  <w:noWrap/>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类别</w:t>
                  </w:r>
                </w:p>
              </w:tc>
              <w:tc>
                <w:tcPr>
                  <w:tcW w:w="478" w:type="pct"/>
                  <w:noWrap/>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562" w:type="pct"/>
                  <w:noWrap/>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c>
                <w:tcPr>
                  <w:tcW w:w="3534" w:type="pct"/>
                  <w:noWrap/>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
                      <w:color w:val="000000" w:themeColor="text1"/>
                      <w:szCs w:val="21"/>
                      <w:lang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4" w:type="pct"/>
                  <w:noWrap/>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3类</w:t>
                  </w:r>
                </w:p>
              </w:tc>
              <w:tc>
                <w:tcPr>
                  <w:tcW w:w="478" w:type="pct"/>
                  <w:noWrap/>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w:t>
                  </w:r>
                </w:p>
              </w:tc>
              <w:tc>
                <w:tcPr>
                  <w:tcW w:w="562" w:type="pct"/>
                  <w:noWrap/>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3534" w:type="pct"/>
                  <w:noWrap/>
                  <w:vAlign w:val="center"/>
                </w:tcPr>
                <w:p>
                  <w:pPr>
                    <w:spacing w:line="320" w:lineRule="exact"/>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《工业企业厂界环境噪声排放标准》（GB12348-2008）</w:t>
                  </w:r>
                </w:p>
              </w:tc>
            </w:tr>
          </w:tbl>
          <w:p>
            <w:pPr>
              <w:pStyle w:val="21"/>
              <w:rPr>
                <w:rFonts w:hint="default" w:ascii="Times New Roman" w:hAnsi="Times New Roman" w:cs="Times New Roman"/>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4、固体废物污染控制标准</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一般工业固体废物执行《一般工业固体废物贮存和填埋污染控制标准》（GB18599-2020），危险废物按照《危险废物贮存污染控制标准》（GB18597-2023）（2023年7月1日起实施）中的有关规定执行。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1" w:hRule="atLeast"/>
          <w:jc w:val="center"/>
        </w:trPr>
        <w:tc>
          <w:tcPr>
            <w:tcW w:w="436" w:type="dxa"/>
            <w:noWrap w:val="0"/>
            <w:vAlign w:val="center"/>
          </w:tcPr>
          <w:p>
            <w:pPr>
              <w:adjustRightInd w:val="0"/>
              <w:snapToGrid w:val="0"/>
              <w:jc w:val="cente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总量控制指标</w:t>
            </w:r>
          </w:p>
        </w:tc>
        <w:tc>
          <w:tcPr>
            <w:tcW w:w="8635" w:type="dxa"/>
            <w:noWrap w:val="0"/>
            <w:vAlign w:val="center"/>
          </w:tcPr>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根据国家和安徽省“十四五”生态环境保护规划和《安徽省环保厅关于进一步加强建设项目新增大气主要污染物总量指标管理工作的通知》（皖环发【2017】19号）的要求，规定总量控制因子为COD</w:t>
            </w:r>
            <w:r>
              <w:rPr>
                <w:rFonts w:hint="default" w:ascii="Times New Roman" w:hAnsi="Times New Roman" w:cs="Times New Roman"/>
                <w:color w:val="000000" w:themeColor="text1"/>
                <w:sz w:val="24"/>
                <w:vertAlign w:val="subscript"/>
                <w14:textFill>
                  <w14:solidFill>
                    <w14:schemeClr w14:val="tx1"/>
                  </w14:solidFill>
                </w14:textFill>
              </w:rPr>
              <w:t>Cr</w:t>
            </w:r>
            <w:r>
              <w:rPr>
                <w:rFonts w:hint="default" w:ascii="Times New Roman" w:hAnsi="Times New Roman" w:cs="Times New Roman"/>
                <w:color w:val="000000" w:themeColor="text1"/>
                <w:sz w:val="24"/>
                <w14:textFill>
                  <w14:solidFill>
                    <w14:schemeClr w14:val="tx1"/>
                  </w14:solidFill>
                </w14:textFill>
              </w:rPr>
              <w:t>、氨氮、二氧化硫、氮氧化物、烟（粉）尘和</w:t>
            </w:r>
            <w:r>
              <w:rPr>
                <w:rFonts w:hint="default" w:ascii="Times New Roman" w:hAnsi="Times New Roman" w:eastAsia="宋体" w:cs="Times New Roman"/>
                <w:color w:val="000000" w:themeColor="text1"/>
                <w:sz w:val="24"/>
                <w14:textFill>
                  <w14:solidFill>
                    <w14:schemeClr w14:val="tx1"/>
                  </w14:solidFill>
                </w14:textFill>
              </w:rPr>
              <w:t>挥发性有机物（VOCs）。</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u w:val="none"/>
                <w:lang w:eastAsia="zh-CN"/>
                <w14:textFill>
                  <w14:solidFill>
                    <w14:schemeClr w14:val="tx1"/>
                  </w14:solidFill>
                </w14:textFill>
              </w:rPr>
              <w:t>安徽省六安市舒城县龙津大道光世集团院内</w:t>
            </w:r>
            <w:r>
              <w:rPr>
                <w:rFonts w:hint="default" w:ascii="Times New Roman" w:hAnsi="Times New Roman" w:eastAsia="宋体" w:cs="Times New Roman"/>
                <w:color w:val="000000" w:themeColor="text1"/>
                <w:sz w:val="24"/>
                <w14:textFill>
                  <w14:solidFill>
                    <w14:schemeClr w14:val="tx1"/>
                  </w14:solidFill>
                </w14:textFill>
              </w:rPr>
              <w:t>，项目所在地属于舒城经济开发区污水处理厂受纳范围。因此，本项目外排废水中的COD和NH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-N总量纳入舒城经济开发区污水处理厂总量范围以内，不另行申请。</w:t>
            </w:r>
          </w:p>
          <w:p>
            <w:pPr>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②废气</w:t>
            </w:r>
          </w:p>
          <w:p>
            <w:pPr>
              <w:topLinePunct/>
              <w:spacing w:line="360" w:lineRule="auto"/>
              <w:ind w:firstLine="480" w:firstLineChars="200"/>
              <w:contextualSpacing/>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根据本项目大气污染物排放情况，废气污染物总量控制建议指标值为：烟（粉）尘：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i w:val="0"/>
                <w:iCs w:val="0"/>
                <w:color w:val="000000" w:themeColor="text1"/>
                <w:kern w:val="0"/>
                <w:sz w:val="24"/>
                <w:szCs w:val="24"/>
                <w:highlight w:val="none"/>
                <w:u w:val="none"/>
                <w:lang w:val="en-US" w:eastAsia="zh-CN" w:bidi="ar"/>
                <w14:textFill>
                  <w14:solidFill>
                    <w14:schemeClr w14:val="tx1"/>
                  </w14:solidFill>
                </w14:textFill>
              </w:rPr>
              <w:t>266</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4"/>
                <w:szCs w:val="24"/>
                <w:highlight w:val="none"/>
                <w:u w:val="none"/>
                <w:lang w:val="en-US" w:eastAsia="zh-CN" w:bidi="ar"/>
                <w14:textFill>
                  <w14:solidFill>
                    <w14:schemeClr w14:val="tx1"/>
                  </w14:solidFill>
                </w14:textFill>
              </w:rPr>
              <w:t>041</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455</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t/a，需申请新增污染物排放总量。</w:t>
            </w:r>
          </w:p>
          <w:p>
            <w:pPr>
              <w:rPr>
                <w:rFonts w:hint="default" w:ascii="Times New Roman" w:hAnsi="Times New Roman" w:cs="Times New Roman"/>
                <w:color w:val="000000" w:themeColor="text1"/>
                <w:lang w:val="en-US" w:eastAsia="zh-CN"/>
                <w14:textFill>
                  <w14:solidFill>
                    <w14:schemeClr w14:val="tx1"/>
                  </w14:solidFill>
                </w14:textFill>
              </w:rPr>
            </w:pPr>
          </w:p>
        </w:tc>
      </w:tr>
    </w:tbl>
    <w:p>
      <w:pPr>
        <w:pStyle w:val="29"/>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spacing w:before="0" w:beforeAutospacing="0" w:after="0" w:afterAutospacing="0"/>
        <w:jc w:val="center"/>
        <w:outlineLvl w:val="0"/>
        <w:rPr>
          <w:rFonts w:hint="default" w:ascii="Times New Roman" w:hAnsi="Times New Roman" w:eastAsia="宋体" w:cs="Times New Roman"/>
          <w:b/>
          <w:snapToGrid w:val="0"/>
          <w:color w:val="000000" w:themeColor="text1"/>
          <w:sz w:val="30"/>
          <w:szCs w:val="30"/>
          <w14:textFill>
            <w14:solidFill>
              <w14:schemeClr w14:val="tx1"/>
            </w14:solidFill>
          </w14:textFill>
        </w:rPr>
      </w:pPr>
      <w:r>
        <w:rPr>
          <w:rFonts w:hint="default" w:ascii="Times New Roman" w:hAnsi="Times New Roman" w:eastAsia="宋体" w:cs="Times New Roman"/>
          <w:b/>
          <w:snapToGrid w:val="0"/>
          <w:color w:val="000000" w:themeColor="text1"/>
          <w:sz w:val="30"/>
          <w:szCs w:val="30"/>
          <w:lang w:eastAsia="zh-CN"/>
          <w14:textFill>
            <w14:solidFill>
              <w14:schemeClr w14:val="tx1"/>
            </w14:solidFill>
          </w14:textFill>
        </w:rPr>
        <w:t>四、</w:t>
      </w:r>
      <w:r>
        <w:rPr>
          <w:rFonts w:hint="default" w:ascii="Times New Roman" w:hAnsi="Times New Roman" w:eastAsia="宋体" w:cs="Times New Roman"/>
          <w:b/>
          <w:snapToGrid w:val="0"/>
          <w:color w:val="000000" w:themeColor="text1"/>
          <w:sz w:val="30"/>
          <w:szCs w:val="30"/>
          <w14:textFill>
            <w14:solidFill>
              <w14:schemeClr w14:val="tx1"/>
            </w14:solidFill>
          </w14:textFill>
        </w:rPr>
        <w:t>主要环境影响和保护措施</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8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vAlign w:val="center"/>
          </w:tcPr>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施工</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期环</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境保</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护措</w:t>
            </w:r>
          </w:p>
          <w:p>
            <w:pPr>
              <w:autoSpaceDE w:val="0"/>
              <w:autoSpaceDN w:val="0"/>
              <w:adjustRightInd w:val="0"/>
              <w:snapToGrid w:val="0"/>
              <w:jc w:val="cente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施</w:t>
            </w:r>
          </w:p>
        </w:tc>
        <w:tc>
          <w:tcPr>
            <w:tcW w:w="8325" w:type="dxa"/>
            <w:noWrap w:val="0"/>
            <w:vAlign w:val="center"/>
          </w:tcPr>
          <w:p>
            <w:pPr>
              <w:widowControl/>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利用现有厂房进行生产，不新建厂房，项目施工期主要进行设备的安装，产生的污染主要为噪声，由于拟建项目设备数量较少，安装时间较短，且随着施工期的结束，噪声也随之消失，对周边环境影响很小，故本评价不针对项目施工期产生的污染进行具体的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2" w:hRule="atLeast"/>
          <w:jc w:val="center"/>
        </w:trPr>
        <w:tc>
          <w:tcPr>
            <w:tcW w:w="746" w:type="dxa"/>
            <w:noWrap w:val="0"/>
            <w:vAlign w:val="center"/>
          </w:tcPr>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运营</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期环</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境影</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响和</w:t>
            </w:r>
          </w:p>
          <w:p>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保护</w:t>
            </w:r>
          </w:p>
          <w:p>
            <w:pPr>
              <w:adjustRightInd w:val="0"/>
              <w:snapToGrid w:val="0"/>
              <w:jc w:val="center"/>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措施</w:t>
            </w:r>
          </w:p>
        </w:tc>
        <w:tc>
          <w:tcPr>
            <w:tcW w:w="8325" w:type="dxa"/>
            <w:noWrap w:val="0"/>
            <w:vAlign w:val="top"/>
          </w:tcPr>
          <w:p>
            <w:pPr>
              <w:pStyle w:val="2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废气</w:t>
            </w:r>
            <w:r>
              <w:rPr>
                <w:rFonts w:hint="default" w:ascii="Times New Roman" w:hAnsi="Times New Roman" w:cs="Times New Roman"/>
                <w:b/>
                <w:bCs/>
                <w:color w:val="000000" w:themeColor="text1"/>
                <w:sz w:val="24"/>
                <w14:textFill>
                  <w14:solidFill>
                    <w14:schemeClr w14:val="tx1"/>
                  </w14:solidFill>
                </w14:textFill>
              </w:rPr>
              <w:t>污染物源强核算</w:t>
            </w: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bCs/>
                <w:i w:val="0"/>
                <w:i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本项目生产过程中产生废气主要为</w:t>
            </w:r>
            <w:r>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t>熔化烟尘</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、压铸、脱膜废气、抛光粉尘、抛丸粉尘、危废库暂存废气、天然气燃烧废气、食堂油烟</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t>（1）熔化烟尘、</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压铸、脱膜废气</w:t>
            </w:r>
          </w:p>
          <w:p>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szCs w:val="21"/>
                <w14:textFill>
                  <w14:solidFill>
                    <w14:schemeClr w14:val="tx1"/>
                  </w14:solidFill>
                </w14:textFill>
              </w:rPr>
              <w:fldChar w:fldCharType="begin"/>
            </w:r>
            <w:r>
              <w:rPr>
                <w:rFonts w:hint="default" w:ascii="Times New Roman" w:hAnsi="Times New Roman" w:cs="Times New Roman"/>
                <w:bCs/>
                <w:color w:val="000000" w:themeColor="text1"/>
                <w:sz w:val="24"/>
                <w:szCs w:val="21"/>
                <w14:textFill>
                  <w14:solidFill>
                    <w14:schemeClr w14:val="tx1"/>
                  </w14:solidFill>
                </w14:textFill>
              </w:rPr>
              <w:instrText xml:space="preserve"> = 1 \* GB3 </w:instrText>
            </w:r>
            <w:r>
              <w:rPr>
                <w:rFonts w:hint="default" w:ascii="Times New Roman" w:hAnsi="Times New Roman" w:cs="Times New Roman"/>
                <w:bCs/>
                <w:color w:val="000000" w:themeColor="text1"/>
                <w:sz w:val="24"/>
                <w:szCs w:val="21"/>
                <w14:textFill>
                  <w14:solidFill>
                    <w14:schemeClr w14:val="tx1"/>
                  </w14:solidFill>
                </w14:textFill>
              </w:rPr>
              <w:fldChar w:fldCharType="separate"/>
            </w:r>
            <w:r>
              <w:rPr>
                <w:rFonts w:hint="default" w:ascii="Times New Roman" w:hAnsi="Times New Roman" w:cs="Times New Roman"/>
                <w:bCs/>
                <w:color w:val="000000" w:themeColor="text1"/>
                <w:sz w:val="24"/>
                <w:szCs w:val="21"/>
                <w14:textFill>
                  <w14:solidFill>
                    <w14:schemeClr w14:val="tx1"/>
                  </w14:solidFill>
                </w14:textFill>
              </w:rPr>
              <w:t>①</w:t>
            </w:r>
            <w:r>
              <w:rPr>
                <w:rFonts w:hint="default" w:ascii="Times New Roman" w:hAnsi="Times New Roman" w:cs="Times New Roman"/>
                <w:bCs/>
                <w:color w:val="000000" w:themeColor="text1"/>
                <w:sz w:val="24"/>
                <w:szCs w:val="21"/>
                <w14:textFill>
                  <w14:solidFill>
                    <w14:schemeClr w14:val="tx1"/>
                  </w14:solidFill>
                </w14:textFill>
              </w:rPr>
              <w:fldChar w:fldCharType="end"/>
            </w:r>
            <w:r>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t>熔化烟尘</w:t>
            </w:r>
          </w:p>
          <w:p>
            <w:pPr>
              <w:pStyle w:val="21"/>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项目利用天然气熔化炉将</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铝合金锭</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熔化成铝液，</w:t>
            </w:r>
            <w:r>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t>熔化</w:t>
            </w:r>
            <w:r>
              <w:rPr>
                <w:rFonts w:hint="default" w:ascii="Times New Roman" w:hAnsi="Times New Roman" w:cs="Times New Roman"/>
                <w:color w:val="000000" w:themeColor="text1"/>
                <w:kern w:val="0"/>
                <w:sz w:val="24"/>
                <w:szCs w:val="20"/>
                <w14:textFill>
                  <w14:solidFill>
                    <w14:schemeClr w14:val="tx1"/>
                  </w14:solidFill>
                </w14:textFill>
              </w:rPr>
              <w:t>过程中会产生</w:t>
            </w:r>
            <w:r>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t>熔化烟尘，熔化烟尘</w:t>
            </w:r>
            <w:r>
              <w:rPr>
                <w:rFonts w:hint="default" w:ascii="Times New Roman" w:hAnsi="Times New Roman" w:cs="Times New Roman"/>
                <w:bCs/>
                <w:color w:val="000000" w:themeColor="text1"/>
                <w:kern w:val="0"/>
                <w:sz w:val="24"/>
                <w14:textFill>
                  <w14:solidFill>
                    <w14:schemeClr w14:val="tx1"/>
                  </w14:solidFill>
                </w14:textFill>
              </w:rPr>
              <w:t>参照</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《排放源统计调查产排污核算方法和系数手册》</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中“33-37，431-434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机械行业系数手册</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33页表中</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“01铸造”-“</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熔炼(燃气炉)</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颗粒物产生系数：0.943kg/t产品，本项目</w:t>
            </w:r>
            <w:r>
              <w:rPr>
                <w:rFonts w:hint="default" w:ascii="Times New Roman" w:hAnsi="Times New Roman" w:cs="Times New Roman"/>
                <w:color w:val="000000" w:themeColor="text1"/>
                <w:kern w:val="0"/>
                <w:sz w:val="24"/>
                <w:lang w:eastAsia="zh-CN"/>
                <w14:textFill>
                  <w14:solidFill>
                    <w14:schemeClr w14:val="tx1"/>
                  </w14:solidFill>
                </w14:textFill>
              </w:rPr>
              <w:t>铝合金锭</w:t>
            </w:r>
            <w:r>
              <w:rPr>
                <w:rFonts w:hint="default" w:ascii="Times New Roman" w:hAnsi="Times New Roman" w:cs="Times New Roman"/>
                <w:color w:val="000000" w:themeColor="text1"/>
                <w:kern w:val="0"/>
                <w:sz w:val="24"/>
                <w14:textFill>
                  <w14:solidFill>
                    <w14:schemeClr w14:val="tx1"/>
                  </w14:solidFill>
                </w14:textFill>
              </w:rPr>
              <w:t>年用量为</w:t>
            </w:r>
            <w:r>
              <w:rPr>
                <w:rFonts w:hint="default" w:ascii="Times New Roman" w:hAnsi="Times New Roman" w:cs="Times New Roman"/>
                <w:color w:val="000000" w:themeColor="text1"/>
                <w:kern w:val="0"/>
                <w:sz w:val="24"/>
                <w:lang w:val="en-US" w:eastAsia="zh-CN"/>
                <w14:textFill>
                  <w14:solidFill>
                    <w14:schemeClr w14:val="tx1"/>
                  </w14:solidFill>
                </w14:textFill>
              </w:rPr>
              <w:t>3100</w:t>
            </w:r>
            <w:r>
              <w:rPr>
                <w:rFonts w:hint="default" w:ascii="Times New Roman" w:hAnsi="Times New Roman" w:cs="Times New Roman"/>
                <w:color w:val="000000" w:themeColor="text1"/>
                <w:kern w:val="0"/>
                <w:sz w:val="24"/>
                <w14:textFill>
                  <w14:solidFill>
                    <w14:schemeClr w14:val="tx1"/>
                  </w14:solidFill>
                </w14:textFill>
              </w:rPr>
              <w:t>t，因此</w:t>
            </w:r>
            <w:r>
              <w:rPr>
                <w:rFonts w:hint="default" w:ascii="Times New Roman" w:hAnsi="Times New Roman" w:cs="Times New Roman"/>
                <w:bCs/>
                <w:color w:val="000000" w:themeColor="text1"/>
                <w:sz w:val="24"/>
                <w14:textFill>
                  <w14:solidFill>
                    <w14:schemeClr w14:val="tx1"/>
                  </w14:solidFill>
                </w14:textFill>
              </w:rPr>
              <w:t>熔化工序</w:t>
            </w:r>
            <w:r>
              <w:rPr>
                <w:rFonts w:hint="default" w:ascii="Times New Roman" w:hAnsi="Times New Roman" w:cs="Times New Roman"/>
                <w:color w:val="000000" w:themeColor="text1"/>
                <w:kern w:val="0"/>
                <w:sz w:val="24"/>
                <w14:textFill>
                  <w14:solidFill>
                    <w14:schemeClr w14:val="tx1"/>
                  </w14:solidFill>
                </w14:textFill>
              </w:rPr>
              <w:t>颗粒物产生量为</w:t>
            </w:r>
            <w:r>
              <w:rPr>
                <w:rFonts w:hint="default" w:ascii="Times New Roman" w:hAnsi="Times New Roman" w:cs="Times New Roman"/>
                <w:color w:val="000000" w:themeColor="text1"/>
                <w:kern w:val="0"/>
                <w:sz w:val="24"/>
                <w:lang w:val="en-US" w:eastAsia="zh-CN"/>
                <w14:textFill>
                  <w14:solidFill>
                    <w14:schemeClr w14:val="tx1"/>
                  </w14:solidFill>
                </w14:textFill>
              </w:rPr>
              <w:t>2.923</w:t>
            </w:r>
            <w:r>
              <w:rPr>
                <w:rFonts w:hint="default" w:ascii="Times New Roman" w:hAnsi="Times New Roman" w:cs="Times New Roman"/>
                <w:color w:val="000000" w:themeColor="text1"/>
                <w:kern w:val="0"/>
                <w:sz w:val="24"/>
                <w14:textFill>
                  <w14:solidFill>
                    <w14:schemeClr w14:val="tx1"/>
                  </w14:solidFill>
                </w14:textFill>
              </w:rPr>
              <w:t>t/a。</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熔化工段工况时间为13h/d，年工作300天。</w:t>
            </w:r>
          </w:p>
          <w:p>
            <w:pPr>
              <w:spacing w:line="360" w:lineRule="auto"/>
              <w:ind w:firstLine="480" w:firstLineChars="200"/>
              <w:rPr>
                <w:rFonts w:hint="default" w:ascii="Times New Roman" w:hAnsi="Times New Roman" w:eastAsia="宋体" w:cs="Times New Roman"/>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②</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压</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铸、脱膜废气</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sz w:val="24"/>
                <w:lang w:val="en-US" w:eastAsia="zh-CN"/>
                <w14:textFill>
                  <w14:solidFill>
                    <w14:schemeClr w14:val="tx1"/>
                  </w14:solidFill>
                </w14:textFill>
              </w:rPr>
              <w:t>项目压铸过程中会产生压铸废气</w:t>
            </w:r>
            <w:r>
              <w:rPr>
                <w:rFonts w:hint="default" w:ascii="Times New Roman" w:hAnsi="Times New Roman" w:eastAsia="宋体" w:cs="Times New Roman"/>
                <w:b w:val="0"/>
                <w:bCs w:val="0"/>
                <w:i w:val="0"/>
                <w:iCs w:val="0"/>
                <w:color w:val="000000" w:themeColor="text1"/>
                <w:sz w:val="24"/>
                <w:lang w:val="en-US" w:eastAsia="zh-CN"/>
                <w14:textFill>
                  <w14:solidFill>
                    <w14:schemeClr w14:val="tx1"/>
                  </w14:solidFill>
                </w14:textFill>
              </w:rPr>
              <w:t>，参照《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《排放源统计调查产排污核算方法和系数手册》中</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“33-37，431-434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机械行业系数手册</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”42页表中-“01铸造”-“造型/浇注(重力、低压：限金属型，石膏/陶瓷型/石墨型等)”，颗粒物</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产生系数为0.247kg/t产品。”</w:t>
            </w:r>
            <w:r>
              <w:rPr>
                <w:rFonts w:hint="default" w:ascii="Times New Roman" w:hAnsi="Times New Roman" w:cs="Times New Roman"/>
                <w:color w:val="000000" w:themeColor="text1"/>
                <w:sz w:val="24"/>
                <w:highlight w:val="none"/>
                <w:lang w:val="en-US" w:eastAsia="zh-CN"/>
                <w14:textFill>
                  <w14:solidFill>
                    <w14:schemeClr w14:val="tx1"/>
                  </w14:solidFill>
                </w14:textFill>
              </w:rPr>
              <w:t>根据建设单位提供资料，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项目压铸产能为</w:t>
            </w:r>
            <w:r>
              <w:rPr>
                <w:rFonts w:hint="default" w:ascii="Times New Roman" w:hAnsi="Times New Roman"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31</w:t>
            </w:r>
            <w:r>
              <w:rPr>
                <w:rFonts w:hint="default" w:ascii="Times New Roman" w:hAnsi="Times New Roman" w:eastAsia="宋体"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吨/年，则压铸</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工序</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颗粒物产生量为</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0.766</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t/a。</w:t>
            </w:r>
          </w:p>
          <w:p>
            <w:pPr>
              <w:pStyle w:val="21"/>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Cs/>
                <w:color w:val="000000" w:themeColor="text1"/>
                <w:sz w:val="24"/>
                <w:szCs w:val="21"/>
                <w14:textFill>
                  <w14:solidFill>
                    <w14:schemeClr w14:val="tx1"/>
                  </w14:solidFill>
                </w14:textFill>
              </w:rPr>
              <w:t>项目压铸时</w:t>
            </w:r>
            <w:r>
              <w:rPr>
                <w:rFonts w:hint="default" w:ascii="Times New Roman" w:hAnsi="Times New Roman" w:cs="Times New Roman"/>
                <w:bCs/>
                <w:color w:val="000000" w:themeColor="text1"/>
                <w:sz w:val="24"/>
                <w:szCs w:val="21"/>
                <w:lang w:eastAsia="zh-CN"/>
                <w14:textFill>
                  <w14:solidFill>
                    <w14:schemeClr w14:val="tx1"/>
                  </w14:solidFill>
                </w14:textFill>
              </w:rPr>
              <w:t>会使用水性</w:t>
            </w:r>
            <w:r>
              <w:rPr>
                <w:rFonts w:hint="default" w:ascii="Times New Roman" w:hAnsi="Times New Roman" w:cs="Times New Roman"/>
                <w:bCs/>
                <w:color w:val="000000" w:themeColor="text1"/>
                <w:sz w:val="24"/>
                <w:szCs w:val="21"/>
                <w14:textFill>
                  <w14:solidFill>
                    <w14:schemeClr w14:val="tx1"/>
                  </w14:solidFill>
                </w14:textFill>
              </w:rPr>
              <w:t>脱模剂</w:t>
            </w:r>
            <w:r>
              <w:rPr>
                <w:rFonts w:hint="default" w:ascii="Times New Roman" w:hAnsi="Times New Roman" w:cs="Times New Roman"/>
                <w:bCs/>
                <w:color w:val="000000" w:themeColor="text1"/>
                <w:sz w:val="24"/>
                <w:szCs w:val="21"/>
                <w:lang w:eastAsia="zh-CN"/>
                <w14:textFill>
                  <w14:solidFill>
                    <w14:schemeClr w14:val="tx1"/>
                  </w14:solidFill>
                </w14:textFill>
              </w:rPr>
              <w:t>，水性脱模剂</w:t>
            </w:r>
            <w:r>
              <w:rPr>
                <w:rFonts w:hint="default" w:ascii="Times New Roman" w:hAnsi="Times New Roman" w:cs="Times New Roman"/>
                <w:bCs/>
                <w:color w:val="000000" w:themeColor="text1"/>
                <w:sz w:val="24"/>
                <w:szCs w:val="21"/>
                <w14:textFill>
                  <w14:solidFill>
                    <w14:schemeClr w14:val="tx1"/>
                  </w14:solidFill>
                </w14:textFill>
              </w:rPr>
              <w:t>用量为</w:t>
            </w:r>
            <w:r>
              <w:rPr>
                <w:rFonts w:hint="default" w:ascii="Times New Roman" w:hAnsi="Times New Roman" w:cs="Times New Roman"/>
                <w:bCs/>
                <w:color w:val="000000" w:themeColor="text1"/>
                <w:sz w:val="24"/>
                <w:szCs w:val="21"/>
                <w:lang w:val="en-US" w:eastAsia="zh-CN"/>
                <w14:textFill>
                  <w14:solidFill>
                    <w14:schemeClr w14:val="tx1"/>
                  </w14:solidFill>
                </w14:textFill>
              </w:rPr>
              <w:t>1</w:t>
            </w:r>
            <w:r>
              <w:rPr>
                <w:rFonts w:hint="default" w:ascii="Times New Roman" w:hAnsi="Times New Roman" w:cs="Times New Roman"/>
                <w:bCs/>
                <w:color w:val="000000" w:themeColor="text1"/>
                <w:sz w:val="24"/>
                <w:szCs w:val="21"/>
                <w14:textFill>
                  <w14:solidFill>
                    <w14:schemeClr w14:val="tx1"/>
                  </w14:solidFill>
                </w14:textFill>
              </w:rPr>
              <w:t>t/a，</w:t>
            </w:r>
            <w:r>
              <w:rPr>
                <w:rFonts w:hint="default" w:ascii="Times New Roman" w:hAnsi="Times New Roman" w:cs="Times New Roman"/>
                <w:bCs/>
                <w:color w:val="000000" w:themeColor="text1"/>
                <w:sz w:val="24"/>
                <w:szCs w:val="21"/>
                <w:lang w:eastAsia="zh-CN"/>
                <w14:textFill>
                  <w14:solidFill>
                    <w14:schemeClr w14:val="tx1"/>
                  </w14:solidFill>
                </w14:textFill>
              </w:rPr>
              <w:t>根据企业提供的</w:t>
            </w:r>
            <w:r>
              <w:rPr>
                <w:rFonts w:hint="default" w:ascii="Times New Roman" w:hAnsi="Times New Roman" w:cs="Times New Roman"/>
                <w:bCs/>
                <w:color w:val="000000" w:themeColor="text1"/>
                <w:sz w:val="24"/>
                <w:szCs w:val="21"/>
                <w14:textFill>
                  <w14:solidFill>
                    <w14:schemeClr w14:val="tx1"/>
                  </w14:solidFill>
                </w14:textFill>
              </w:rPr>
              <w:t>脱模剂</w:t>
            </w:r>
            <w:r>
              <w:rPr>
                <w:rFonts w:hint="default" w:ascii="Times New Roman" w:hAnsi="Times New Roman" w:cs="Times New Roman"/>
                <w:bCs/>
                <w:color w:val="000000" w:themeColor="text1"/>
                <w:sz w:val="24"/>
                <w:szCs w:val="21"/>
                <w:lang w:val="en-US" w:eastAsia="zh-CN"/>
                <w14:textFill>
                  <w14:solidFill>
                    <w14:schemeClr w14:val="tx1"/>
                  </w14:solidFill>
                </w14:textFill>
              </w:rPr>
              <w:t>MSDS可知，本项目脱模剂主要成分为</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54%水、31-32%硅油、5-6%有机酯类、5%异构醇、3%吐温80。</w:t>
            </w:r>
            <w:r>
              <w:rPr>
                <w:rFonts w:hint="default" w:ascii="Times New Roman" w:hAnsi="Times New Roman" w:cs="Times New Roman"/>
                <w:color w:val="000000" w:themeColor="text1"/>
                <w:sz w:val="24"/>
                <w:lang w:eastAsia="zh-CN"/>
                <w14:textFill>
                  <w14:solidFill>
                    <w14:schemeClr w14:val="tx1"/>
                  </w14:solidFill>
                </w14:textFill>
              </w:rPr>
              <w:t>压铸过程中受热全部挥发，形成油雾状废气，以非甲烷总烃计。</w:t>
            </w:r>
            <w:r>
              <w:rPr>
                <w:rFonts w:hint="default" w:ascii="Times New Roman" w:hAnsi="Times New Roman" w:cs="Times New Roman"/>
                <w:color w:val="000000" w:themeColor="text1"/>
                <w:spacing w:val="0"/>
                <w:kern w:val="2"/>
                <w:sz w:val="24"/>
                <w:szCs w:val="24"/>
                <w:lang w:val="en-US" w:eastAsia="zh-CN" w:bidi="ar-SA"/>
                <w14:textFill>
                  <w14:solidFill>
                    <w14:schemeClr w14:val="tx1"/>
                  </w14:solidFill>
                </w14:textFill>
              </w:rPr>
              <w:t>根据成分可知，本环评按最不利情况下考虑</w:t>
            </w:r>
            <w:r>
              <w:rPr>
                <w:rFonts w:hint="default" w:ascii="Times New Roman" w:hAnsi="Times New Roman" w:cs="Times New Roman"/>
                <w:bCs/>
                <w:color w:val="000000" w:themeColor="text1"/>
                <w:sz w:val="24"/>
                <w:szCs w:val="21"/>
                <w14:textFill>
                  <w14:solidFill>
                    <w14:schemeClr w14:val="tx1"/>
                  </w14:solidFill>
                </w14:textFill>
              </w:rPr>
              <w:t>VOCs</w:t>
            </w:r>
            <w:r>
              <w:rPr>
                <w:rFonts w:hint="default" w:ascii="Times New Roman" w:hAnsi="Times New Roman" w:cs="Times New Roman"/>
                <w:bCs/>
                <w:color w:val="000000" w:themeColor="text1"/>
                <w:sz w:val="24"/>
                <w:szCs w:val="21"/>
                <w:lang w:eastAsia="zh-CN"/>
                <w14:textFill>
                  <w14:solidFill>
                    <w14:schemeClr w14:val="tx1"/>
                  </w14:solidFill>
                </w14:textFill>
              </w:rPr>
              <w:t>全部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挥发计，VOCs含量约</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46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%，因此脱膜工序非甲烷总烃产生量为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0.46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2"/>
                <w:sz w:val="24"/>
                <w:szCs w:val="24"/>
                <w:lang w:eastAsia="zh-CN"/>
                <w14:textFill>
                  <w14:solidFill>
                    <w14:schemeClr w14:val="tx1"/>
                  </w14:solidFill>
                </w14:textFill>
              </w:rPr>
              <w:t>压铸、脱膜工段</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工况时间为13h/d，年工作300天。</w:t>
            </w:r>
          </w:p>
          <w:p>
            <w:pPr>
              <w:spacing w:before="100" w:beforeAutospacing="1"/>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表4-1  项目熔化、压铸、脱模废气产生情况一览表</w:t>
            </w:r>
          </w:p>
          <w:tbl>
            <w:tblPr>
              <w:tblStyle w:val="32"/>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22"/>
              <w:gridCol w:w="809"/>
              <w:gridCol w:w="1599"/>
              <w:gridCol w:w="864"/>
              <w:gridCol w:w="846"/>
              <w:gridCol w:w="831"/>
              <w:gridCol w:w="848"/>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工段</w:t>
                  </w:r>
                </w:p>
              </w:tc>
              <w:tc>
                <w:tcPr>
                  <w:tcW w:w="82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原料名称</w:t>
                  </w:r>
                </w:p>
              </w:tc>
              <w:tc>
                <w:tcPr>
                  <w:tcW w:w="809"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用量t/a</w:t>
                  </w:r>
                </w:p>
              </w:tc>
              <w:tc>
                <w:tcPr>
                  <w:tcW w:w="1599"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系数</w:t>
                  </w:r>
                </w:p>
              </w:tc>
              <w:tc>
                <w:tcPr>
                  <w:tcW w:w="1710"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颗粒物</w:t>
                  </w:r>
                </w:p>
              </w:tc>
              <w:tc>
                <w:tcPr>
                  <w:tcW w:w="1679"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90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09"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9"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产生量t/a</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产生速率kg/h</w:t>
                  </w:r>
                </w:p>
              </w:tc>
              <w:tc>
                <w:tcPr>
                  <w:tcW w:w="83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产生量t/a</w:t>
                  </w:r>
                </w:p>
              </w:tc>
              <w:tc>
                <w:tcPr>
                  <w:tcW w:w="84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产生速率kg/h</w:t>
                  </w:r>
                </w:p>
              </w:tc>
              <w:tc>
                <w:tcPr>
                  <w:tcW w:w="90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dxa"/>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熔化</w:t>
                  </w:r>
                </w:p>
              </w:tc>
              <w:tc>
                <w:tcPr>
                  <w:tcW w:w="822" w:type="dxa"/>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铝合金锭</w:t>
                  </w:r>
                </w:p>
              </w:tc>
              <w:tc>
                <w:tcPr>
                  <w:tcW w:w="809" w:type="dxa"/>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3500</w:t>
                  </w:r>
                </w:p>
              </w:tc>
              <w:tc>
                <w:tcPr>
                  <w:tcW w:w="15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0.943kg/t产品</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2.923</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0.749</w:t>
                  </w:r>
                </w:p>
              </w:tc>
              <w:tc>
                <w:tcPr>
                  <w:tcW w:w="83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84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3900</w:t>
                  </w: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压铸</w:t>
                  </w:r>
                </w:p>
              </w:tc>
              <w:tc>
                <w:tcPr>
                  <w:tcW w:w="82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铝合金锭</w:t>
                  </w:r>
                </w:p>
              </w:tc>
              <w:tc>
                <w:tcPr>
                  <w:tcW w:w="80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3500</w:t>
                  </w:r>
                </w:p>
              </w:tc>
              <w:tc>
                <w:tcPr>
                  <w:tcW w:w="159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4"/>
                      <w:highlight w:val="none"/>
                      <w:lang w:val="en-US" w:eastAsia="zh-CN"/>
                      <w14:textFill>
                        <w14:solidFill>
                          <w14:schemeClr w14:val="tx1"/>
                        </w14:solidFill>
                      </w14:textFill>
                    </w:rPr>
                    <w:t>0.247kg/t产品</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0.766</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0.196</w:t>
                  </w:r>
                </w:p>
              </w:tc>
              <w:tc>
                <w:tcPr>
                  <w:tcW w:w="83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84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05"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3900</w:t>
                  </w: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dxa"/>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822" w:type="dxa"/>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脱模剂</w:t>
                  </w:r>
                </w:p>
              </w:tc>
              <w:tc>
                <w:tcPr>
                  <w:tcW w:w="809" w:type="dxa"/>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5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挥发份含量</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83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46</w:t>
                  </w:r>
                </w:p>
              </w:tc>
              <w:tc>
                <w:tcPr>
                  <w:tcW w:w="84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0.118</w:t>
                  </w:r>
                </w:p>
              </w:tc>
              <w:tc>
                <w:tcPr>
                  <w:tcW w:w="905"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3.689</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0.945</w:t>
                  </w:r>
                </w:p>
              </w:tc>
              <w:tc>
                <w:tcPr>
                  <w:tcW w:w="83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46</w:t>
                  </w:r>
                </w:p>
              </w:tc>
              <w:tc>
                <w:tcPr>
                  <w:tcW w:w="84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0.118</w:t>
                  </w:r>
                </w:p>
              </w:tc>
              <w:tc>
                <w:tcPr>
                  <w:tcW w:w="9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bl>
          <w:p>
            <w:pPr>
              <w:widowControl/>
              <w:spacing w:line="360" w:lineRule="auto"/>
              <w:ind w:firstLine="480" w:firstLineChars="200"/>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风量核算：</w:t>
            </w:r>
          </w:p>
          <w:p>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工程分析，项目产污设备为天然气熔铝炉和压铸机，设有6台天然气熔铝炉和6台压铸机，共12台产污设备，拟在每台压铸机上方设置集气罩，将废气进行包围收集，集气罩装置分为定板侧收集罩与活动收集罩，定板侧收集罩用螺丝固定于压铸机上方，活动收集罩安装在固定支架的滑动导轨上，活动收集罩有3面，工作时定板侧收集罩与活动收集罩合拢，收集罩采用人工开合方式，合拢时仅保留一个物料进出口，详见下文示意图。压铸机的压室与熔炉是分开的，建设单位拟在熔炉四周设置围挡，仅保留一个物料进出通道，上方设置集气罩，因此废气可以包围收集。</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拟在这</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12</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台</w:t>
            </w:r>
            <w:r>
              <w:rPr>
                <w:rFonts w:hint="default" w:ascii="Times New Roman" w:hAnsi="Times New Roman" w:eastAsia="宋体" w:cs="Times New Roman"/>
                <w:color w:val="000000" w:themeColor="text1"/>
                <w:sz w:val="24"/>
                <w:lang w:eastAsia="zh-CN"/>
                <w14:textFill>
                  <w14:solidFill>
                    <w14:schemeClr w14:val="tx1"/>
                  </w14:solidFill>
                </w14:textFill>
              </w:rPr>
              <w:t>产污设</w:t>
            </w:r>
            <w:r>
              <w:rPr>
                <w:rFonts w:hint="default" w:ascii="Times New Roman" w:hAnsi="Times New Roman" w:eastAsia="宋体" w:cs="Times New Roman"/>
                <w:color w:val="000000" w:themeColor="text1"/>
                <w:sz w:val="24"/>
                <w:lang w:val="en-US" w:eastAsia="zh-CN"/>
                <w14:textFill>
                  <w14:solidFill>
                    <w14:schemeClr w14:val="tx1"/>
                  </w14:solidFill>
                </w14:textFill>
              </w:rPr>
              <w:t>备上设置</w:t>
            </w:r>
            <w:r>
              <w:rPr>
                <w:rFonts w:hint="default" w:ascii="Times New Roman" w:hAnsi="Times New Roman" w:cs="Times New Roman"/>
                <w:color w:val="000000" w:themeColor="text1"/>
                <w:sz w:val="24"/>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lang w:val="en-US" w:eastAsia="zh-CN"/>
                <w14:textFill>
                  <w14:solidFill>
                    <w14:schemeClr w14:val="tx1"/>
                  </w14:solidFill>
                </w14:textFill>
              </w:rPr>
              <w:t>对废气进行收集，</w:t>
            </w:r>
            <w:r>
              <w:rPr>
                <w:rFonts w:hint="default" w:ascii="Times New Roman" w:hAnsi="Times New Roman" w:cs="Times New Roman"/>
                <w:color w:val="000000" w:themeColor="text1"/>
                <w:sz w:val="24"/>
                <w:lang w:val="en-US" w:eastAsia="zh-CN"/>
                <w14:textFill>
                  <w14:solidFill>
                    <w14:schemeClr w14:val="tx1"/>
                  </w14:solidFill>
                </w14:textFill>
              </w:rPr>
              <w:t>2台400kg</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天然气熔铝炉</w:t>
            </w:r>
            <w:r>
              <w:rPr>
                <w:rFonts w:hint="default" w:ascii="Times New Roman" w:hAnsi="Times New Roman" w:cs="Times New Roman"/>
                <w:color w:val="000000" w:themeColor="text1"/>
                <w:sz w:val="24"/>
                <w14:textFill>
                  <w14:solidFill>
                    <w14:schemeClr w14:val="tx1"/>
                  </w14:solidFill>
                </w14:textFill>
              </w:rPr>
              <w:t>拟设置的集气罩平均长1</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val="en-US" w:eastAsia="zh-CN"/>
                <w14:textFill>
                  <w14:solidFill>
                    <w14:schemeClr w14:val="tx1"/>
                  </w14:solidFill>
                </w14:textFill>
              </w:rPr>
              <w:t>2台600kg</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天然气熔铝炉</w:t>
            </w:r>
            <w:r>
              <w:rPr>
                <w:rFonts w:hint="default" w:ascii="Times New Roman" w:hAnsi="Times New Roman" w:cs="Times New Roman"/>
                <w:color w:val="000000" w:themeColor="text1"/>
                <w:sz w:val="24"/>
                <w14:textFill>
                  <w14:solidFill>
                    <w14:schemeClr w14:val="tx1"/>
                  </w14:solidFill>
                </w14:textFill>
              </w:rPr>
              <w:t>拟设置的集气罩平均长1</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val="en-US" w:eastAsia="zh-CN"/>
                <w14:textFill>
                  <w14:solidFill>
                    <w14:schemeClr w14:val="tx1"/>
                  </w14:solidFill>
                </w14:textFill>
              </w:rPr>
              <w:t>2台800kg</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天然气熔铝炉</w:t>
            </w:r>
            <w:r>
              <w:rPr>
                <w:rFonts w:hint="default" w:ascii="Times New Roman" w:hAnsi="Times New Roman" w:cs="Times New Roman"/>
                <w:color w:val="000000" w:themeColor="text1"/>
                <w:sz w:val="24"/>
                <w14:textFill>
                  <w14:solidFill>
                    <w14:schemeClr w14:val="tx1"/>
                  </w14:solidFill>
                </w14:textFill>
              </w:rPr>
              <w:t>拟设置的集气罩平均长1</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1.3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val="en-US" w:eastAsia="zh-CN"/>
                <w14:textFill>
                  <w14:solidFill>
                    <w14:schemeClr w14:val="tx1"/>
                  </w14:solidFill>
                </w14:textFill>
              </w:rPr>
              <w:t>2台280t</w:t>
            </w:r>
            <w:r>
              <w:rPr>
                <w:rFonts w:hint="default" w:ascii="Times New Roman" w:hAnsi="Times New Roman" w:cs="Times New Roman"/>
                <w:color w:val="000000" w:themeColor="text1"/>
                <w:sz w:val="24"/>
                <w14:textFill>
                  <w14:solidFill>
                    <w14:schemeClr w14:val="tx1"/>
                  </w14:solidFill>
                </w14:textFill>
              </w:rPr>
              <w:t>拟设置的集气罩平均长</w:t>
            </w:r>
            <w:r>
              <w:rPr>
                <w:rFonts w:hint="default" w:ascii="Times New Roman" w:hAnsi="Times New Roman" w:cs="Times New Roman"/>
                <w:color w:val="000000" w:themeColor="text1"/>
                <w:sz w:val="24"/>
                <w:lang w:val="en-US" w:eastAsia="zh-CN"/>
                <w14:textFill>
                  <w14:solidFill>
                    <w14:schemeClr w14:val="tx1"/>
                  </w14:solidFill>
                </w14:textFill>
              </w:rPr>
              <w:t>0.6</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val="en-US" w:eastAsia="zh-CN"/>
                <w14:textFill>
                  <w14:solidFill>
                    <w14:schemeClr w14:val="tx1"/>
                  </w14:solidFill>
                </w14:textFill>
              </w:rPr>
              <w:t>2台400t</w:t>
            </w:r>
            <w:r>
              <w:rPr>
                <w:rFonts w:hint="default" w:ascii="Times New Roman" w:hAnsi="Times New Roman" w:cs="Times New Roman"/>
                <w:color w:val="000000" w:themeColor="text1"/>
                <w:sz w:val="24"/>
                <w14:textFill>
                  <w14:solidFill>
                    <w14:schemeClr w14:val="tx1"/>
                  </w14:solidFill>
                </w14:textFill>
              </w:rPr>
              <w:t>拟设置的集气罩平均长</w:t>
            </w:r>
            <w:r>
              <w:rPr>
                <w:rFonts w:hint="default" w:ascii="Times New Roman" w:hAnsi="Times New Roman" w:cs="Times New Roman"/>
                <w:color w:val="000000" w:themeColor="text1"/>
                <w:sz w:val="24"/>
                <w:lang w:val="en-US" w:eastAsia="zh-CN"/>
                <w14:textFill>
                  <w14:solidFill>
                    <w14:schemeClr w14:val="tx1"/>
                  </w14:solidFill>
                </w14:textFill>
              </w:rPr>
              <w:t>0.7</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0.6</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val="en-US" w:eastAsia="zh-CN"/>
                <w14:textFill>
                  <w14:solidFill>
                    <w14:schemeClr w14:val="tx1"/>
                  </w14:solidFill>
                </w14:textFill>
              </w:rPr>
              <w:t>2台500t</w:t>
            </w:r>
            <w:r>
              <w:rPr>
                <w:rFonts w:hint="default" w:ascii="Times New Roman" w:hAnsi="Times New Roman" w:cs="Times New Roman"/>
                <w:color w:val="000000" w:themeColor="text1"/>
                <w:sz w:val="24"/>
                <w14:textFill>
                  <w14:solidFill>
                    <w14:schemeClr w14:val="tx1"/>
                  </w14:solidFill>
                </w14:textFill>
              </w:rPr>
              <w:t>拟设置的集气罩平均长</w:t>
            </w:r>
            <w:r>
              <w:rPr>
                <w:rFonts w:hint="default" w:ascii="Times New Roman" w:hAnsi="Times New Roman" w:cs="Times New Roman"/>
                <w:color w:val="000000" w:themeColor="text1"/>
                <w:sz w:val="24"/>
                <w:lang w:val="en-US" w:eastAsia="zh-CN"/>
                <w14:textFill>
                  <w14:solidFill>
                    <w14:schemeClr w14:val="tx1"/>
                  </w14:solidFill>
                </w14:textFill>
              </w:rPr>
              <w:t>0.8</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0.7</w:t>
            </w:r>
            <w:r>
              <w:rPr>
                <w:rFonts w:hint="default" w:ascii="Times New Roman" w:hAnsi="Times New Roman" w:cs="Times New Roman"/>
                <w:color w:val="000000" w:themeColor="text1"/>
                <w:sz w:val="24"/>
                <w14:textFill>
                  <w14:solidFill>
                    <w14:schemeClr w14:val="tx1"/>
                  </w14:solidFill>
                </w14:textFill>
              </w:rPr>
              <w:t>m；</w:t>
            </w:r>
          </w:p>
          <w:p>
            <w:pPr>
              <w:widowControl/>
              <w:spacing w:line="360" w:lineRule="auto"/>
              <w:ind w:firstLine="480" w:firstLineChars="200"/>
              <w:rPr>
                <w:rFonts w:hint="default" w:ascii="Times New Roman" w:hAnsi="Times New Roman" w:eastAsia="宋体" w:cs="Times New Roman"/>
                <w:bCs/>
                <w:color w:val="000000" w:themeColor="text1"/>
                <w:sz w:val="24"/>
                <w:szCs w:val="21"/>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根据外部集气罩风量依据公式如下：</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 = K(a+b)×h×Vx×3600=1.4×</w:t>
            </w:r>
            <w:r>
              <w:rPr>
                <w:rFonts w:hint="default" w:ascii="Times New Roman" w:hAnsi="Times New Roman" w:cs="Times New Roman"/>
                <w:color w:val="000000" w:themeColor="text1"/>
                <w:sz w:val="24"/>
                <w:lang w:val="en-US" w:eastAsia="zh-CN"/>
                <w14:textFill>
                  <w14:solidFill>
                    <w14:schemeClr w14:val="tx1"/>
                  </w14:solidFill>
                </w14:textFill>
              </w:rPr>
              <w:t>48</w:t>
            </w:r>
            <w:r>
              <w:rPr>
                <w:rFonts w:hint="default" w:ascii="Times New Roman" w:hAnsi="Times New Roman" w:cs="Times New Roman"/>
                <w:color w:val="000000" w:themeColor="text1"/>
                <w:sz w:val="24"/>
                <w14:textFill>
                  <w14:solidFill>
                    <w14:schemeClr w14:val="tx1"/>
                  </w14:solidFill>
                </w14:textFill>
              </w:rPr>
              <w:t>×0.1×0.5×3600=</w:t>
            </w:r>
            <w:r>
              <w:rPr>
                <w:rFonts w:hint="default" w:ascii="Times New Roman" w:hAnsi="Times New Roman" w:cs="Times New Roman"/>
                <w:color w:val="000000" w:themeColor="text1"/>
                <w:sz w:val="24"/>
                <w:lang w:val="en-US" w:eastAsia="zh-CN"/>
                <w14:textFill>
                  <w14:solidFill>
                    <w14:schemeClr w14:val="tx1"/>
                  </w14:solidFill>
                </w14:textFill>
              </w:rPr>
              <w:t>12096</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Q：集气罩排风量（m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K：安全系数（1.4）；</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h：污染物产生点至罩口的距离，m，本项目取0.1m；</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a+b：集气罩周长，m，</w:t>
            </w:r>
            <w:r>
              <w:rPr>
                <w:rFonts w:hint="default" w:ascii="Times New Roman" w:hAnsi="Times New Roman" w:cs="Times New Roman"/>
                <w:color w:val="000000" w:themeColor="text1"/>
                <w:kern w:val="0"/>
                <w:sz w:val="24"/>
                <w14:textFill>
                  <w14:solidFill>
                    <w14:schemeClr w14:val="tx1"/>
                  </w14:solidFill>
                </w14:textFill>
              </w:rPr>
              <w:t>本项目拟设置</w:t>
            </w:r>
            <w:r>
              <w:rPr>
                <w:rFonts w:hint="default" w:ascii="Times New Roman" w:hAnsi="Times New Roman" w:cs="Times New Roman"/>
                <w:color w:val="000000" w:themeColor="text1"/>
                <w:kern w:val="0"/>
                <w:sz w:val="24"/>
                <w:lang w:eastAsia="zh-CN"/>
                <w14:textFill>
                  <w14:solidFill>
                    <w14:schemeClr w14:val="tx1"/>
                  </w14:solidFill>
                </w14:textFill>
              </w:rPr>
              <w:t>压铸</w:t>
            </w:r>
            <w:r>
              <w:rPr>
                <w:rFonts w:hint="default" w:ascii="Times New Roman" w:hAnsi="Times New Roman" w:cs="Times New Roman"/>
                <w:color w:val="000000" w:themeColor="text1"/>
                <w:kern w:val="0"/>
                <w:sz w:val="24"/>
                <w14:textFill>
                  <w14:solidFill>
                    <w14:schemeClr w14:val="tx1"/>
                  </w14:solidFill>
                </w14:textFill>
              </w:rPr>
              <w:t>集气罩总周长为</w:t>
            </w:r>
            <w:r>
              <w:rPr>
                <w:rFonts w:hint="default" w:ascii="Times New Roman" w:hAnsi="Times New Roman" w:cs="Times New Roman"/>
                <w:color w:val="000000" w:themeColor="text1"/>
                <w:kern w:val="0"/>
                <w:sz w:val="24"/>
                <w:lang w:val="en-US" w:eastAsia="zh-CN"/>
                <w14:textFill>
                  <w14:solidFill>
                    <w14:schemeClr w14:val="tx1"/>
                  </w14:solidFill>
                </w14:textFill>
              </w:rPr>
              <w:t>48</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设有</w:t>
            </w:r>
            <w:r>
              <w:rPr>
                <w:rFonts w:hint="default" w:ascii="Times New Roman" w:hAnsi="Times New Roman" w:cs="Times New Roman"/>
                <w:color w:val="000000" w:themeColor="text1"/>
                <w:kern w:val="0"/>
                <w:sz w:val="24"/>
                <w:lang w:val="en-US" w:eastAsia="zh-CN"/>
                <w14:textFill>
                  <w14:solidFill>
                    <w14:schemeClr w14:val="tx1"/>
                  </w14:solidFill>
                </w14:textFill>
              </w:rPr>
              <w:t>12</w:t>
            </w:r>
            <w:r>
              <w:rPr>
                <w:rFonts w:hint="default" w:ascii="Times New Roman" w:hAnsi="Times New Roman" w:cs="Times New Roman"/>
                <w:color w:val="000000" w:themeColor="text1"/>
                <w:kern w:val="0"/>
                <w:sz w:val="24"/>
                <w14:textFill>
                  <w14:solidFill>
                    <w14:schemeClr w14:val="tx1"/>
                  </w14:solidFill>
                </w14:textFill>
              </w:rPr>
              <w:t>个集气罩，均为方形，</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天然气熔铝炉集气罩分别为</w:t>
            </w:r>
            <w:r>
              <w:rPr>
                <w:rFonts w:hint="default" w:ascii="Times New Roman" w:hAnsi="Times New Roman" w:cs="Times New Roman"/>
                <w:color w:val="000000" w:themeColor="text1"/>
                <w:kern w:val="0"/>
                <w:sz w:val="24"/>
                <w14:textFill>
                  <w14:solidFill>
                    <w14:schemeClr w14:val="tx1"/>
                  </w14:solidFill>
                </w14:textFill>
              </w:rPr>
              <w:t>长</w:t>
            </w:r>
            <w:r>
              <w:rPr>
                <w:rFonts w:hint="default" w:ascii="Times New Roman" w:hAnsi="Times New Roman" w:cs="Times New Roman"/>
                <w:color w:val="000000" w:themeColor="text1"/>
                <w:kern w:val="0"/>
                <w:sz w:val="24"/>
                <w:lang w:val="en-US" w:eastAsia="zh-CN"/>
                <w14:textFill>
                  <w14:solidFill>
                    <w14:schemeClr w14:val="tx1"/>
                  </w14:solidFill>
                </w14:textFill>
              </w:rPr>
              <w:t>1.4</w:t>
            </w:r>
            <w:r>
              <w:rPr>
                <w:rFonts w:hint="default" w:ascii="Times New Roman" w:hAnsi="Times New Roman" w:cs="Times New Roman"/>
                <w:color w:val="000000" w:themeColor="text1"/>
                <w:kern w:val="0"/>
                <w:sz w:val="24"/>
                <w14:textFill>
                  <w14:solidFill>
                    <w14:schemeClr w14:val="tx1"/>
                  </w14:solidFill>
                </w14:textFill>
              </w:rPr>
              <w:t>m，宽</w:t>
            </w:r>
            <w:r>
              <w:rPr>
                <w:rFonts w:hint="default" w:ascii="Times New Roman" w:hAnsi="Times New Roman" w:cs="Times New Roman"/>
                <w:color w:val="000000" w:themeColor="text1"/>
                <w:kern w:val="0"/>
                <w:sz w:val="24"/>
                <w:lang w:val="en-US" w:eastAsia="zh-CN"/>
                <w14:textFill>
                  <w14:solidFill>
                    <w14:schemeClr w14:val="tx1"/>
                  </w14:solidFill>
                </w14:textFill>
              </w:rPr>
              <w:t>1.1</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长</w:t>
            </w:r>
            <w:r>
              <w:rPr>
                <w:rFonts w:hint="default" w:ascii="Times New Roman" w:hAnsi="Times New Roman" w:cs="Times New Roman"/>
                <w:color w:val="000000" w:themeColor="text1"/>
                <w:kern w:val="0"/>
                <w:sz w:val="24"/>
                <w:lang w:val="en-US" w:eastAsia="zh-CN"/>
                <w14:textFill>
                  <w14:solidFill>
                    <w14:schemeClr w14:val="tx1"/>
                  </w14:solidFill>
                </w14:textFill>
              </w:rPr>
              <w:t>1.5</w:t>
            </w:r>
            <w:r>
              <w:rPr>
                <w:rFonts w:hint="default" w:ascii="Times New Roman" w:hAnsi="Times New Roman" w:cs="Times New Roman"/>
                <w:color w:val="000000" w:themeColor="text1"/>
                <w:kern w:val="0"/>
                <w:sz w:val="24"/>
                <w14:textFill>
                  <w14:solidFill>
                    <w14:schemeClr w14:val="tx1"/>
                  </w14:solidFill>
                </w14:textFill>
              </w:rPr>
              <w:t>m，宽</w:t>
            </w:r>
            <w:r>
              <w:rPr>
                <w:rFonts w:hint="default" w:ascii="Times New Roman" w:hAnsi="Times New Roman" w:cs="Times New Roman"/>
                <w:color w:val="000000" w:themeColor="text1"/>
                <w:kern w:val="0"/>
                <w:sz w:val="24"/>
                <w:lang w:val="en-US" w:eastAsia="zh-CN"/>
                <w14:textFill>
                  <w14:solidFill>
                    <w14:schemeClr w14:val="tx1"/>
                  </w14:solidFill>
                </w14:textFill>
              </w:rPr>
              <w:t>1.2</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长</w:t>
            </w:r>
            <w:r>
              <w:rPr>
                <w:rFonts w:hint="default" w:ascii="Times New Roman" w:hAnsi="Times New Roman" w:cs="Times New Roman"/>
                <w:color w:val="000000" w:themeColor="text1"/>
                <w:kern w:val="0"/>
                <w:sz w:val="24"/>
                <w:lang w:val="en-US" w:eastAsia="zh-CN"/>
                <w14:textFill>
                  <w14:solidFill>
                    <w14:schemeClr w14:val="tx1"/>
                  </w14:solidFill>
                </w14:textFill>
              </w:rPr>
              <w:t>1.6</w:t>
            </w:r>
            <w:r>
              <w:rPr>
                <w:rFonts w:hint="default" w:ascii="Times New Roman" w:hAnsi="Times New Roman" w:cs="Times New Roman"/>
                <w:color w:val="000000" w:themeColor="text1"/>
                <w:kern w:val="0"/>
                <w:sz w:val="24"/>
                <w14:textFill>
                  <w14:solidFill>
                    <w14:schemeClr w14:val="tx1"/>
                  </w14:solidFill>
                </w14:textFill>
              </w:rPr>
              <w:t>m，宽</w:t>
            </w:r>
            <w:r>
              <w:rPr>
                <w:rFonts w:hint="default" w:ascii="Times New Roman" w:hAnsi="Times New Roman" w:cs="Times New Roman"/>
                <w:color w:val="000000" w:themeColor="text1"/>
                <w:kern w:val="0"/>
                <w:sz w:val="24"/>
                <w:lang w:val="en-US" w:eastAsia="zh-CN"/>
                <w14:textFill>
                  <w14:solidFill>
                    <w14:schemeClr w14:val="tx1"/>
                  </w14:solidFill>
                </w14:textFill>
              </w:rPr>
              <w:t>1.3</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压铸机集气罩分别</w:t>
            </w:r>
            <w:r>
              <w:rPr>
                <w:rFonts w:hint="default" w:ascii="Times New Roman" w:hAnsi="Times New Roman" w:cs="Times New Roman"/>
                <w:color w:val="000000" w:themeColor="text1"/>
                <w:kern w:val="0"/>
                <w:sz w:val="24"/>
                <w14:textFill>
                  <w14:solidFill>
                    <w14:schemeClr w14:val="tx1"/>
                  </w14:solidFill>
                </w14:textFill>
              </w:rPr>
              <w:t>长为</w:t>
            </w:r>
            <w:r>
              <w:rPr>
                <w:rFonts w:hint="default" w:ascii="Times New Roman" w:hAnsi="Times New Roman" w:cs="Times New Roman"/>
                <w:color w:val="000000" w:themeColor="text1"/>
                <w:kern w:val="0"/>
                <w:sz w:val="24"/>
                <w:lang w:val="en-US" w:eastAsia="zh-CN"/>
                <w14:textFill>
                  <w14:solidFill>
                    <w14:schemeClr w14:val="tx1"/>
                  </w14:solidFill>
                </w14:textFill>
              </w:rPr>
              <w:t>0.6</w:t>
            </w:r>
            <w:r>
              <w:rPr>
                <w:rFonts w:hint="default" w:ascii="Times New Roman" w:hAnsi="Times New Roman" w:cs="Times New Roman"/>
                <w:color w:val="000000" w:themeColor="text1"/>
                <w:kern w:val="0"/>
                <w:sz w:val="24"/>
                <w14:textFill>
                  <w14:solidFill>
                    <w14:schemeClr w14:val="tx1"/>
                  </w14:solidFill>
                </w14:textFill>
              </w:rPr>
              <w:t>m，宽为</w:t>
            </w:r>
            <w:r>
              <w:rPr>
                <w:rFonts w:hint="default" w:ascii="Times New Roman" w:hAnsi="Times New Roman" w:cs="Times New Roman"/>
                <w:color w:val="000000" w:themeColor="text1"/>
                <w:kern w:val="0"/>
                <w:sz w:val="24"/>
                <w:lang w:val="en-US" w:eastAsia="zh-CN"/>
                <w14:textFill>
                  <w14:solidFill>
                    <w14:schemeClr w14:val="tx1"/>
                  </w14:solidFill>
                </w14:textFill>
              </w:rPr>
              <w:t>0.5</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长</w:t>
            </w:r>
            <w:r>
              <w:rPr>
                <w:rFonts w:hint="default" w:ascii="Times New Roman" w:hAnsi="Times New Roman" w:cs="Times New Roman"/>
                <w:color w:val="000000" w:themeColor="text1"/>
                <w:sz w:val="24"/>
                <w:lang w:val="en-US" w:eastAsia="zh-CN"/>
                <w14:textFill>
                  <w14:solidFill>
                    <w14:schemeClr w14:val="tx1"/>
                  </w14:solidFill>
                </w14:textFill>
              </w:rPr>
              <w:t>0.7</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0.6</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长</w:t>
            </w:r>
            <w:r>
              <w:rPr>
                <w:rFonts w:hint="default" w:ascii="Times New Roman" w:hAnsi="Times New Roman" w:cs="Times New Roman"/>
                <w:color w:val="000000" w:themeColor="text1"/>
                <w:sz w:val="24"/>
                <w:lang w:val="en-US" w:eastAsia="zh-CN"/>
                <w14:textFill>
                  <w14:solidFill>
                    <w14:schemeClr w14:val="tx1"/>
                  </w14:solidFill>
                </w14:textFill>
              </w:rPr>
              <w:t>0.8</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0.7</w:t>
            </w:r>
            <w:r>
              <w:rPr>
                <w:rFonts w:hint="default" w:ascii="Times New Roman" w:hAnsi="Times New Roman" w:cs="Times New Roman"/>
                <w:color w:val="000000" w:themeColor="text1"/>
                <w:sz w:val="24"/>
                <w14:textFill>
                  <w14:solidFill>
                    <w14:schemeClr w14:val="tx1"/>
                  </w14:solidFill>
                </w14:textFill>
              </w:rPr>
              <w:t>m）；</w:t>
            </w:r>
          </w:p>
          <w:p>
            <w:pPr>
              <w:pStyle w:val="14"/>
              <w:kinsoku w:val="0"/>
              <w:overflowPunct w:val="0"/>
              <w:spacing w:beforeLines="0" w:afterLine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Vx：最小控制风速m/s，一般取0.5~1.5m/s，本次评价取值0.5m/s。</w:t>
            </w:r>
          </w:p>
          <w:p>
            <w:pPr>
              <w:pStyle w:val="14"/>
              <w:kinsoku w:val="0"/>
              <w:overflowPunct w:val="0"/>
              <w:spacing w:beforeLines="0" w:afterLines="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4"/>
                <w:highlight w:val="none"/>
                <w:lang w:val="en-US" w:eastAsia="zh-CN"/>
                <w14:textFill>
                  <w14:solidFill>
                    <w14:schemeClr w14:val="tx1"/>
                  </w14:solidFill>
                </w14:textFill>
              </w:rPr>
              <w:drawing>
                <wp:inline distT="0" distB="0" distL="114300" distR="114300">
                  <wp:extent cx="4229100" cy="3314700"/>
                  <wp:effectExtent l="9525" t="9525" r="9525" b="9525"/>
                  <wp:docPr id="15"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图片"/>
                          <pic:cNvPicPr>
                            <a:picLocks noChangeAspect="1"/>
                          </pic:cNvPicPr>
                        </pic:nvPicPr>
                        <pic:blipFill>
                          <a:blip r:embed="rId15"/>
                          <a:stretch>
                            <a:fillRect/>
                          </a:stretch>
                        </pic:blipFill>
                        <pic:spPr>
                          <a:xfrm>
                            <a:off x="0" y="0"/>
                            <a:ext cx="4229100" cy="33147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4"/>
              <w:kinsoku w:val="0"/>
              <w:overflowPunct w:val="0"/>
              <w:spacing w:beforeLines="0" w:afterLines="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图</w:t>
            </w:r>
            <w:r>
              <w:rPr>
                <w:rFonts w:hint="default" w:ascii="Times New Roman" w:hAnsi="Times New Roman" w:cs="Times New Roman"/>
                <w:b/>
                <w:bCs/>
                <w:color w:val="000000" w:themeColor="text1"/>
                <w:sz w:val="24"/>
                <w:szCs w:val="24"/>
                <w:lang w:val="en-US" w:eastAsia="zh-CN"/>
                <w14:textFill>
                  <w14:solidFill>
                    <w14:schemeClr w14:val="tx1"/>
                  </w14:solidFill>
                </w14:textFill>
              </w:rPr>
              <w:t>4-1 项目压铸机废气收集示意图</w:t>
            </w:r>
          </w:p>
          <w:p>
            <w:pPr>
              <w:pStyle w:val="14"/>
              <w:kinsoku w:val="0"/>
              <w:overflowPunct w:val="0"/>
              <w:spacing w:beforeLines="0" w:afterLines="0"/>
              <w:rPr>
                <w:rFonts w:hint="default" w:ascii="Times New Roman" w:hAnsi="Times New Roman" w:cs="Times New Roman"/>
                <w:color w:val="000000" w:themeColor="text1"/>
                <w14:textFill>
                  <w14:solidFill>
                    <w14:schemeClr w14:val="tx1"/>
                  </w14:solidFill>
                </w14:textFill>
              </w:rPr>
            </w:pPr>
          </w:p>
          <w:p>
            <w:pPr>
              <w:pStyle w:val="14"/>
              <w:kinsoku w:val="0"/>
              <w:overflowPunct w:val="0"/>
              <w:spacing w:beforeLines="0" w:afterLines="0"/>
              <w:jc w:val="center"/>
              <w:rPr>
                <w:rFonts w:hint="default" w:ascii="Times New Roman" w:hAnsi="Times New Roman" w:eastAsia="Times New Roman" w:cs="Times New Roman"/>
                <w:color w:val="000000" w:themeColor="text1"/>
                <w:sz w:val="20"/>
                <w:szCs w:val="24"/>
                <w14:textFill>
                  <w14:solidFill>
                    <w14:schemeClr w14:val="tx1"/>
                  </w14:solidFill>
                </w14:textFill>
              </w:rPr>
            </w:pPr>
            <w:r>
              <w:rPr>
                <w:rFonts w:hint="default" w:ascii="Times New Roman" w:hAnsi="Times New Roman" w:eastAsia="宋体" w:cs="Times New Roman"/>
                <w:b w:val="0"/>
                <w:bCs w:val="0"/>
                <w:color w:val="000000" w:themeColor="text1"/>
                <w:sz w:val="21"/>
                <w:szCs w:val="24"/>
                <w:highlight w:val="none"/>
                <w:lang w:val="en-US" w:eastAsia="zh-CN"/>
                <w14:textFill>
                  <w14:solidFill>
                    <w14:schemeClr w14:val="tx1"/>
                  </w14:solidFill>
                </w14:textFill>
              </w:rPr>
              <w:drawing>
                <wp:inline distT="0" distB="0" distL="114300" distR="114300">
                  <wp:extent cx="4238625" cy="3429000"/>
                  <wp:effectExtent l="9525" t="9525" r="19050" b="9525"/>
                  <wp:docPr id="16"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图片2"/>
                          <pic:cNvPicPr>
                            <a:picLocks noChangeAspect="1"/>
                          </pic:cNvPicPr>
                        </pic:nvPicPr>
                        <pic:blipFill>
                          <a:blip r:embed="rId16"/>
                          <a:stretch>
                            <a:fillRect/>
                          </a:stretch>
                        </pic:blipFill>
                        <pic:spPr>
                          <a:xfrm>
                            <a:off x="0" y="0"/>
                            <a:ext cx="4238625" cy="34290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4"/>
              <w:kinsoku w:val="0"/>
              <w:overflowPunct w:val="0"/>
              <w:spacing w:beforeLines="0" w:afterLines="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图</w:t>
            </w:r>
            <w:r>
              <w:rPr>
                <w:rFonts w:hint="default" w:ascii="Times New Roman" w:hAnsi="Times New Roman" w:cs="Times New Roman"/>
                <w:b/>
                <w:bCs/>
                <w:color w:val="000000" w:themeColor="text1"/>
                <w:sz w:val="24"/>
                <w:szCs w:val="24"/>
                <w:lang w:val="en-US" w:eastAsia="zh-CN"/>
                <w14:textFill>
                  <w14:solidFill>
                    <w14:schemeClr w14:val="tx1"/>
                  </w14:solidFill>
                </w14:textFill>
              </w:rPr>
              <w:t>4-2 项目熔铝炉废气收集示意图</w:t>
            </w:r>
          </w:p>
          <w:p>
            <w:pPr>
              <w:pStyle w:val="7"/>
              <w:spacing w:line="360" w:lineRule="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熔化、压铸和脱膜工序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风机风量为</w:t>
            </w:r>
            <w:r>
              <w:rPr>
                <w:rFonts w:hint="default" w:ascii="Times New Roman" w:hAnsi="Times New Roman" w:cs="Times New Roman"/>
                <w:color w:val="000000" w:themeColor="text1"/>
                <w:sz w:val="24"/>
                <w:lang w:val="en-US" w:eastAsia="zh-CN"/>
                <w14:textFill>
                  <w14:solidFill>
                    <w14:schemeClr w14:val="tx1"/>
                  </w14:solidFill>
                </w14:textFill>
              </w:rPr>
              <w:t>12096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综合考虑风阻损耗等影响，</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按计算风量的1.2倍取值，熔化、压铸、脱膜工序</w:t>
            </w:r>
            <w:r>
              <w:rPr>
                <w:rFonts w:hint="default" w:ascii="Times New Roman" w:hAnsi="Times New Roman" w:cs="Times New Roman"/>
                <w:color w:val="000000" w:themeColor="text1"/>
                <w:sz w:val="24"/>
                <w:lang w:eastAsia="zh-CN"/>
                <w14:textFill>
                  <w14:solidFill>
                    <w14:schemeClr w14:val="tx1"/>
                  </w14:solidFill>
                </w14:textFill>
              </w:rPr>
              <w:t>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风机风量取</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15000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w:t>
            </w:r>
          </w:p>
          <w:p>
            <w:pPr>
              <w:spacing w:line="360" w:lineRule="auto"/>
              <w:ind w:firstLine="480" w:firstLineChars="200"/>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综上所述</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，项目熔化、</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压铸、脱膜</w:t>
            </w:r>
            <w:r>
              <w:rPr>
                <w:rFonts w:hint="default" w:ascii="Times New Roman" w:hAnsi="Times New Roman" w:eastAsia="宋体" w:cs="Times New Roman"/>
                <w:color w:val="000000" w:themeColor="text1"/>
                <w:sz w:val="24"/>
                <w:lang w:eastAsia="zh-CN"/>
                <w14:textFill>
                  <w14:solidFill>
                    <w14:schemeClr w14:val="tx1"/>
                  </w14:solidFill>
                </w14:textFill>
              </w:rPr>
              <w:t>工序</w:t>
            </w:r>
            <w:r>
              <w:rPr>
                <w:rFonts w:hint="default" w:ascii="Times New Roman" w:hAnsi="Times New Roman" w:cs="Times New Roman"/>
                <w:color w:val="000000" w:themeColor="text1"/>
                <w:sz w:val="24"/>
                <w:lang w:eastAsia="zh-CN"/>
                <w14:textFill>
                  <w14:solidFill>
                    <w14:schemeClr w14:val="tx1"/>
                  </w14:solidFill>
                </w14:textFill>
              </w:rPr>
              <w:t>废气</w:t>
            </w:r>
            <w:r>
              <w:rPr>
                <w:rFonts w:hint="default" w:ascii="Times New Roman" w:hAnsi="Times New Roman" w:eastAsia="宋体" w:cs="Times New Roman"/>
                <w:color w:val="000000" w:themeColor="text1"/>
                <w:sz w:val="24"/>
                <w:lang w:eastAsia="zh-CN"/>
                <w14:textFill>
                  <w14:solidFill>
                    <w14:schemeClr w14:val="tx1"/>
                  </w14:solidFill>
                </w14:textFill>
              </w:rPr>
              <w:t>产生的颗粒物总量为</w:t>
            </w:r>
            <w:r>
              <w:rPr>
                <w:rFonts w:hint="default" w:ascii="Times New Roman" w:hAnsi="Times New Roman" w:cs="Times New Roman"/>
                <w:color w:val="000000" w:themeColor="text1"/>
                <w:sz w:val="24"/>
                <w:lang w:val="en-US" w:eastAsia="zh-CN"/>
                <w14:textFill>
                  <w14:solidFill>
                    <w14:schemeClr w14:val="tx1"/>
                  </w14:solidFill>
                </w14:textFill>
              </w:rPr>
              <w:t>3.689</w:t>
            </w:r>
            <w:r>
              <w:rPr>
                <w:rFonts w:hint="default" w:ascii="Times New Roman" w:hAnsi="Times New Roman" w:eastAsia="宋体" w:cs="Times New Roman"/>
                <w:color w:val="000000" w:themeColor="text1"/>
                <w:sz w:val="24"/>
                <w:lang w:val="en-US" w:eastAsia="zh-CN"/>
                <w14:textFill>
                  <w14:solidFill>
                    <w14:schemeClr w14:val="tx1"/>
                  </w14:solidFill>
                </w14:textFill>
              </w:rPr>
              <w:t>t/a，非甲烷总烃产生的总量为</w:t>
            </w:r>
            <w:r>
              <w:rPr>
                <w:rFonts w:hint="default" w:ascii="Times New Roman" w:hAnsi="Times New Roman" w:cs="Times New Roman"/>
                <w:color w:val="000000" w:themeColor="text1"/>
                <w:sz w:val="24"/>
                <w:lang w:val="en-US" w:eastAsia="zh-CN"/>
                <w14:textFill>
                  <w14:solidFill>
                    <w14:schemeClr w14:val="tx1"/>
                  </w14:solidFill>
                </w14:textFill>
              </w:rPr>
              <w:t>0.46</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项目熔化、</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压铸、脱膜</w:t>
            </w:r>
            <w:r>
              <w:rPr>
                <w:rFonts w:hint="default" w:ascii="Times New Roman" w:hAnsi="Times New Roman" w:eastAsia="宋体" w:cs="Times New Roman"/>
                <w:color w:val="000000" w:themeColor="text1"/>
                <w:sz w:val="24"/>
                <w:lang w:eastAsia="zh-CN"/>
                <w14:textFill>
                  <w14:solidFill>
                    <w14:schemeClr w14:val="tx1"/>
                  </w14:solidFill>
                </w14:textFill>
              </w:rPr>
              <w:t>工序</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实际日工作时间为13h，年工作300天，</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车间密闭，项目熔化、压铸和脱膜</w:t>
            </w:r>
            <w:r>
              <w:rPr>
                <w:rFonts w:hint="default" w:ascii="Times New Roman" w:hAnsi="Times New Roman" w:eastAsia="宋体" w:cs="Times New Roman"/>
                <w:color w:val="000000" w:themeColor="text1"/>
                <w:sz w:val="24"/>
                <w:lang w:eastAsia="zh-CN"/>
                <w14:textFill>
                  <w14:solidFill>
                    <w14:schemeClr w14:val="tx1"/>
                  </w14:solidFill>
                </w14:textFill>
              </w:rPr>
              <w:t>工序</w:t>
            </w:r>
            <w:r>
              <w:rPr>
                <w:rFonts w:hint="default" w:ascii="Times New Roman" w:hAnsi="Times New Roman" w:cs="Times New Roman"/>
                <w:color w:val="000000" w:themeColor="text1"/>
                <w:sz w:val="24"/>
                <w:lang w:eastAsia="zh-CN"/>
                <w14:textFill>
                  <w14:solidFill>
                    <w14:schemeClr w14:val="tx1"/>
                  </w14:solidFill>
                </w14:textFill>
              </w:rPr>
              <w:t>的废气经半密闭式集气罩收集</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静电式油雾净化器</w:t>
            </w:r>
            <w:r>
              <w:rPr>
                <w:rFonts w:hint="default" w:ascii="Times New Roman" w:hAnsi="Times New Roman" w:cs="Times New Roman"/>
                <w:color w:val="000000" w:themeColor="text1"/>
                <w:sz w:val="24"/>
                <w:lang w:val="en-US" w:eastAsia="zh-CN"/>
                <w14:textFill>
                  <w14:solidFill>
                    <w14:schemeClr w14:val="tx1"/>
                  </w14:solidFill>
                </w14:textFill>
              </w:rPr>
              <w:t>+耐</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高温布袋除</w:t>
            </w:r>
            <w:r>
              <w:rPr>
                <w:rFonts w:hint="default" w:ascii="Times New Roman" w:hAnsi="Times New Roman" w:eastAsia="宋体" w:cs="Times New Roman"/>
                <w:color w:val="000000" w:themeColor="text1"/>
                <w:sz w:val="24"/>
                <w14:textFill>
                  <w14:solidFill>
                    <w14:schemeClr w14:val="tx1"/>
                  </w14:solidFill>
                </w14:textFill>
              </w:rPr>
              <w:t>尘器</w:t>
            </w:r>
            <w:r>
              <w:rPr>
                <w:rFonts w:hint="default" w:ascii="Times New Roman" w:hAnsi="Times New Roman" w:cs="Times New Roman"/>
                <w:color w:val="000000" w:themeColor="text1"/>
                <w:sz w:val="24"/>
                <w:lang w:val="en-US" w:eastAsia="zh-CN"/>
                <w14:textFill>
                  <w14:solidFill>
                    <w14:schemeClr w14:val="tx1"/>
                  </w14:solidFill>
                </w14:textFill>
              </w:rPr>
              <w:t>+两级活性炭装置</w:t>
            </w:r>
            <w:r>
              <w:rPr>
                <w:rFonts w:hint="default" w:ascii="Times New Roman" w:hAnsi="Times New Roman" w:eastAsia="宋体" w:cs="Times New Roman"/>
                <w:color w:val="000000" w:themeColor="text1"/>
                <w:sz w:val="24"/>
                <w14:textFill>
                  <w14:solidFill>
                    <w14:schemeClr w14:val="tx1"/>
                  </w14:solidFill>
                </w14:textFill>
              </w:rPr>
              <w:t>处理</w:t>
            </w:r>
            <w:r>
              <w:rPr>
                <w:rFonts w:hint="default" w:ascii="Times New Roman" w:hAnsi="Times New Roman" w:cs="Times New Roman"/>
                <w:color w:val="000000" w:themeColor="text1"/>
                <w:sz w:val="24"/>
                <w:lang w:eastAsia="zh-CN"/>
                <w14:textFill>
                  <w14:solidFill>
                    <w14:schemeClr w14:val="tx1"/>
                  </w14:solidFill>
                </w14:textFill>
              </w:rPr>
              <w:t>达标</w:t>
            </w:r>
            <w:r>
              <w:rPr>
                <w:rFonts w:hint="default" w:ascii="Times New Roman" w:hAnsi="Times New Roman" w:eastAsia="宋体" w:cs="Times New Roman"/>
                <w:color w:val="000000" w:themeColor="text1"/>
                <w:sz w:val="24"/>
                <w14:textFill>
                  <w14:solidFill>
                    <w14:schemeClr w14:val="tx1"/>
                  </w14:solidFill>
                </w14:textFill>
              </w:rPr>
              <w:t>后</w:t>
            </w:r>
            <w:r>
              <w:rPr>
                <w:rFonts w:hint="default" w:ascii="Times New Roman" w:hAnsi="Times New Roman" w:cs="Times New Roman"/>
                <w:color w:val="000000" w:themeColor="text1"/>
                <w:sz w:val="24"/>
                <w:lang w:eastAsia="zh-CN"/>
                <w14:textFill>
                  <w14:solidFill>
                    <w14:schemeClr w14:val="tx1"/>
                  </w14:solidFill>
                </w14:textFill>
              </w:rPr>
              <w:t>通过</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一根15m高</w:t>
            </w:r>
            <w:r>
              <w:rPr>
                <w:rFonts w:hint="default" w:ascii="Times New Roman" w:hAnsi="Times New Roman" w:eastAsia="宋体" w:cs="Times New Roman"/>
                <w:color w:val="000000" w:themeColor="text1"/>
                <w:sz w:val="24"/>
                <w:lang w:eastAsia="zh-CN"/>
                <w14:textFill>
                  <w14:solidFill>
                    <w14:schemeClr w14:val="tx1"/>
                  </w14:solidFill>
                </w14:textFill>
              </w:rPr>
              <w:t>排气筒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（DA0</w:t>
            </w:r>
            <w:r>
              <w:rPr>
                <w:rFonts w:hint="default" w:ascii="Times New Roman" w:hAnsi="Times New Roman" w:eastAsia="宋体" w:cs="Times New Roman"/>
                <w:color w:val="000000" w:themeColor="text1"/>
                <w:sz w:val="24"/>
                <w:lang w:val="en-US" w:eastAsia="zh-CN"/>
                <w14:textFill>
                  <w14:solidFill>
                    <w14:schemeClr w14:val="tx1"/>
                  </w14:solidFill>
                </w14:textFill>
              </w:rPr>
              <w:t>01）</w:t>
            </w:r>
            <w:r>
              <w:rPr>
                <w:rFonts w:hint="default" w:ascii="Times New Roman" w:hAnsi="Times New Roman" w:eastAsia="宋体" w:cs="Times New Roman"/>
                <w:color w:val="000000" w:themeColor="text1"/>
                <w:sz w:val="24"/>
                <w:lang w:eastAsia="zh-CN"/>
                <w14:textFill>
                  <w14:solidFill>
                    <w14:schemeClr w14:val="tx1"/>
                  </w14:solidFill>
                </w14:textFill>
              </w:rPr>
              <w:t>排放；</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废气收集效率</w:t>
            </w:r>
            <w:r>
              <w:rPr>
                <w:rFonts w:hint="default" w:ascii="Times New Roman" w:hAnsi="Times New Roman" w:eastAsia="宋体" w:cs="Times New Roman"/>
                <w:color w:val="000000" w:themeColor="text1"/>
                <w:sz w:val="24"/>
                <w:lang w:val="en-US" w:eastAsia="zh-CN"/>
                <w14:textFill>
                  <w14:solidFill>
                    <w14:schemeClr w14:val="tx1"/>
                  </w14:solidFill>
                </w14:textFill>
              </w:rPr>
              <w:t>按90%计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，颗粒物处理效率</w:t>
            </w:r>
            <w:r>
              <w:rPr>
                <w:rFonts w:hint="default" w:ascii="Times New Roman" w:hAnsi="Times New Roman" w:eastAsia="宋体" w:cs="Times New Roman"/>
                <w:color w:val="000000" w:themeColor="text1"/>
                <w:sz w:val="24"/>
                <w:lang w:val="en-US" w:eastAsia="zh-CN"/>
                <w14:textFill>
                  <w14:solidFill>
                    <w14:schemeClr w14:val="tx1"/>
                  </w14:solidFill>
                </w14:textFill>
              </w:rPr>
              <w:t>按9</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计，</w:t>
            </w:r>
            <w:r>
              <w:rPr>
                <w:rFonts w:hint="default" w:ascii="Times New Roman" w:hAnsi="Times New Roman" w:eastAsia="宋体" w:cs="Times New Roman"/>
                <w:color w:val="000000" w:themeColor="text1"/>
                <w:sz w:val="24"/>
                <w:lang w:eastAsia="zh-CN"/>
                <w14:textFill>
                  <w14:solidFill>
                    <w14:schemeClr w14:val="tx1"/>
                  </w14:solidFill>
                </w14:textFill>
              </w:rPr>
              <w:t>非甲烷总烃处理效率按</w:t>
            </w:r>
            <w:r>
              <w:rPr>
                <w:rFonts w:hint="default" w:ascii="Times New Roman" w:hAnsi="Times New Roman" w:eastAsia="宋体"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计。项目未收集的颗粒物经车间沉降，9</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lang w:val="en-US" w:eastAsia="zh-CN"/>
                <w14:textFill>
                  <w14:solidFill>
                    <w14:schemeClr w14:val="tx1"/>
                  </w14:solidFill>
                </w14:textFill>
              </w:rPr>
              <w:t>%截留在车间内，剩余</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%无组织排放。</w:t>
            </w:r>
          </w:p>
          <w:p>
            <w:pPr>
              <w:spacing w:before="100" w:beforeAutospacing="1"/>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2</w:t>
            </w:r>
            <w:r>
              <w:rPr>
                <w:rFonts w:hint="default" w:ascii="Times New Roman" w:hAnsi="Times New Roman" w:cs="Times New Roman"/>
                <w:b/>
                <w:color w:val="000000" w:themeColor="text1"/>
                <w:sz w:val="24"/>
                <w14:textFill>
                  <w14:solidFill>
                    <w14:schemeClr w14:val="tx1"/>
                  </w14:solidFill>
                </w14:textFill>
              </w:rPr>
              <w:t xml:space="preserve"> </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lang w:val="en-US" w:eastAsia="zh-CN"/>
                <w14:textFill>
                  <w14:solidFill>
                    <w14:schemeClr w14:val="tx1"/>
                  </w14:solidFill>
                </w14:textFill>
              </w:rPr>
              <w:t>熔化、压铸</w:t>
            </w:r>
            <w:r>
              <w:rPr>
                <w:rFonts w:hint="default" w:ascii="Times New Roman" w:hAnsi="Times New Roman" w:cs="Times New Roman"/>
                <w:b/>
                <w:color w:val="000000" w:themeColor="text1"/>
                <w:sz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脱膜废气</w:t>
            </w:r>
            <w:r>
              <w:rPr>
                <w:rFonts w:hint="default" w:ascii="Times New Roman" w:hAnsi="Times New Roman" w:cs="Times New Roman"/>
                <w:b/>
                <w:color w:val="000000" w:themeColor="text1"/>
                <w:sz w:val="24"/>
                <w14:textFill>
                  <w14:solidFill>
                    <w14:schemeClr w14:val="tx1"/>
                  </w14:solidFill>
                </w14:textFill>
              </w:rPr>
              <w:t>有组织排放</w:t>
            </w:r>
            <w:r>
              <w:rPr>
                <w:rFonts w:hint="default" w:ascii="Times New Roman" w:hAnsi="Times New Roman" w:cs="Times New Roman"/>
                <w:b/>
                <w:bCs/>
                <w:color w:val="000000" w:themeColor="text1"/>
                <w:sz w:val="24"/>
                <w:lang w:val="en-GB"/>
                <w14:textFill>
                  <w14:solidFill>
                    <w14:schemeClr w14:val="tx1"/>
                  </w14:solidFill>
                </w14:textFill>
              </w:rPr>
              <w:t>产生及排放情况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465"/>
              <w:gridCol w:w="767"/>
              <w:gridCol w:w="689"/>
              <w:gridCol w:w="689"/>
              <w:gridCol w:w="798"/>
              <w:gridCol w:w="985"/>
              <w:gridCol w:w="689"/>
              <w:gridCol w:w="689"/>
              <w:gridCol w:w="798"/>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污染源</w:t>
                  </w:r>
                </w:p>
              </w:tc>
              <w:tc>
                <w:tcPr>
                  <w:tcW w:w="0" w:type="auto"/>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污染物</w:t>
                  </w:r>
                </w:p>
              </w:tc>
              <w:tc>
                <w:tcPr>
                  <w:tcW w:w="0" w:type="auto"/>
                  <w:vMerge w:val="restart"/>
                  <w:vAlign w:val="center"/>
                </w:tcPr>
                <w:p>
                  <w:pPr>
                    <w:tabs>
                      <w:tab w:val="left" w:pos="2200"/>
                      <w:tab w:val="left" w:pos="3960"/>
                      <w:tab w:val="left" w:pos="5280"/>
                    </w:tabs>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排气量m</w:t>
                  </w:r>
                  <w:r>
                    <w:rPr>
                      <w:rFonts w:hint="default" w:ascii="Times New Roman" w:hAnsi="Times New Roman" w:cs="Times New Roman"/>
                      <w:b/>
                      <w:color w:val="000000" w:themeColor="text1"/>
                      <w:szCs w:val="18"/>
                      <w:vertAlign w:val="superscript"/>
                      <w14:textFill>
                        <w14:solidFill>
                          <w14:schemeClr w14:val="tx1"/>
                        </w14:solidFill>
                      </w14:textFill>
                    </w:rPr>
                    <w:t>3</w:t>
                  </w:r>
                  <w:r>
                    <w:rPr>
                      <w:rFonts w:hint="default" w:ascii="Times New Roman" w:hAnsi="Times New Roman" w:cs="Times New Roman"/>
                      <w:b/>
                      <w:color w:val="000000" w:themeColor="text1"/>
                      <w:szCs w:val="18"/>
                      <w14:textFill>
                        <w14:solidFill>
                          <w14:schemeClr w14:val="tx1"/>
                        </w14:solidFill>
                      </w14:textFill>
                    </w:rPr>
                    <w:t>/h</w:t>
                  </w:r>
                </w:p>
              </w:tc>
              <w:tc>
                <w:tcPr>
                  <w:tcW w:w="0" w:type="auto"/>
                  <w:gridSpan w:val="3"/>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产生情况</w:t>
                  </w:r>
                </w:p>
              </w:tc>
              <w:tc>
                <w:tcPr>
                  <w:tcW w:w="985" w:type="dxa"/>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拟采取的污染治理措施</w:t>
                  </w:r>
                </w:p>
              </w:tc>
              <w:tc>
                <w:tcPr>
                  <w:tcW w:w="2176" w:type="dxa"/>
                  <w:gridSpan w:val="3"/>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排放情况</w:t>
                  </w:r>
                </w:p>
              </w:tc>
              <w:tc>
                <w:tcPr>
                  <w:tcW w:w="0" w:type="auto"/>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0" w:type="auto"/>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0" w:type="auto"/>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0" w:type="auto"/>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kg/h</w:t>
                  </w:r>
                </w:p>
              </w:tc>
              <w:tc>
                <w:tcPr>
                  <w:tcW w:w="0" w:type="auto"/>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t/a</w:t>
                  </w:r>
                </w:p>
              </w:tc>
              <w:tc>
                <w:tcPr>
                  <w:tcW w:w="0" w:type="auto"/>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mg/m</w:t>
                  </w:r>
                  <w:r>
                    <w:rPr>
                      <w:rFonts w:hint="default" w:ascii="Times New Roman" w:hAnsi="Times New Roman" w:cs="Times New Roman"/>
                      <w:b/>
                      <w:color w:val="000000" w:themeColor="text1"/>
                      <w:szCs w:val="18"/>
                      <w:vertAlign w:val="superscript"/>
                      <w14:textFill>
                        <w14:solidFill>
                          <w14:schemeClr w14:val="tx1"/>
                        </w14:solidFill>
                      </w14:textFill>
                    </w:rPr>
                    <w:t>3</w:t>
                  </w:r>
                </w:p>
              </w:tc>
              <w:tc>
                <w:tcPr>
                  <w:tcW w:w="985" w:type="dxa"/>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689" w:type="dxa"/>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kg/h</w:t>
                  </w:r>
                </w:p>
              </w:tc>
              <w:tc>
                <w:tcPr>
                  <w:tcW w:w="0" w:type="auto"/>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t/a</w:t>
                  </w:r>
                </w:p>
              </w:tc>
              <w:tc>
                <w:tcPr>
                  <w:tcW w:w="0" w:type="auto"/>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mg/m</w:t>
                  </w:r>
                  <w:r>
                    <w:rPr>
                      <w:rFonts w:hint="default" w:ascii="Times New Roman" w:hAnsi="Times New Roman" w:cs="Times New Roman"/>
                      <w:b/>
                      <w:color w:val="000000" w:themeColor="text1"/>
                      <w:szCs w:val="18"/>
                      <w:vertAlign w:val="superscript"/>
                      <w14:textFill>
                        <w14:solidFill>
                          <w14:schemeClr w14:val="tx1"/>
                        </w14:solidFill>
                      </w14:textFill>
                    </w:rPr>
                    <w:t>3</w:t>
                  </w:r>
                </w:p>
              </w:tc>
              <w:tc>
                <w:tcPr>
                  <w:tcW w:w="0" w:type="auto"/>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0" w:type="auto"/>
                  <w:vMerge w:val="restart"/>
                  <w:vAlign w:val="center"/>
                </w:tcPr>
                <w:p>
                  <w:pPr>
                    <w:jc w:val="center"/>
                    <w:rPr>
                      <w:rFonts w:hint="default" w:ascii="Times New Roman" w:hAnsi="Times New Roman" w:cs="Times New Roman"/>
                      <w:bCs/>
                      <w:color w:val="000000" w:themeColor="text1"/>
                      <w:szCs w:val="18"/>
                      <w:lang w:val="en-GB"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熔化</w:t>
                  </w:r>
                  <w:r>
                    <w:rPr>
                      <w:rFonts w:hint="default" w:ascii="Times New Roman" w:hAnsi="Times New Roman" w:cs="Times New Roman"/>
                      <w:color w:val="000000" w:themeColor="text1"/>
                      <w:szCs w:val="18"/>
                      <w:lang w:val="en-US" w:eastAsia="zh-CN"/>
                      <w14:textFill>
                        <w14:solidFill>
                          <w14:schemeClr w14:val="tx1"/>
                        </w14:solidFill>
                      </w14:textFill>
                    </w:rPr>
                    <w:t>、压铸、脱膜废气</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0" w:type="auto"/>
                  <w:vMerge w:val="restart"/>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15000</w:t>
                  </w:r>
                </w:p>
              </w:tc>
              <w:tc>
                <w:tcPr>
                  <w:tcW w:w="0" w:type="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0.851</w:t>
                  </w:r>
                </w:p>
              </w:tc>
              <w:tc>
                <w:tcPr>
                  <w:tcW w:w="0" w:type="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3.32</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56.752</w:t>
                  </w:r>
                </w:p>
              </w:tc>
              <w:tc>
                <w:tcPr>
                  <w:tcW w:w="985" w:type="dxa"/>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szCs w:val="18"/>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p>
              </w:tc>
              <w:tc>
                <w:tcPr>
                  <w:tcW w:w="689" w:type="dxa"/>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0.017</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0.066</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1.128</w:t>
                  </w:r>
                </w:p>
              </w:tc>
              <w:tc>
                <w:tcPr>
                  <w:tcW w:w="0" w:type="auto"/>
                  <w:vMerge w:val="restart"/>
                  <w:vAlign w:val="center"/>
                </w:tcPr>
                <w:p>
                  <w:pPr>
                    <w:jc w:val="center"/>
                    <w:rPr>
                      <w:rFonts w:hint="default" w:ascii="Times New Roman" w:hAnsi="Times New Roman" w:eastAsia="宋体" w:cs="Times New Roman"/>
                      <w:color w:val="000000" w:themeColor="text1"/>
                      <w:szCs w:val="18"/>
                      <w14:textFill>
                        <w14:solidFill>
                          <w14:schemeClr w14:val="tx1"/>
                        </w14:solidFill>
                      </w14:textFill>
                    </w:rPr>
                  </w:pPr>
                  <w:r>
                    <w:rPr>
                      <w:rFonts w:hint="default" w:ascii="Times New Roman" w:hAnsi="Times New Roman" w:eastAsia="宋体" w:cs="Times New Roman"/>
                      <w:color w:val="000000" w:themeColor="text1"/>
                      <w:szCs w:val="18"/>
                      <w14:textFill>
                        <w14:solidFill>
                          <w14:schemeClr w14:val="tx1"/>
                        </w14:solidFill>
                      </w14:textFill>
                    </w:rPr>
                    <w:t>DA001</w:t>
                  </w:r>
                </w:p>
                <w:p>
                  <w:pPr>
                    <w:jc w:val="center"/>
                    <w:rPr>
                      <w:rFonts w:hint="default" w:ascii="Times New Roman" w:hAnsi="Times New Roman" w:eastAsia="宋体" w:cs="Times New Roman"/>
                      <w:color w:val="000000" w:themeColor="text1"/>
                      <w:szCs w:val="18"/>
                      <w14:textFill>
                        <w14:solidFill>
                          <w14:schemeClr w14:val="tx1"/>
                        </w14:solidFill>
                      </w14:textFill>
                    </w:rPr>
                  </w:pPr>
                  <w:r>
                    <w:rPr>
                      <w:rFonts w:hint="default" w:ascii="Times New Roman" w:hAnsi="Times New Roman" w:eastAsia="宋体" w:cs="Times New Roman"/>
                      <w:color w:val="000000" w:themeColor="text1"/>
                      <w:szCs w:val="18"/>
                      <w14:textFill>
                        <w14:solidFill>
                          <w14:schemeClr w14:val="tx1"/>
                        </w14:solidFill>
                      </w14:textFill>
                    </w:rPr>
                    <w:t>H:</w:t>
                  </w:r>
                  <w:r>
                    <w:rPr>
                      <w:rFonts w:hint="default" w:ascii="Times New Roman" w:hAnsi="Times New Roman" w:eastAsia="宋体" w:cs="Times New Roman"/>
                      <w:color w:val="000000" w:themeColor="text1"/>
                      <w:szCs w:val="18"/>
                      <w:lang w:val="en-US" w:eastAsia="zh-CN"/>
                      <w14:textFill>
                        <w14:solidFill>
                          <w14:schemeClr w14:val="tx1"/>
                        </w14:solidFill>
                      </w14:textFill>
                    </w:rPr>
                    <w:t>15</w:t>
                  </w:r>
                  <w:r>
                    <w:rPr>
                      <w:rFonts w:hint="default" w:ascii="Times New Roman" w:hAnsi="Times New Roman" w:eastAsia="宋体" w:cs="Times New Roman"/>
                      <w:color w:val="000000" w:themeColor="text1"/>
                      <w:szCs w:val="18"/>
                      <w14:textFill>
                        <w14:solidFill>
                          <w14:schemeClr w14:val="tx1"/>
                        </w14:solidFill>
                      </w14:textFill>
                    </w:rPr>
                    <w:t>m</w:t>
                  </w:r>
                </w:p>
                <w:p>
                  <w:pPr>
                    <w:jc w:val="center"/>
                    <w:rPr>
                      <w:rFonts w:hint="default" w:ascii="Times New Roman" w:hAnsi="Times New Roman" w:cs="Times New Roman"/>
                      <w:color w:val="000000" w:themeColor="text1"/>
                      <w:szCs w:val="18"/>
                      <w14:textFill>
                        <w14:solidFill>
                          <w14:schemeClr w14:val="tx1"/>
                        </w14:solidFill>
                      </w14:textFill>
                    </w:rPr>
                  </w:pPr>
                  <w:r>
                    <w:rPr>
                      <w:rFonts w:hint="default" w:ascii="Times New Roman" w:hAnsi="Times New Roman" w:eastAsia="宋体" w:cs="Times New Roman"/>
                      <w:color w:val="000000" w:themeColor="text1"/>
                      <w:szCs w:val="18"/>
                      <w14:textFill>
                        <w14:solidFill>
                          <w14:schemeClr w14:val="tx1"/>
                        </w14:solidFill>
                      </w14:textFill>
                    </w:rPr>
                    <w:t>ф:0.</w:t>
                  </w:r>
                  <w:r>
                    <w:rPr>
                      <w:rFonts w:hint="default" w:ascii="Times New Roman" w:hAnsi="Times New Roman" w:cs="Times New Roman"/>
                      <w:color w:val="000000" w:themeColor="text1"/>
                      <w:szCs w:val="18"/>
                      <w:lang w:val="en-US" w:eastAsia="zh-CN"/>
                      <w14:textFill>
                        <w14:solidFill>
                          <w14:schemeClr w14:val="tx1"/>
                        </w14:solidFill>
                      </w14:textFill>
                    </w:rPr>
                    <w:t>7</w:t>
                  </w:r>
                  <w:r>
                    <w:rPr>
                      <w:rFonts w:hint="default" w:ascii="Times New Roman" w:hAnsi="Times New Roman" w:eastAsia="宋体" w:cs="Times New Roman"/>
                      <w:color w:val="000000" w:themeColor="text1"/>
                      <w:szCs w:val="18"/>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0" w:type="auto"/>
                  <w:vMerge w:val="continue"/>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0" w:type="auto"/>
                  <w:vMerge w:val="continue"/>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0.106</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0.414</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7.077</w:t>
                  </w:r>
                </w:p>
              </w:tc>
              <w:tc>
                <w:tcPr>
                  <w:tcW w:w="985" w:type="dxa"/>
                  <w:vMerge w:val="continue"/>
                  <w:vAlign w:val="center"/>
                </w:tcPr>
                <w:p>
                  <w:pPr>
                    <w:jc w:val="center"/>
                    <w:rPr>
                      <w:rFonts w:hint="default" w:ascii="Times New Roman" w:hAnsi="Times New Roman" w:eastAsia="宋体" w:cs="Times New Roman"/>
                      <w:color w:val="000000" w:themeColor="text1"/>
                      <w:szCs w:val="18"/>
                      <w:lang w:eastAsia="zh-CN"/>
                      <w14:textFill>
                        <w14:solidFill>
                          <w14:schemeClr w14:val="tx1"/>
                        </w14:solidFill>
                      </w14:textFill>
                    </w:rPr>
                  </w:pPr>
                </w:p>
              </w:tc>
              <w:tc>
                <w:tcPr>
                  <w:tcW w:w="68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0.011</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0.041</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0.701</w:t>
                  </w:r>
                </w:p>
              </w:tc>
              <w:tc>
                <w:tcPr>
                  <w:tcW w:w="0" w:type="auto"/>
                  <w:vMerge w:val="continue"/>
                  <w:vAlign w:val="center"/>
                </w:tcPr>
                <w:p>
                  <w:pPr>
                    <w:jc w:val="center"/>
                    <w:rPr>
                      <w:rFonts w:hint="default" w:ascii="Times New Roman" w:hAnsi="Times New Roman" w:cs="Times New Roman"/>
                      <w:color w:val="000000" w:themeColor="text1"/>
                      <w:szCs w:val="18"/>
                      <w14:textFill>
                        <w14:solidFill>
                          <w14:schemeClr w14:val="tx1"/>
                        </w14:solidFill>
                      </w14:textFill>
                    </w:rPr>
                  </w:pPr>
                </w:p>
              </w:tc>
            </w:tr>
          </w:tbl>
          <w:p>
            <w:pPr>
              <w:spacing w:before="100" w:beforeAutospacing="1"/>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zh-CN"/>
                <w14:textFill>
                  <w14:solidFill>
                    <w14:schemeClr w14:val="tx1"/>
                  </w14:solidFill>
                </w14:textFill>
              </w:rPr>
              <w:t>表</w:t>
            </w:r>
            <w:r>
              <w:rPr>
                <w:rFonts w:hint="default" w:ascii="Times New Roman" w:hAnsi="Times New Roman" w:cs="Times New Roman"/>
                <w:b/>
                <w:bCs/>
                <w:color w:val="000000" w:themeColor="text1"/>
                <w:sz w:val="24"/>
                <w14:textFill>
                  <w14:solidFill>
                    <w14:schemeClr w14:val="tx1"/>
                  </w14:solidFill>
                </w14:textFill>
              </w:rPr>
              <w:t>4-</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 xml:space="preserve"> </w:t>
            </w:r>
            <w:r>
              <w:rPr>
                <w:rFonts w:hint="default" w:ascii="Times New Roman" w:hAnsi="Times New Roman" w:eastAsia="宋体" w:cs="Times New Roman"/>
                <w:b/>
                <w:color w:val="000000" w:themeColor="text1"/>
                <w:sz w:val="24"/>
                <w:lang w:val="en-US" w:eastAsia="zh-CN"/>
                <w14:textFill>
                  <w14:solidFill>
                    <w14:schemeClr w14:val="tx1"/>
                  </w14:solidFill>
                </w14:textFill>
              </w:rPr>
              <w:t>熔</w:t>
            </w:r>
            <w:r>
              <w:rPr>
                <w:rFonts w:hint="default" w:ascii="Times New Roman" w:hAnsi="Times New Roman" w:cs="Times New Roman"/>
                <w:b/>
                <w:color w:val="000000" w:themeColor="text1"/>
                <w:sz w:val="24"/>
                <w:lang w:val="en-US" w:eastAsia="zh-CN"/>
                <w14:textFill>
                  <w14:solidFill>
                    <w14:schemeClr w14:val="tx1"/>
                  </w14:solidFill>
                </w14:textFill>
              </w:rPr>
              <w:t>化</w:t>
            </w:r>
            <w:r>
              <w:rPr>
                <w:rFonts w:hint="default" w:ascii="Times New Roman" w:hAnsi="Times New Roman" w:eastAsia="宋体" w:cs="Times New Roman"/>
                <w:b/>
                <w:color w:val="000000" w:themeColor="text1"/>
                <w:sz w:val="24"/>
                <w:lang w:val="en-US" w:eastAsia="zh-CN"/>
                <w14:textFill>
                  <w14:solidFill>
                    <w14:schemeClr w14:val="tx1"/>
                  </w14:solidFill>
                </w14:textFill>
              </w:rPr>
              <w:t>、压铸、脱膜废气</w:t>
            </w:r>
            <w:r>
              <w:rPr>
                <w:rFonts w:hint="default" w:ascii="Times New Roman" w:hAnsi="Times New Roman" w:cs="Times New Roman"/>
                <w:b/>
                <w:bCs/>
                <w:color w:val="000000" w:themeColor="text1"/>
                <w:sz w:val="24"/>
                <w14:textFill>
                  <w14:solidFill>
                    <w14:schemeClr w14:val="tx1"/>
                  </w14:solidFill>
                </w14:textFill>
              </w:rPr>
              <w:t>无组织</w:t>
            </w:r>
            <w:r>
              <w:rPr>
                <w:rFonts w:hint="default" w:ascii="Times New Roman" w:hAnsi="Times New Roman" w:cs="Times New Roman"/>
                <w:b/>
                <w:bCs/>
                <w:color w:val="000000" w:themeColor="text1"/>
                <w:sz w:val="24"/>
                <w:lang w:val="zh-CN"/>
                <w14:textFill>
                  <w14:solidFill>
                    <w14:schemeClr w14:val="tx1"/>
                  </w14:solidFill>
                </w14:textFill>
              </w:rPr>
              <w:t>排放情况一览表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669"/>
              <w:gridCol w:w="1798"/>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98" w:type="pct"/>
                  <w:vMerge w:val="restar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污染源</w:t>
                  </w:r>
                </w:p>
              </w:tc>
              <w:tc>
                <w:tcPr>
                  <w:tcW w:w="1640" w:type="pct"/>
                  <w:vMerge w:val="restar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污染物种类</w:t>
                  </w:r>
                </w:p>
              </w:tc>
              <w:tc>
                <w:tcPr>
                  <w:tcW w:w="2160" w:type="pct"/>
                  <w:gridSpan w:val="2"/>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无组织废气排放情况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98" w:type="pct"/>
                  <w:vMerge w:val="continue"/>
                  <w:vAlign w:val="center"/>
                </w:tcPr>
                <w:p>
                  <w:pPr>
                    <w:jc w:val="center"/>
                    <w:rPr>
                      <w:rFonts w:hint="default" w:ascii="Times New Roman" w:hAnsi="Times New Roman" w:cs="Times New Roman"/>
                      <w:b/>
                      <w:color w:val="000000" w:themeColor="text1"/>
                      <w:szCs w:val="21"/>
                      <w14:textFill>
                        <w14:solidFill>
                          <w14:schemeClr w14:val="tx1"/>
                        </w14:solidFill>
                      </w14:textFill>
                    </w:rPr>
                  </w:pPr>
                </w:p>
              </w:tc>
              <w:tc>
                <w:tcPr>
                  <w:tcW w:w="1640" w:type="pct"/>
                  <w:vMerge w:val="continue"/>
                  <w:vAlign w:val="center"/>
                </w:tcPr>
                <w:p>
                  <w:pPr>
                    <w:jc w:val="center"/>
                    <w:rPr>
                      <w:rFonts w:hint="default" w:ascii="Times New Roman" w:hAnsi="Times New Roman" w:cs="Times New Roman"/>
                      <w:b/>
                      <w:color w:val="000000" w:themeColor="text1"/>
                      <w:szCs w:val="21"/>
                      <w14:textFill>
                        <w14:solidFill>
                          <w14:schemeClr w14:val="tx1"/>
                        </w14:solidFill>
                      </w14:textFill>
                    </w:rPr>
                  </w:pPr>
                </w:p>
              </w:tc>
              <w:tc>
                <w:tcPr>
                  <w:tcW w:w="1105" w:type="pc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kg/h</w:t>
                  </w:r>
                </w:p>
              </w:tc>
              <w:tc>
                <w:tcPr>
                  <w:tcW w:w="1055" w:type="pc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98" w:type="pct"/>
                  <w:vMerge w:val="restart"/>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熔</w:t>
                  </w:r>
                  <w:r>
                    <w:rPr>
                      <w:rFonts w:hint="default" w:ascii="Times New Roman" w:hAnsi="Times New Roman" w:cs="Times New Roman"/>
                      <w:color w:val="000000" w:themeColor="text1"/>
                      <w:szCs w:val="18"/>
                      <w:lang w:val="en-US" w:eastAsia="zh-CN"/>
                      <w14:textFill>
                        <w14:solidFill>
                          <w14:schemeClr w14:val="tx1"/>
                        </w14:solidFill>
                      </w14:textFill>
                    </w:rPr>
                    <w:t>化</w:t>
                  </w:r>
                  <w:r>
                    <w:rPr>
                      <w:rFonts w:hint="default" w:ascii="Times New Roman" w:hAnsi="Times New Roman" w:eastAsia="宋体" w:cs="Times New Roman"/>
                      <w:color w:val="000000" w:themeColor="text1"/>
                      <w:szCs w:val="18"/>
                      <w:lang w:val="en-US" w:eastAsia="zh-CN"/>
                      <w14:textFill>
                        <w14:solidFill>
                          <w14:schemeClr w14:val="tx1"/>
                        </w14:solidFill>
                      </w14:textFill>
                    </w:rPr>
                    <w:t>、压铸、脱膜</w:t>
                  </w:r>
                  <w:r>
                    <w:rPr>
                      <w:rFonts w:hint="default" w:ascii="Times New Roman" w:hAnsi="Times New Roman" w:cs="Times New Roman"/>
                      <w:bCs/>
                      <w:color w:val="000000" w:themeColor="text1"/>
                      <w:szCs w:val="18"/>
                      <w:lang w:eastAsia="zh-CN"/>
                      <w14:textFill>
                        <w14:solidFill>
                          <w14:schemeClr w14:val="tx1"/>
                        </w14:solidFill>
                      </w14:textFill>
                    </w:rPr>
                    <w:t>废气</w:t>
                  </w:r>
                </w:p>
              </w:tc>
              <w:tc>
                <w:tcPr>
                  <w:tcW w:w="1640" w:type="pct"/>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1105" w:type="pct"/>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0.009</w:t>
                  </w:r>
                </w:p>
              </w:tc>
              <w:tc>
                <w:tcPr>
                  <w:tcW w:w="1055" w:type="pct"/>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98" w:type="pct"/>
                  <w:vMerge w:val="continue"/>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164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1105" w:type="pct"/>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0.012</w:t>
                  </w:r>
                </w:p>
              </w:tc>
              <w:tc>
                <w:tcPr>
                  <w:tcW w:w="1055" w:type="pct"/>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0.046</w:t>
                  </w:r>
                </w:p>
              </w:tc>
            </w:tr>
          </w:tbl>
          <w:p>
            <w:pPr>
              <w:widowControl/>
              <w:numPr>
                <w:ilvl w:val="0"/>
                <w:numId w:val="0"/>
              </w:numPr>
              <w:tabs>
                <w:tab w:val="center" w:pos="4381"/>
              </w:tabs>
              <w:spacing w:line="360" w:lineRule="auto"/>
              <w:ind w:leftChars="200"/>
              <w:jc w:val="left"/>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抛丸粉尘、抛光粉尘</w:t>
            </w:r>
          </w:p>
          <w:p>
            <w:pPr>
              <w:widowControl/>
              <w:spacing w:line="360" w:lineRule="auto"/>
              <w:ind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项目抛丸工序</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和</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砂磨抛光机</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抛光</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过程中会产生粉尘</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会产生粉尘</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eastAsia="zh-CN"/>
                <w14:textFill>
                  <w14:solidFill>
                    <w14:schemeClr w14:val="tx1"/>
                  </w14:solidFill>
                </w14:textFill>
              </w:rPr>
              <w:t>参照</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“33-37，431-434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机械行业系数手册</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”50页表中-“06预处理”-“</w:t>
            </w:r>
            <w:r>
              <w:rPr>
                <w:rFonts w:hint="default" w:ascii="Times New Roman" w:hAnsi="Times New Roman" w:cs="Times New Roman"/>
                <w:bCs/>
                <w:color w:val="000000" w:themeColor="text1"/>
                <w:sz w:val="24"/>
                <w:lang w:eastAsia="zh-CN"/>
                <w14:textFill>
                  <w14:solidFill>
                    <w14:schemeClr w14:val="tx1"/>
                  </w14:solidFill>
                </w14:textFill>
              </w:rPr>
              <w:t>抛丸、喷砂、打磨、滚筒</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颗粒物产污系数</w:t>
            </w:r>
            <w:r>
              <w:rPr>
                <w:rFonts w:hint="default" w:ascii="Times New Roman" w:hAnsi="Times New Roman" w:cs="Times New Roman"/>
                <w:color w:val="000000" w:themeColor="text1"/>
                <w:kern w:val="0"/>
                <w:sz w:val="24"/>
                <w14:textFill>
                  <w14:solidFill>
                    <w14:schemeClr w14:val="tx1"/>
                  </w14:solidFill>
                </w14:textFill>
              </w:rPr>
              <w:t>产生系数：2.19kg/t原料</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本项目</w:t>
            </w:r>
            <w:r>
              <w:rPr>
                <w:rFonts w:hint="default" w:ascii="Times New Roman" w:hAnsi="Times New Roman" w:cs="Times New Roman"/>
                <w:color w:val="000000" w:themeColor="text1"/>
                <w:kern w:val="0"/>
                <w:sz w:val="24"/>
                <w:lang w:eastAsia="zh-CN"/>
                <w14:textFill>
                  <w14:solidFill>
                    <w14:schemeClr w14:val="tx1"/>
                  </w14:solidFill>
                </w14:textFill>
              </w:rPr>
              <w:t>铝合金锭</w:t>
            </w:r>
            <w:r>
              <w:rPr>
                <w:rFonts w:hint="default" w:ascii="Times New Roman" w:hAnsi="Times New Roman" w:cs="Times New Roman"/>
                <w:color w:val="000000" w:themeColor="text1"/>
                <w:kern w:val="0"/>
                <w:sz w:val="24"/>
                <w14:textFill>
                  <w14:solidFill>
                    <w14:schemeClr w14:val="tx1"/>
                  </w14:solidFill>
                </w14:textFill>
              </w:rPr>
              <w:t>年用量为</w:t>
            </w:r>
            <w:r>
              <w:rPr>
                <w:rFonts w:hint="default" w:ascii="Times New Roman" w:hAnsi="Times New Roman" w:cs="Times New Roman"/>
                <w:color w:val="000000" w:themeColor="text1"/>
                <w:kern w:val="0"/>
                <w:sz w:val="24"/>
                <w:lang w:val="en-US" w:eastAsia="zh-CN"/>
                <w14:textFill>
                  <w14:solidFill>
                    <w14:schemeClr w14:val="tx1"/>
                  </w14:solidFill>
                </w14:textFill>
              </w:rPr>
              <w:t>3100</w:t>
            </w:r>
            <w:r>
              <w:rPr>
                <w:rFonts w:hint="default" w:ascii="Times New Roman" w:hAnsi="Times New Roman" w:cs="Times New Roman"/>
                <w:color w:val="000000" w:themeColor="text1"/>
                <w:kern w:val="0"/>
                <w:sz w:val="24"/>
                <w14:textFill>
                  <w14:solidFill>
                    <w14:schemeClr w14:val="tx1"/>
                  </w14:solidFill>
                </w14:textFill>
              </w:rPr>
              <w:t>t</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，则</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抛光</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工序粉尘产生量为</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6.789</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w:t>
            </w:r>
          </w:p>
          <w:p>
            <w:pPr>
              <w:spacing w:before="100" w:beforeAutospacing="1"/>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表4-4  项目抛丸、抛光粉尘产生情况一览表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917"/>
              <w:gridCol w:w="846"/>
              <w:gridCol w:w="753"/>
              <w:gridCol w:w="1279"/>
              <w:gridCol w:w="1016"/>
              <w:gridCol w:w="130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工段</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原料名称</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用量</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污染物</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系数</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产生量t/a</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产生速率kg/h</w:t>
                  </w:r>
                </w:p>
              </w:tc>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抛丸、抛光</w:t>
                  </w:r>
                </w:p>
              </w:tc>
              <w:tc>
                <w:tcPr>
                  <w:tcW w:w="0" w:type="auto"/>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铝合金锭</w:t>
                  </w:r>
                </w:p>
              </w:tc>
              <w:tc>
                <w:tcPr>
                  <w:tcW w:w="0" w:type="auto"/>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3100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颗粒物</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2.19kg/t产品</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6.789</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2.829</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2400</w:t>
                  </w: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h/a</w:t>
                  </w:r>
                </w:p>
              </w:tc>
            </w:tr>
          </w:tbl>
          <w:p>
            <w:pPr>
              <w:keepNext w:val="0"/>
              <w:keepLines w:val="0"/>
              <w:pageBreakBefore w:val="0"/>
              <w:widowControl/>
              <w:kinsoku/>
              <w:wordWrap/>
              <w:overflowPunct/>
              <w:topLinePunct w:val="0"/>
              <w:autoSpaceDE/>
              <w:autoSpaceDN/>
              <w:bidi w:val="0"/>
              <w:adjustRightInd/>
              <w:snapToGrid/>
              <w:spacing w:before="313" w:beforeLines="100" w:line="360" w:lineRule="auto"/>
              <w:ind w:firstLine="480" w:firstLineChars="200"/>
              <w:textAlignment w:val="auto"/>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风量核算：</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根据工程分析，项目</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产污设备为抛丸机和砂磨抛光机，设有2台抛丸机和1台砂磨抛光机，共3台产污设备</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，抛</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丸</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机设备密闭，管道抽风收集，自带引风机，</w:t>
            </w:r>
            <w:r>
              <w:rPr>
                <w:rFonts w:hint="default" w:ascii="Times New Roman" w:hAnsi="Times New Roman" w:cs="Times New Roman"/>
                <w:color w:val="000000" w:themeColor="text1"/>
                <w:sz w:val="24"/>
                <w:szCs w:val="24"/>
                <w14:textFill>
                  <w14:solidFill>
                    <w14:schemeClr w14:val="tx1"/>
                  </w14:solidFill>
                </w14:textFill>
              </w:rPr>
              <w:t>风量为2000m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拟在砂磨抛光机这1台</w:t>
            </w:r>
            <w:r>
              <w:rPr>
                <w:rFonts w:hint="default" w:ascii="Times New Roman" w:hAnsi="Times New Roman" w:eastAsia="宋体" w:cs="Times New Roman"/>
                <w:color w:val="000000" w:themeColor="text1"/>
                <w:sz w:val="24"/>
                <w:lang w:eastAsia="zh-CN"/>
                <w14:textFill>
                  <w14:solidFill>
                    <w14:schemeClr w14:val="tx1"/>
                  </w14:solidFill>
                </w14:textFill>
              </w:rPr>
              <w:t>产污设</w:t>
            </w:r>
            <w:r>
              <w:rPr>
                <w:rFonts w:hint="default" w:ascii="Times New Roman" w:hAnsi="Times New Roman" w:eastAsia="宋体" w:cs="Times New Roman"/>
                <w:color w:val="000000" w:themeColor="text1"/>
                <w:sz w:val="24"/>
                <w:lang w:val="en-US" w:eastAsia="zh-CN"/>
                <w14:textFill>
                  <w14:solidFill>
                    <w14:schemeClr w14:val="tx1"/>
                  </w14:solidFill>
                </w14:textFill>
              </w:rPr>
              <w:t>备上设置侧吸三面封闭</w:t>
            </w:r>
            <w:r>
              <w:rPr>
                <w:rFonts w:hint="default" w:ascii="Times New Roman" w:hAnsi="Times New Roman" w:cs="Times New Roman"/>
                <w:color w:val="000000" w:themeColor="text1"/>
                <w:sz w:val="24"/>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lang w:val="en-US" w:eastAsia="zh-CN"/>
                <w14:textFill>
                  <w14:solidFill>
                    <w14:schemeClr w14:val="tx1"/>
                  </w14:solidFill>
                </w14:textFill>
              </w:rPr>
              <w:t>对废气进行收集，</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砂磨抛光机</w:t>
            </w:r>
            <w:r>
              <w:rPr>
                <w:rFonts w:hint="default" w:ascii="Times New Roman" w:hAnsi="Times New Roman" w:cs="Times New Roman"/>
                <w:color w:val="000000" w:themeColor="text1"/>
                <w:sz w:val="24"/>
                <w14:textFill>
                  <w14:solidFill>
                    <w14:schemeClr w14:val="tx1"/>
                  </w14:solidFill>
                </w14:textFill>
              </w:rPr>
              <w:t>拟设置的集气罩平均长</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m，宽</w:t>
            </w:r>
            <w:r>
              <w:rPr>
                <w:rFonts w:hint="default"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14:textFill>
                  <w14:solidFill>
                    <w14:schemeClr w14:val="tx1"/>
                  </w14:solidFill>
                </w14:textFill>
              </w:rPr>
              <w:t>m；</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根据外部集气罩风量依据公式如下：</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 = K(a+b)×h×Vx×3600=1.4×</w:t>
            </w:r>
            <w:r>
              <w:rPr>
                <w:rFonts w:hint="default" w:ascii="Times New Roman" w:hAnsi="Times New Roman" w:cs="Times New Roman"/>
                <w:color w:val="000000" w:themeColor="text1"/>
                <w:sz w:val="24"/>
                <w:lang w:val="en-US" w:eastAsia="zh-CN"/>
                <w14:textFill>
                  <w14:solidFill>
                    <w14:schemeClr w14:val="tx1"/>
                  </w14:solidFill>
                </w14:textFill>
              </w:rPr>
              <w:t>4.6</w:t>
            </w:r>
            <w:r>
              <w:rPr>
                <w:rFonts w:hint="default" w:ascii="Times New Roman" w:hAnsi="Times New Roman" w:cs="Times New Roman"/>
                <w:color w:val="000000" w:themeColor="text1"/>
                <w:sz w:val="24"/>
                <w14:textFill>
                  <w14:solidFill>
                    <w14:schemeClr w14:val="tx1"/>
                  </w14:solidFill>
                </w14:textFill>
              </w:rPr>
              <w:t>×0.1×0.5×3600=</w:t>
            </w:r>
            <w:r>
              <w:rPr>
                <w:rFonts w:hint="default" w:ascii="Times New Roman" w:hAnsi="Times New Roman" w:cs="Times New Roman"/>
                <w:color w:val="000000" w:themeColor="text1"/>
                <w:sz w:val="24"/>
                <w:lang w:val="en-US" w:eastAsia="zh-CN"/>
                <w14:textFill>
                  <w14:solidFill>
                    <w14:schemeClr w14:val="tx1"/>
                  </w14:solidFill>
                </w14:textFill>
              </w:rPr>
              <w:t>1159.2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Q：集气罩排风量（m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K：安全系数（1.4）；</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h：污染物产生点至罩口的距离，m，本项目取0.1m；</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a+b：集气罩周长，m，</w:t>
            </w:r>
            <w:r>
              <w:rPr>
                <w:rFonts w:hint="default" w:ascii="Times New Roman" w:hAnsi="Times New Roman" w:cs="Times New Roman"/>
                <w:color w:val="000000" w:themeColor="text1"/>
                <w:kern w:val="0"/>
                <w:sz w:val="24"/>
                <w14:textFill>
                  <w14:solidFill>
                    <w14:schemeClr w14:val="tx1"/>
                  </w14:solidFill>
                </w14:textFill>
              </w:rPr>
              <w:t>本项目拟设置集气罩总周长为</w:t>
            </w:r>
            <w:r>
              <w:rPr>
                <w:rFonts w:hint="default" w:ascii="Times New Roman" w:hAnsi="Times New Roman" w:cs="Times New Roman"/>
                <w:color w:val="000000" w:themeColor="text1"/>
                <w:kern w:val="0"/>
                <w:sz w:val="24"/>
                <w:lang w:val="en-US" w:eastAsia="zh-CN"/>
                <w14:textFill>
                  <w14:solidFill>
                    <w14:schemeClr w14:val="tx1"/>
                  </w14:solidFill>
                </w14:textFill>
              </w:rPr>
              <w:t>4.6</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设有</w:t>
            </w:r>
            <w:r>
              <w:rPr>
                <w:rFonts w:hint="default" w:ascii="Times New Roman" w:hAnsi="Times New Roman" w:cs="Times New Roman"/>
                <w:color w:val="000000" w:themeColor="text1"/>
                <w:kern w:val="0"/>
                <w:sz w:val="24"/>
                <w:lang w:val="en-US" w:eastAsia="zh-CN"/>
                <w14:textFill>
                  <w14:solidFill>
                    <w14:schemeClr w14:val="tx1"/>
                  </w14:solidFill>
                </w14:textFill>
              </w:rPr>
              <w:t>1</w:t>
            </w:r>
            <w:r>
              <w:rPr>
                <w:rFonts w:hint="default" w:ascii="Times New Roman" w:hAnsi="Times New Roman" w:cs="Times New Roman"/>
                <w:color w:val="000000" w:themeColor="text1"/>
                <w:kern w:val="0"/>
                <w:sz w:val="24"/>
                <w14:textFill>
                  <w14:solidFill>
                    <w14:schemeClr w14:val="tx1"/>
                  </w14:solidFill>
                </w14:textFill>
              </w:rPr>
              <w:t>个集气罩，为方形，</w:t>
            </w: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砂磨抛光机</w:t>
            </w:r>
            <w:r>
              <w:rPr>
                <w:rFonts w:hint="default" w:ascii="Times New Roman" w:hAnsi="Times New Roman" w:cs="Times New Roman"/>
                <w:b w:val="0"/>
                <w:bCs w:val="0"/>
                <w:i w:val="0"/>
                <w:iCs w:val="0"/>
                <w:color w:val="000000" w:themeColor="text1"/>
                <w:kern w:val="2"/>
                <w:sz w:val="24"/>
                <w:szCs w:val="24"/>
                <w:lang w:val="en-US" w:eastAsia="zh-CN" w:bidi="ar-SA"/>
                <w14:textFill>
                  <w14:solidFill>
                    <w14:schemeClr w14:val="tx1"/>
                  </w14:solidFill>
                </w14:textFill>
              </w:rPr>
              <w:t>集气罩</w:t>
            </w:r>
            <w:r>
              <w:rPr>
                <w:rFonts w:hint="default" w:ascii="Times New Roman" w:hAnsi="Times New Roman" w:cs="Times New Roman"/>
                <w:color w:val="000000" w:themeColor="text1"/>
                <w:kern w:val="0"/>
                <w:sz w:val="24"/>
                <w14:textFill>
                  <w14:solidFill>
                    <w14:schemeClr w14:val="tx1"/>
                  </w14:solidFill>
                </w14:textFill>
              </w:rPr>
              <w:t>长为</w:t>
            </w:r>
            <w:r>
              <w:rPr>
                <w:rFonts w:hint="default" w:ascii="Times New Roman" w:hAnsi="Times New Roman" w:cs="Times New Roman"/>
                <w:color w:val="000000" w:themeColor="text1"/>
                <w:kern w:val="0"/>
                <w:sz w:val="24"/>
                <w:lang w:val="en-US" w:eastAsia="zh-CN"/>
                <w14:textFill>
                  <w14:solidFill>
                    <w14:schemeClr w14:val="tx1"/>
                  </w14:solidFill>
                </w14:textFill>
              </w:rPr>
              <w:t>1.2</w:t>
            </w:r>
            <w:r>
              <w:rPr>
                <w:rFonts w:hint="default" w:ascii="Times New Roman" w:hAnsi="Times New Roman" w:cs="Times New Roman"/>
                <w:color w:val="000000" w:themeColor="text1"/>
                <w:kern w:val="0"/>
                <w:sz w:val="24"/>
                <w14:textFill>
                  <w14:solidFill>
                    <w14:schemeClr w14:val="tx1"/>
                  </w14:solidFill>
                </w14:textFill>
              </w:rPr>
              <w:t>m，宽为</w:t>
            </w:r>
            <w:r>
              <w:rPr>
                <w:rFonts w:hint="default" w:ascii="Times New Roman" w:hAnsi="Times New Roman" w:cs="Times New Roman"/>
                <w:color w:val="000000" w:themeColor="text1"/>
                <w:kern w:val="0"/>
                <w:sz w:val="24"/>
                <w:lang w:val="en-US" w:eastAsia="zh-CN"/>
                <w14:textFill>
                  <w14:solidFill>
                    <w14:schemeClr w14:val="tx1"/>
                  </w14:solidFill>
                </w14:textFill>
              </w:rPr>
              <w:t>1.1</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w:t>
            </w:r>
          </w:p>
          <w:p>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Vx：最小控制风速m/s，一般取0.5~1.5m/s，本次评价取值0.5m/s。</w:t>
            </w:r>
          </w:p>
          <w:p>
            <w:pPr>
              <w:pStyle w:val="7"/>
              <w:spacing w:line="360" w:lineRule="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抛丸机和砂磨抛光机风机风量为2000*2+1159.2=5159.2m</w:t>
            </w:r>
            <w:r>
              <w:rPr>
                <w:rFonts w:hint="default" w:ascii="Times New Roman" w:hAnsi="Times New Roman" w:cs="Times New Roman"/>
                <w:color w:val="000000" w:themeColor="text1"/>
                <w:sz w:val="24"/>
                <w:vertAlign w:val="superscript"/>
                <w:lang w:val="en-GB"/>
                <w14:textFill>
                  <w14:solidFill>
                    <w14:schemeClr w14:val="tx1"/>
                  </w14:solidFill>
                </w14:textFill>
              </w:rPr>
              <w:t>3</w:t>
            </w:r>
            <w:r>
              <w:rPr>
                <w:rFonts w:hint="default" w:ascii="Times New Roman" w:hAnsi="Times New Roman" w:cs="Times New Roman"/>
                <w:color w:val="000000" w:themeColor="text1"/>
                <w:sz w:val="24"/>
                <w:lang w:val="en-GB"/>
                <w14:textFill>
                  <w14:solidFill>
                    <w14:schemeClr w14:val="tx1"/>
                  </w14:solidFill>
                </w14:textFill>
              </w:rPr>
              <w:t>/h</w:t>
            </w:r>
            <w:r>
              <w:rPr>
                <w:rFonts w:hint="default" w:ascii="Times New Roman" w:hAnsi="Times New Roman" w:cs="Times New Roman"/>
                <w:color w:val="000000" w:themeColor="text1"/>
                <w:sz w:val="24"/>
                <w:lang w:val="en-GB"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综合考虑风阻损耗等影响，</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按计算风量的1.2倍取值，则抛丸、</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抛光</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风机风量取</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000m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w:t>
            </w:r>
          </w:p>
          <w:p>
            <w:pPr>
              <w:spacing w:line="360" w:lineRule="auto"/>
              <w:ind w:firstLine="480" w:firstLineChars="200"/>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抛丸、抛光工序日运行8h，年工作300天，项目</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抛丸</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机</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密闭，</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设置抽风管道</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废气收集后经设备自带的布袋除尘装置处理，</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抛光粉尘经侧吸三面封闭集气罩收集后+自带湿式除尘器处理和抛丸粉尘一起</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由一根15m高的排气筒（DA002）排放，废气收集效率按90%计，处理效率按99%计。</w:t>
            </w:r>
            <w:r>
              <w:rPr>
                <w:rFonts w:hint="default" w:ascii="Times New Roman" w:hAnsi="Times New Roman" w:eastAsia="宋体" w:cs="Times New Roman"/>
                <w:color w:val="000000" w:themeColor="text1"/>
                <w:sz w:val="24"/>
                <w:lang w:val="en-US" w:eastAsia="zh-CN"/>
                <w14:textFill>
                  <w14:solidFill>
                    <w14:schemeClr w14:val="tx1"/>
                  </w14:solidFill>
                </w14:textFill>
              </w:rPr>
              <w:t>项目未收集的颗粒物经车间沉降，95%截留在车间内，剩余5%无组织排放。</w:t>
            </w:r>
          </w:p>
          <w:p>
            <w:pPr>
              <w:spacing w:before="100" w:beforeAutospacing="1"/>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 xml:space="preserve"> </w:t>
            </w:r>
            <w:r>
              <w:rPr>
                <w:rFonts w:hint="default" w:ascii="Times New Roman" w:hAnsi="Times New Roman" w:cs="Times New Roman"/>
                <w:b/>
                <w:color w:val="000000" w:themeColor="text1"/>
                <w:sz w:val="24"/>
                <w:lang w:eastAsia="zh-CN"/>
                <w14:textFill>
                  <w14:solidFill>
                    <w14:schemeClr w14:val="tx1"/>
                  </w14:solidFill>
                </w14:textFill>
              </w:rPr>
              <w:t>抛丸、抛光粉尘</w:t>
            </w:r>
            <w:r>
              <w:rPr>
                <w:rFonts w:hint="default" w:ascii="Times New Roman" w:hAnsi="Times New Roman" w:cs="Times New Roman"/>
                <w:b/>
                <w:color w:val="000000" w:themeColor="text1"/>
                <w:sz w:val="24"/>
                <w14:textFill>
                  <w14:solidFill>
                    <w14:schemeClr w14:val="tx1"/>
                  </w14:solidFill>
                </w14:textFill>
              </w:rPr>
              <w:t>有组织排放</w:t>
            </w:r>
            <w:r>
              <w:rPr>
                <w:rFonts w:hint="default" w:ascii="Times New Roman" w:hAnsi="Times New Roman" w:cs="Times New Roman"/>
                <w:b/>
                <w:bCs/>
                <w:color w:val="000000" w:themeColor="text1"/>
                <w:sz w:val="24"/>
                <w:lang w:val="en-GB"/>
                <w14:textFill>
                  <w14:solidFill>
                    <w14:schemeClr w14:val="tx1"/>
                  </w14:solidFill>
                </w14:textFill>
              </w:rPr>
              <w:t>产生及排放情况</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428"/>
              <w:gridCol w:w="638"/>
              <w:gridCol w:w="692"/>
              <w:gridCol w:w="578"/>
              <w:gridCol w:w="804"/>
              <w:gridCol w:w="1326"/>
              <w:gridCol w:w="692"/>
              <w:gridCol w:w="692"/>
              <w:gridCol w:w="804"/>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污染源</w:t>
                  </w:r>
                </w:p>
              </w:tc>
              <w:tc>
                <w:tcPr>
                  <w:tcW w:w="263"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污染物</w:t>
                  </w:r>
                </w:p>
              </w:tc>
              <w:tc>
                <w:tcPr>
                  <w:tcW w:w="392" w:type="pct"/>
                  <w:vMerge w:val="restart"/>
                  <w:vAlign w:val="center"/>
                </w:tcPr>
                <w:p>
                  <w:pPr>
                    <w:tabs>
                      <w:tab w:val="left" w:pos="2200"/>
                      <w:tab w:val="left" w:pos="3960"/>
                      <w:tab w:val="left" w:pos="5280"/>
                    </w:tabs>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排气量m</w:t>
                  </w:r>
                  <w:r>
                    <w:rPr>
                      <w:rFonts w:hint="default" w:ascii="Times New Roman" w:hAnsi="Times New Roman" w:cs="Times New Roman"/>
                      <w:b/>
                      <w:color w:val="000000" w:themeColor="text1"/>
                      <w:szCs w:val="18"/>
                      <w:vertAlign w:val="superscript"/>
                      <w14:textFill>
                        <w14:solidFill>
                          <w14:schemeClr w14:val="tx1"/>
                        </w14:solidFill>
                      </w14:textFill>
                    </w:rPr>
                    <w:t>3</w:t>
                  </w:r>
                  <w:r>
                    <w:rPr>
                      <w:rFonts w:hint="default" w:ascii="Times New Roman" w:hAnsi="Times New Roman" w:cs="Times New Roman"/>
                      <w:b/>
                      <w:color w:val="000000" w:themeColor="text1"/>
                      <w:szCs w:val="18"/>
                      <w14:textFill>
                        <w14:solidFill>
                          <w14:schemeClr w14:val="tx1"/>
                        </w14:solidFill>
                      </w14:textFill>
                    </w:rPr>
                    <w:t>/h</w:t>
                  </w:r>
                </w:p>
              </w:tc>
              <w:tc>
                <w:tcPr>
                  <w:tcW w:w="1274" w:type="pct"/>
                  <w:gridSpan w:val="3"/>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产生情况</w:t>
                  </w:r>
                </w:p>
              </w:tc>
              <w:tc>
                <w:tcPr>
                  <w:tcW w:w="814"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拟采取的污染治理措施</w:t>
                  </w:r>
                </w:p>
              </w:tc>
              <w:tc>
                <w:tcPr>
                  <w:tcW w:w="1344" w:type="pct"/>
                  <w:gridSpan w:val="3"/>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排放情况</w:t>
                  </w:r>
                </w:p>
              </w:tc>
              <w:tc>
                <w:tcPr>
                  <w:tcW w:w="517"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263"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392"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425"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kg/h</w:t>
                  </w:r>
                </w:p>
              </w:tc>
              <w:tc>
                <w:tcPr>
                  <w:tcW w:w="355"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t/a</w:t>
                  </w:r>
                </w:p>
              </w:tc>
              <w:tc>
                <w:tcPr>
                  <w:tcW w:w="492"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mg/m</w:t>
                  </w:r>
                  <w:r>
                    <w:rPr>
                      <w:rFonts w:hint="default" w:ascii="Times New Roman" w:hAnsi="Times New Roman" w:cs="Times New Roman"/>
                      <w:b/>
                      <w:color w:val="000000" w:themeColor="text1"/>
                      <w:szCs w:val="18"/>
                      <w:vertAlign w:val="superscript"/>
                      <w14:textFill>
                        <w14:solidFill>
                          <w14:schemeClr w14:val="tx1"/>
                        </w14:solidFill>
                      </w14:textFill>
                    </w:rPr>
                    <w:t>3</w:t>
                  </w:r>
                </w:p>
              </w:tc>
              <w:tc>
                <w:tcPr>
                  <w:tcW w:w="814"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425"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kg/h</w:t>
                  </w:r>
                </w:p>
              </w:tc>
              <w:tc>
                <w:tcPr>
                  <w:tcW w:w="425"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t/a</w:t>
                  </w:r>
                </w:p>
              </w:tc>
              <w:tc>
                <w:tcPr>
                  <w:tcW w:w="493"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mg/m</w:t>
                  </w:r>
                  <w:r>
                    <w:rPr>
                      <w:rFonts w:hint="default" w:ascii="Times New Roman" w:hAnsi="Times New Roman" w:cs="Times New Roman"/>
                      <w:b/>
                      <w:color w:val="000000" w:themeColor="text1"/>
                      <w:szCs w:val="18"/>
                      <w:vertAlign w:val="superscript"/>
                      <w14:textFill>
                        <w14:solidFill>
                          <w14:schemeClr w14:val="tx1"/>
                        </w14:solidFill>
                      </w14:textFill>
                    </w:rPr>
                    <w:t>3</w:t>
                  </w:r>
                </w:p>
              </w:tc>
              <w:tc>
                <w:tcPr>
                  <w:tcW w:w="517"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92" w:type="pct"/>
                  <w:vAlign w:val="center"/>
                </w:tcPr>
                <w:p>
                  <w:pPr>
                    <w:jc w:val="center"/>
                    <w:rPr>
                      <w:rFonts w:hint="default" w:ascii="Times New Roman" w:hAnsi="Times New Roman" w:eastAsia="宋体" w:cs="Times New Roman"/>
                      <w:bCs/>
                      <w:color w:val="000000" w:themeColor="text1"/>
                      <w:szCs w:val="18"/>
                      <w:lang w:val="en-GB" w:eastAsia="zh-CN"/>
                      <w14:textFill>
                        <w14:solidFill>
                          <w14:schemeClr w14:val="tx1"/>
                        </w14:solidFill>
                      </w14:textFill>
                    </w:rPr>
                  </w:pPr>
                  <w:r>
                    <w:rPr>
                      <w:rFonts w:hint="default" w:ascii="Times New Roman" w:hAnsi="Times New Roman" w:eastAsia="宋体" w:cs="Times New Roman"/>
                      <w:bCs/>
                      <w:color w:val="000000" w:themeColor="text1"/>
                      <w:szCs w:val="18"/>
                      <w:lang w:eastAsia="zh-CN"/>
                      <w14:textFill>
                        <w14:solidFill>
                          <w14:schemeClr w14:val="tx1"/>
                        </w14:solidFill>
                      </w14:textFill>
                    </w:rPr>
                    <w:t>抛</w:t>
                  </w:r>
                  <w:r>
                    <w:rPr>
                      <w:rFonts w:hint="default" w:ascii="Times New Roman" w:hAnsi="Times New Roman" w:cs="Times New Roman"/>
                      <w:bCs/>
                      <w:color w:val="000000" w:themeColor="text1"/>
                      <w:szCs w:val="18"/>
                      <w:lang w:eastAsia="zh-CN"/>
                      <w14:textFill>
                        <w14:solidFill>
                          <w14:schemeClr w14:val="tx1"/>
                        </w14:solidFill>
                      </w14:textFill>
                    </w:rPr>
                    <w:t>丸、</w:t>
                  </w:r>
                  <w:r>
                    <w:rPr>
                      <w:rFonts w:hint="default" w:ascii="Times New Roman" w:hAnsi="Times New Roman" w:cs="Times New Roman"/>
                      <w:bCs/>
                      <w:color w:val="000000" w:themeColor="text1"/>
                      <w:szCs w:val="18"/>
                      <w:lang w:val="en-US" w:eastAsia="zh-CN"/>
                      <w14:textFill>
                        <w14:solidFill>
                          <w14:schemeClr w14:val="tx1"/>
                        </w14:solidFill>
                      </w14:textFill>
                    </w:rPr>
                    <w:t>抛光</w:t>
                  </w:r>
                </w:p>
              </w:tc>
              <w:tc>
                <w:tcPr>
                  <w:tcW w:w="263" w:type="pct"/>
                  <w:vAlign w:val="center"/>
                </w:tcPr>
                <w:p>
                  <w:pPr>
                    <w:jc w:val="center"/>
                    <w:rPr>
                      <w:rFonts w:hint="default" w:ascii="Times New Roman" w:hAnsi="Times New Roman" w:eastAsia="宋体" w:cs="Times New Roman"/>
                      <w:color w:val="000000" w:themeColor="text1"/>
                      <w:szCs w:val="18"/>
                      <w:lang w:eastAsia="zh-CN"/>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392" w:type="pct"/>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7</w:t>
                  </w:r>
                  <w:r>
                    <w:rPr>
                      <w:rFonts w:hint="default" w:ascii="Times New Roman" w:hAnsi="Times New Roman" w:eastAsia="宋体" w:cs="Times New Roman"/>
                      <w:color w:val="000000" w:themeColor="text1"/>
                      <w:szCs w:val="18"/>
                      <w:lang w:val="en-US" w:eastAsia="zh-CN"/>
                      <w14:textFill>
                        <w14:solidFill>
                          <w14:schemeClr w14:val="tx1"/>
                        </w14:solidFill>
                      </w14:textFill>
                    </w:rPr>
                    <w:t>000</w:t>
                  </w:r>
                </w:p>
              </w:tc>
              <w:tc>
                <w:tcPr>
                  <w:tcW w:w="425"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2.549</w:t>
                  </w:r>
                </w:p>
              </w:tc>
              <w:tc>
                <w:tcPr>
                  <w:tcW w:w="355"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6.11</w:t>
                  </w:r>
                </w:p>
              </w:tc>
              <w:tc>
                <w:tcPr>
                  <w:tcW w:w="492"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363.69</w:t>
                  </w:r>
                </w:p>
              </w:tc>
              <w:tc>
                <w:tcPr>
                  <w:tcW w:w="814"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抛丸机密闭，设置抽风管道收集+自带布袋除尘器；</w:t>
                  </w:r>
                  <w:r>
                    <w:rPr>
                      <w:rFonts w:hint="default" w:ascii="Times New Roman" w:hAnsi="Times New Roman" w:cs="Times New Roman"/>
                      <w:bCs/>
                      <w:color w:val="000000" w:themeColor="text1"/>
                      <w:szCs w:val="18"/>
                      <w:lang w:val="en-US" w:eastAsia="zh-CN"/>
                      <w14:textFill>
                        <w14:solidFill>
                          <w14:schemeClr w14:val="tx1"/>
                        </w14:solidFill>
                      </w14:textFill>
                    </w:rPr>
                    <w:t>砂磨</w:t>
                  </w:r>
                  <w:r>
                    <w:rPr>
                      <w:rFonts w:hint="default" w:ascii="Times New Roman" w:hAnsi="Times New Roman" w:eastAsia="宋体" w:cs="Times New Roman"/>
                      <w:bCs/>
                      <w:color w:val="000000" w:themeColor="text1"/>
                      <w:szCs w:val="18"/>
                      <w:lang w:val="en-US" w:eastAsia="zh-CN"/>
                      <w14:textFill>
                        <w14:solidFill>
                          <w14:schemeClr w14:val="tx1"/>
                        </w14:solidFill>
                      </w14:textFill>
                    </w:rPr>
                    <w:t>抛光机</w:t>
                  </w:r>
                  <w:r>
                    <w:rPr>
                      <w:rFonts w:hint="default" w:ascii="Times New Roman" w:hAnsi="Times New Roman" w:cs="Times New Roman"/>
                      <w:bCs/>
                      <w:color w:val="000000" w:themeColor="text1"/>
                      <w:szCs w:val="18"/>
                      <w:lang w:val="en-US" w:eastAsia="zh-CN"/>
                      <w14:textFill>
                        <w14:solidFill>
                          <w14:schemeClr w14:val="tx1"/>
                        </w14:solidFill>
                      </w14:textFill>
                    </w:rPr>
                    <w:t>经侧吸三面封闭集气罩</w:t>
                  </w:r>
                  <w:r>
                    <w:rPr>
                      <w:rFonts w:hint="default" w:ascii="Times New Roman" w:hAnsi="Times New Roman" w:eastAsia="宋体" w:cs="Times New Roman"/>
                      <w:bCs/>
                      <w:color w:val="000000" w:themeColor="text1"/>
                      <w:szCs w:val="18"/>
                      <w:lang w:val="en-US" w:eastAsia="zh-CN"/>
                      <w14:textFill>
                        <w14:solidFill>
                          <w14:schemeClr w14:val="tx1"/>
                        </w14:solidFill>
                      </w14:textFill>
                    </w:rPr>
                    <w:t>收集</w:t>
                  </w:r>
                  <w:r>
                    <w:rPr>
                      <w:rFonts w:hint="default" w:ascii="Times New Roman" w:hAnsi="Times New Roman" w:cs="Times New Roman"/>
                      <w:bCs/>
                      <w:color w:val="000000" w:themeColor="text1"/>
                      <w:szCs w:val="18"/>
                      <w:lang w:val="en-US" w:eastAsia="zh-CN"/>
                      <w14:textFill>
                        <w14:solidFill>
                          <w14:schemeClr w14:val="tx1"/>
                        </w14:solidFill>
                      </w14:textFill>
                    </w:rPr>
                    <w:t>+</w:t>
                  </w:r>
                  <w:r>
                    <w:rPr>
                      <w:rFonts w:hint="default" w:ascii="Times New Roman" w:hAnsi="Times New Roman" w:eastAsia="宋体" w:cs="Times New Roman"/>
                      <w:bCs/>
                      <w:color w:val="000000" w:themeColor="text1"/>
                      <w:szCs w:val="18"/>
                      <w:lang w:val="en-US" w:eastAsia="zh-CN"/>
                      <w14:textFill>
                        <w14:solidFill>
                          <w14:schemeClr w14:val="tx1"/>
                        </w14:solidFill>
                      </w14:textFill>
                    </w:rPr>
                    <w:t>自带的湿式除尘器处理</w:t>
                  </w:r>
                </w:p>
              </w:tc>
              <w:tc>
                <w:tcPr>
                  <w:tcW w:w="425"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0.025</w:t>
                  </w:r>
                </w:p>
              </w:tc>
              <w:tc>
                <w:tcPr>
                  <w:tcW w:w="425"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0.061</w:t>
                  </w:r>
                </w:p>
              </w:tc>
              <w:tc>
                <w:tcPr>
                  <w:tcW w:w="493"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3.631</w:t>
                  </w:r>
                </w:p>
              </w:tc>
              <w:tc>
                <w:tcPr>
                  <w:tcW w:w="517" w:type="pct"/>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DA002</w:t>
                  </w:r>
                </w:p>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H:15m</w:t>
                  </w:r>
                </w:p>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ф:0.</w:t>
                  </w:r>
                  <w:r>
                    <w:rPr>
                      <w:rFonts w:hint="default" w:ascii="Times New Roman" w:hAnsi="Times New Roman" w:cs="Times New Roman"/>
                      <w:color w:val="000000" w:themeColor="text1"/>
                      <w:szCs w:val="18"/>
                      <w:lang w:val="en-US" w:eastAsia="zh-CN"/>
                      <w14:textFill>
                        <w14:solidFill>
                          <w14:schemeClr w14:val="tx1"/>
                        </w14:solidFill>
                      </w14:textFill>
                    </w:rPr>
                    <w:t>5</w:t>
                  </w:r>
                  <w:r>
                    <w:rPr>
                      <w:rFonts w:hint="default" w:ascii="Times New Roman" w:hAnsi="Times New Roman" w:eastAsia="宋体" w:cs="Times New Roman"/>
                      <w:color w:val="000000" w:themeColor="text1"/>
                      <w:szCs w:val="18"/>
                      <w:lang w:val="en-US" w:eastAsia="zh-CN"/>
                      <w14:textFill>
                        <w14:solidFill>
                          <w14:schemeClr w14:val="tx1"/>
                        </w14:solidFill>
                      </w14:textFill>
                    </w:rPr>
                    <w:t>m</w:t>
                  </w:r>
                </w:p>
              </w:tc>
            </w:tr>
          </w:tbl>
          <w:p>
            <w:pPr>
              <w:spacing w:before="100" w:beforeAutospacing="1"/>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zh-CN"/>
                <w14:textFill>
                  <w14:solidFill>
                    <w14:schemeClr w14:val="tx1"/>
                  </w14:solidFill>
                </w14:textFill>
              </w:rPr>
              <w:t>表</w:t>
            </w:r>
            <w:r>
              <w:rPr>
                <w:rFonts w:hint="default" w:ascii="Times New Roman" w:hAnsi="Times New Roman" w:cs="Times New Roman"/>
                <w:b/>
                <w:bCs/>
                <w:color w:val="000000" w:themeColor="text1"/>
                <w:sz w:val="24"/>
                <w14:textFill>
                  <w14:solidFill>
                    <w14:schemeClr w14:val="tx1"/>
                  </w14:solidFill>
                </w14:textFill>
              </w:rPr>
              <w:t>4-</w:t>
            </w: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 xml:space="preserve"> </w:t>
            </w:r>
            <w:r>
              <w:rPr>
                <w:rFonts w:hint="default" w:ascii="Times New Roman" w:hAnsi="Times New Roman" w:cs="Times New Roman"/>
                <w:b/>
                <w:color w:val="000000" w:themeColor="text1"/>
                <w:sz w:val="24"/>
                <w:lang w:eastAsia="zh-CN"/>
                <w14:textFill>
                  <w14:solidFill>
                    <w14:schemeClr w14:val="tx1"/>
                  </w14:solidFill>
                </w14:textFill>
              </w:rPr>
              <w:t>抛丸、抛光粉尘</w:t>
            </w:r>
            <w:r>
              <w:rPr>
                <w:rFonts w:hint="default" w:ascii="Times New Roman" w:hAnsi="Times New Roman" w:cs="Times New Roman"/>
                <w:b/>
                <w:bCs/>
                <w:color w:val="000000" w:themeColor="text1"/>
                <w:sz w:val="24"/>
                <w14:textFill>
                  <w14:solidFill>
                    <w14:schemeClr w14:val="tx1"/>
                  </w14:solidFill>
                </w14:textFill>
              </w:rPr>
              <w:t>无组织</w:t>
            </w:r>
            <w:r>
              <w:rPr>
                <w:rFonts w:hint="default" w:ascii="Times New Roman" w:hAnsi="Times New Roman" w:cs="Times New Roman"/>
                <w:b/>
                <w:bCs/>
                <w:color w:val="000000" w:themeColor="text1"/>
                <w:sz w:val="24"/>
                <w:lang w:val="zh-CN"/>
                <w14:textFill>
                  <w14:solidFill>
                    <w14:schemeClr w14:val="tx1"/>
                  </w14:solidFill>
                </w14:textFill>
              </w:rPr>
              <w:t>排放情况一览表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669"/>
              <w:gridCol w:w="1798"/>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99" w:type="pct"/>
                  <w:vMerge w:val="restar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污染源</w:t>
                  </w:r>
                </w:p>
              </w:tc>
              <w:tc>
                <w:tcPr>
                  <w:tcW w:w="1640" w:type="pct"/>
                  <w:vMerge w:val="restar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污染物种类</w:t>
                  </w:r>
                </w:p>
              </w:tc>
              <w:tc>
                <w:tcPr>
                  <w:tcW w:w="2160" w:type="pct"/>
                  <w:gridSpan w:val="2"/>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无组织废气排放情况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99" w:type="pct"/>
                  <w:vMerge w:val="continue"/>
                  <w:vAlign w:val="center"/>
                </w:tcPr>
                <w:p>
                  <w:pPr>
                    <w:jc w:val="center"/>
                    <w:rPr>
                      <w:rFonts w:hint="default" w:ascii="Times New Roman" w:hAnsi="Times New Roman" w:cs="Times New Roman"/>
                      <w:b/>
                      <w:color w:val="000000" w:themeColor="text1"/>
                      <w:szCs w:val="21"/>
                      <w14:textFill>
                        <w14:solidFill>
                          <w14:schemeClr w14:val="tx1"/>
                        </w14:solidFill>
                      </w14:textFill>
                    </w:rPr>
                  </w:pPr>
                </w:p>
              </w:tc>
              <w:tc>
                <w:tcPr>
                  <w:tcW w:w="1640" w:type="pct"/>
                  <w:vMerge w:val="continue"/>
                  <w:vAlign w:val="center"/>
                </w:tcPr>
                <w:p>
                  <w:pPr>
                    <w:jc w:val="center"/>
                    <w:rPr>
                      <w:rFonts w:hint="default" w:ascii="Times New Roman" w:hAnsi="Times New Roman" w:cs="Times New Roman"/>
                      <w:b/>
                      <w:color w:val="000000" w:themeColor="text1"/>
                      <w:szCs w:val="21"/>
                      <w14:textFill>
                        <w14:solidFill>
                          <w14:schemeClr w14:val="tx1"/>
                        </w14:solidFill>
                      </w14:textFill>
                    </w:rPr>
                  </w:pPr>
                </w:p>
              </w:tc>
              <w:tc>
                <w:tcPr>
                  <w:tcW w:w="1105" w:type="pc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kg/h</w:t>
                  </w:r>
                </w:p>
              </w:tc>
              <w:tc>
                <w:tcPr>
                  <w:tcW w:w="1054" w:type="pct"/>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99" w:type="pct"/>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bCs/>
                      <w:color w:val="000000" w:themeColor="text1"/>
                      <w:szCs w:val="18"/>
                      <w:lang w:eastAsia="zh-CN"/>
                      <w14:textFill>
                        <w14:solidFill>
                          <w14:schemeClr w14:val="tx1"/>
                        </w14:solidFill>
                      </w14:textFill>
                    </w:rPr>
                    <w:t>抛丸、</w:t>
                  </w:r>
                  <w:r>
                    <w:rPr>
                      <w:rFonts w:hint="default" w:ascii="Times New Roman" w:hAnsi="Times New Roman" w:cs="Times New Roman"/>
                      <w:bCs/>
                      <w:color w:val="000000" w:themeColor="text1"/>
                      <w:szCs w:val="18"/>
                      <w:lang w:val="en-US" w:eastAsia="zh-CN"/>
                      <w14:textFill>
                        <w14:solidFill>
                          <w14:schemeClr w14:val="tx1"/>
                        </w14:solidFill>
                      </w14:textFill>
                    </w:rPr>
                    <w:t>抛光</w:t>
                  </w:r>
                </w:p>
              </w:tc>
              <w:tc>
                <w:tcPr>
                  <w:tcW w:w="1640" w:type="pct"/>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1790" w:type="dxa"/>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0.014</w:t>
                  </w:r>
                </w:p>
              </w:tc>
              <w:tc>
                <w:tcPr>
                  <w:tcW w:w="1709" w:type="dxa"/>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0.034</w:t>
                  </w:r>
                </w:p>
              </w:tc>
            </w:tr>
          </w:tbl>
          <w:p>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（3）危废库暂存废气</w:t>
            </w:r>
          </w:p>
          <w:p>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 xml:space="preserve">考虑项目厂区危废暂存库内可能会有有机废气逸散，根据《危险废物贮存 </w:t>
            </w:r>
          </w:p>
          <w:p>
            <w:pPr>
              <w:adjustRightInd w:val="0"/>
              <w:snapToGrid w:val="0"/>
              <w:spacing w:line="360" w:lineRule="auto"/>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污染控制标准》(GB18597-2023) 要求，需对危废暂存库废气进行收集和净化。危废暂存库废气产生量较小，本次环评不对其进行定量计算。项目危废暂存库密闭，设置抽排风系统，废气接入两级活性炭装置处理，由一根15m高的排气筒 DA003排放。</w:t>
            </w:r>
          </w:p>
          <w:p>
            <w:pPr>
              <w:widowControl/>
              <w:spacing w:line="360" w:lineRule="auto"/>
              <w:ind w:firstLine="480" w:firstLineChars="200"/>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4"/>
                <w:szCs w:val="24"/>
                <w:lang w:val="en-US" w:eastAsia="zh-CN" w:bidi="ar-SA"/>
                <w14:textFill>
                  <w14:solidFill>
                    <w14:schemeClr w14:val="tx1"/>
                  </w14:solidFill>
                </w14:textFill>
              </w:rPr>
              <w:t>风量核算：</w:t>
            </w:r>
          </w:p>
          <w:p>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项目设有一间危废库（长5m，宽3m，高3m），危废库采用抽风换气，换气次数取8次/h，则危废库排风量5×3×3×8=360m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综合考虑风阻损耗等影响，危废库废气风机风量取1000m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w:t>
            </w:r>
          </w:p>
          <w:p>
            <w:pPr>
              <w:keepNext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default" w:ascii="Times New Roman" w:hAnsi="Times New Roman" w:cs="Times New Roman"/>
                <w:color w:val="000000" w:themeColor="text1"/>
                <w:kern w:val="2"/>
                <w:sz w:val="24"/>
                <w:szCs w:val="24"/>
                <w:lang w:eastAsia="zh-CN"/>
                <w14:textFill>
                  <w14:solidFill>
                    <w14:schemeClr w14:val="tx1"/>
                  </w14:solidFill>
                </w14:textFill>
              </w:rPr>
            </w:pP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cs="Times New Roman"/>
                <w:color w:val="000000" w:themeColor="text1"/>
                <w:kern w:val="2"/>
                <w:sz w:val="24"/>
                <w:szCs w:val="24"/>
                <w:lang w:eastAsia="zh-CN"/>
                <w14:textFill>
                  <w14:solidFill>
                    <w14:schemeClr w14:val="tx1"/>
                  </w14:solidFill>
                </w14:textFill>
              </w:rPr>
              <w:t>）天然气燃烧废气</w:t>
            </w:r>
          </w:p>
          <w:p>
            <w:pPr>
              <w:keepNext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themeColor="text1"/>
                <w:sz w:val="24"/>
                <w:szCs w:val="24"/>
                <w:highlight w:val="yellow"/>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项目每台压铸机均配套燃气炉1台，能源为天然气。加热方式为间接加热。</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铝合金锭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熔化使用燃气炉，</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天然气燃烧废气污染物</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源强计算</w:t>
            </w:r>
            <w:r>
              <w:rPr>
                <w:rFonts w:hint="default" w:ascii="Times New Roman" w:hAnsi="Times New Roman" w:cs="Times New Roman"/>
                <w:bCs/>
                <w:color w:val="000000" w:themeColor="text1"/>
                <w:sz w:val="24"/>
                <w:szCs w:val="24"/>
                <w:highlight w:val="none"/>
                <w14:textFill>
                  <w14:solidFill>
                    <w14:schemeClr w14:val="tx1"/>
                  </w14:solidFill>
                </w14:textFill>
              </w:rPr>
              <w:t>参照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《排放源统计调查产排污核算方法和系数手册》中</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“33-37，431-434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机械行业系数手册</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”99页表中-“14涂装”-“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天然气工业窑炉</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产污系数为：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工业</w:t>
            </w:r>
            <w:r>
              <w:rPr>
                <w:rFonts w:hint="default" w:ascii="Times New Roman" w:hAnsi="Times New Roman" w:eastAsia="宋体" w:cs="Times New Roman"/>
                <w:color w:val="000000" w:themeColor="text1"/>
                <w:sz w:val="24"/>
                <w:szCs w:val="24"/>
                <w:highlight w:val="none"/>
                <w14:textFill>
                  <w14:solidFill>
                    <w14:schemeClr w14:val="tx1"/>
                  </w14:solidFill>
                </w14:textFill>
              </w:rPr>
              <w:t>废气量产污系数为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-原料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，烟尘</w:t>
            </w:r>
            <w:r>
              <w:rPr>
                <w:rFonts w:hint="default" w:ascii="Times New Roman" w:hAnsi="Times New Roman" w:eastAsia="宋体" w:cs="Times New Roman"/>
                <w:color w:val="000000" w:themeColor="text1"/>
                <w:sz w:val="24"/>
                <w:szCs w:val="24"/>
                <w:highlight w:val="none"/>
                <w14:textFill>
                  <w14:solidFill>
                    <w14:schemeClr w14:val="tx1"/>
                  </w14:solidFill>
                </w14:textFill>
              </w:rPr>
              <w:t>产污系数为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0.000286</w:t>
            </w:r>
            <w:r>
              <w:rPr>
                <w:rFonts w:hint="default" w:ascii="Times New Roman" w:hAnsi="Times New Roman" w:eastAsia="宋体" w:cs="Times New Roman"/>
                <w:color w:val="000000" w:themeColor="text1"/>
                <w:sz w:val="24"/>
                <w:szCs w:val="24"/>
                <w:highlight w:val="none"/>
                <w14:textFill>
                  <w14:solidFill>
                    <w14:schemeClr w14:val="tx1"/>
                  </w14:solidFill>
                </w14:textFill>
              </w:rPr>
              <w:t>kg/m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-原料，SO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产污系数为0.0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0000</w:t>
            </w:r>
            <w:r>
              <w:rPr>
                <w:rFonts w:hint="default" w:ascii="Times New Roman" w:hAnsi="Times New Roman" w:eastAsia="宋体" w:cs="Times New Roman"/>
                <w:color w:val="000000" w:themeColor="text1"/>
                <w:sz w:val="24"/>
                <w:szCs w:val="24"/>
                <w:highlight w:val="none"/>
                <w14:textFill>
                  <w14:solidFill>
                    <w14:schemeClr w14:val="tx1"/>
                  </w14:solidFill>
                </w14:textFill>
              </w:rPr>
              <w:t>2Skg/m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-原料，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氮氧化物</w:t>
            </w:r>
            <w:r>
              <w:rPr>
                <w:rFonts w:hint="default" w:ascii="Times New Roman" w:hAnsi="Times New Roman" w:eastAsia="宋体" w:cs="Times New Roman"/>
                <w:color w:val="000000" w:themeColor="text1"/>
                <w:sz w:val="24"/>
                <w:szCs w:val="24"/>
                <w:highlight w:val="none"/>
                <w14:textFill>
                  <w14:solidFill>
                    <w14:schemeClr w14:val="tx1"/>
                  </w14:solidFill>
                </w14:textFill>
              </w:rPr>
              <w:t>产污系数为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0.00187</w:t>
            </w:r>
            <w:r>
              <w:rPr>
                <w:rFonts w:hint="default" w:ascii="Times New Roman" w:hAnsi="Times New Roman" w:eastAsia="宋体" w:cs="Times New Roman"/>
                <w:color w:val="000000" w:themeColor="text1"/>
                <w:sz w:val="24"/>
                <w:szCs w:val="24"/>
                <w:highlight w:val="none"/>
                <w14:textFill>
                  <w14:solidFill>
                    <w14:schemeClr w14:val="tx1"/>
                  </w14:solidFill>
                </w14:textFill>
              </w:rPr>
              <w:t>kg/m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-原料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（低氮燃烧法治理技术效率为50%）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根据建设单位提供资料</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项目燃气炉天然气消耗量共计约为48.6万m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《排放源统计调查产排污核算方法和系数手册》中</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“33-37，431-434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机械行业系数手册</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”102页表下注可知：S---收到基硫分（取值范围0-100，燃料为气体时，取值范围</w:t>
            </w:r>
            <w:r>
              <w:rPr>
                <w:rFonts w:hint="default" w:ascii="Times New Roman" w:hAnsi="Times New Roman" w:eastAsia="微软雅黑" w:cs="Times New Roman"/>
                <w:color w:val="000000" w:themeColor="text1"/>
                <w:spacing w:val="0"/>
                <w:sz w:val="24"/>
                <w:szCs w:val="24"/>
                <w:highlight w:val="none"/>
                <w:lang w:val="en-US" w:eastAsia="zh-CN"/>
                <w14:textFill>
                  <w14:solidFill>
                    <w14:schemeClr w14:val="tx1"/>
                  </w14:solidFill>
                </w14:textFill>
              </w:rPr>
              <w:t>&gt;=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0），本环评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天然气收到基硫份S取最大值100，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则本项目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压铸机配套燃气炉</w:t>
            </w:r>
            <w:r>
              <w:rPr>
                <w:rFonts w:hint="default" w:ascii="Times New Roman" w:hAnsi="Times New Roman" w:cs="Times New Roman"/>
                <w:b w:val="0"/>
                <w:bCs w:val="0"/>
                <w:color w:val="000000" w:themeColor="text1"/>
                <w:spacing w:val="0"/>
                <w:sz w:val="24"/>
                <w:szCs w:val="24"/>
                <w:highlight w:val="none"/>
                <w:lang w:val="en-US" w:eastAsia="zh-CN"/>
                <w14:textFill>
                  <w14:solidFill>
                    <w14:schemeClr w14:val="tx1"/>
                  </w14:solidFill>
                </w14:textFill>
              </w:rPr>
              <w:t>天然气</w:t>
            </w:r>
            <w:r>
              <w:rPr>
                <w:rFonts w:hint="default" w:ascii="Times New Roman" w:hAnsi="Times New Roman" w:cs="Times New Roman"/>
                <w:b w:val="0"/>
                <w:bCs w:val="0"/>
                <w:color w:val="000000" w:themeColor="text1"/>
                <w:spacing w:val="0"/>
                <w:sz w:val="24"/>
                <w:szCs w:val="24"/>
                <w:highlight w:val="none"/>
                <w14:textFill>
                  <w14:solidFill>
                    <w14:schemeClr w14:val="tx1"/>
                  </w14:solidFill>
                </w14:textFill>
              </w:rPr>
              <w:t>燃烧</w:t>
            </w:r>
            <w:r>
              <w:rPr>
                <w:rFonts w:hint="default" w:ascii="Times New Roman" w:hAnsi="Times New Roman" w:cs="Times New Roman"/>
                <w:b w:val="0"/>
                <w:bCs w:val="0"/>
                <w:color w:val="000000" w:themeColor="text1"/>
                <w:spacing w:val="0"/>
                <w:sz w:val="24"/>
                <w:szCs w:val="24"/>
                <w:highlight w:val="none"/>
                <w:lang w:val="en-US" w:eastAsia="zh-CN"/>
                <w14:textFill>
                  <w14:solidFill>
                    <w14:schemeClr w14:val="tx1"/>
                  </w14:solidFill>
                </w14:textFill>
              </w:rPr>
              <w:t>烟</w:t>
            </w:r>
            <w:r>
              <w:rPr>
                <w:rFonts w:hint="default" w:ascii="Times New Roman" w:hAnsi="Times New Roman" w:cs="Times New Roman"/>
                <w:b w:val="0"/>
                <w:bCs w:val="0"/>
                <w:color w:val="000000" w:themeColor="text1"/>
                <w:spacing w:val="0"/>
                <w:sz w:val="24"/>
                <w:szCs w:val="24"/>
                <w:highlight w:val="none"/>
                <w14:textFill>
                  <w14:solidFill>
                    <w14:schemeClr w14:val="tx1"/>
                  </w14:solidFill>
                </w14:textFill>
              </w:rPr>
              <w:t>气</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量为</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660.96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，废气中颗粒物产生量为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0.139t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/a，二氧化硫产生量为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0.097t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/a，氮氧化物产生量为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0.909t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天然气熔铝炉采用低氮燃烧技术，低氮燃烧法对氮氧化物治理技术效率为50%，</w:t>
            </w:r>
            <w:r>
              <w:rPr>
                <w:rFonts w:hint="default" w:ascii="Times New Roman" w:hAnsi="Times New Roman" w:cs="Times New Roman"/>
                <w:color w:val="000000" w:themeColor="text1"/>
                <w:kern w:val="2"/>
                <w:sz w:val="24"/>
                <w:szCs w:val="24"/>
                <w:lang w:eastAsia="zh-CN"/>
                <w14:textFill>
                  <w14:solidFill>
                    <w14:schemeClr w14:val="tx1"/>
                  </w14:solidFill>
                </w14:textFill>
              </w:rPr>
              <w:t>天然气燃烧</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工段工况时间为13h/d，年工作300天。</w:t>
            </w:r>
          </w:p>
          <w:p>
            <w:pPr>
              <w:spacing w:before="100" w:beforeAutospacing="1"/>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表4-7  项目天然气燃烧废气产生情况一览表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593"/>
              <w:gridCol w:w="979"/>
              <w:gridCol w:w="1080"/>
              <w:gridCol w:w="1811"/>
              <w:gridCol w:w="979"/>
              <w:gridCol w:w="1153"/>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39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工段</w:t>
                  </w:r>
                </w:p>
              </w:tc>
              <w:tc>
                <w:tcPr>
                  <w:tcW w:w="364"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原料名称</w:t>
                  </w:r>
                </w:p>
              </w:tc>
              <w:tc>
                <w:tcPr>
                  <w:tcW w:w="60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用量</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污染物</w:t>
                  </w:r>
                </w:p>
              </w:tc>
              <w:tc>
                <w:tcPr>
                  <w:tcW w:w="11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系数</w:t>
                  </w:r>
                </w:p>
              </w:tc>
              <w:tc>
                <w:tcPr>
                  <w:tcW w:w="60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产生量t/a</w:t>
                  </w:r>
                </w:p>
              </w:tc>
              <w:tc>
                <w:tcPr>
                  <w:tcW w:w="70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产生速率kg/h</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天然气燃烧</w:t>
                  </w:r>
                </w:p>
              </w:tc>
              <w:tc>
                <w:tcPr>
                  <w:tcW w:w="364"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天然气</w:t>
                  </w:r>
                </w:p>
              </w:tc>
              <w:tc>
                <w:tcPr>
                  <w:tcW w:w="601" w:type="pct"/>
                  <w:vMerge w:val="restart"/>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48.6万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烟尘</w:t>
                  </w:r>
                </w:p>
              </w:tc>
              <w:tc>
                <w:tcPr>
                  <w:tcW w:w="11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0.000286</w:t>
                  </w:r>
                  <w:r>
                    <w:rPr>
                      <w:rFonts w:hint="default" w:ascii="Times New Roman" w:hAnsi="Times New Roman" w:eastAsia="宋体" w:cs="Times New Roman"/>
                      <w:color w:val="000000" w:themeColor="text1"/>
                      <w:sz w:val="21"/>
                      <w:szCs w:val="21"/>
                      <w:highlight w:val="none"/>
                      <w14:textFill>
                        <w14:solidFill>
                          <w14:schemeClr w14:val="tx1"/>
                        </w14:solidFill>
                      </w14:textFill>
                    </w:rPr>
                    <w:t>kg/m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-原料</w:t>
                  </w:r>
                </w:p>
              </w:tc>
              <w:tc>
                <w:tcPr>
                  <w:tcW w:w="60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70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55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4"/>
                      <w:highlight w:val="none"/>
                      <w:lang w:val="en-US" w:eastAsia="zh-CN"/>
                      <w14:textFill>
                        <w14:solidFill>
                          <w14:schemeClr w14:val="tx1"/>
                        </w14:solidFill>
                      </w14:textFill>
                    </w:rPr>
                    <w:t>3900h/a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p>
              </w:tc>
              <w:tc>
                <w:tcPr>
                  <w:tcW w:w="364"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01"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二氧化硫</w:t>
                  </w:r>
                </w:p>
              </w:tc>
              <w:tc>
                <w:tcPr>
                  <w:tcW w:w="11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w:t>
                  </w:r>
                  <w:r>
                    <w:rPr>
                      <w:rFonts w:hint="default" w:ascii="Times New Roman" w:hAnsi="Times New Roman" w:eastAsia="宋体" w:cs="Times New Roman"/>
                      <w:color w:val="000000" w:themeColor="text1"/>
                      <w:sz w:val="21"/>
                      <w:szCs w:val="21"/>
                      <w:highlight w:val="none"/>
                      <w14:textFill>
                        <w14:solidFill>
                          <w14:schemeClr w14:val="tx1"/>
                        </w14:solidFill>
                      </w14:textFill>
                    </w:rPr>
                    <w:t>2Skg/m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-原料</w:t>
                  </w:r>
                </w:p>
              </w:tc>
              <w:tc>
                <w:tcPr>
                  <w:tcW w:w="60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70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55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p>
              </w:tc>
              <w:tc>
                <w:tcPr>
                  <w:tcW w:w="364"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01"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氮氧化物（低氮燃烧）</w:t>
                  </w:r>
                </w:p>
              </w:tc>
              <w:tc>
                <w:tcPr>
                  <w:tcW w:w="11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0.00187</w:t>
                  </w:r>
                  <w:r>
                    <w:rPr>
                      <w:rFonts w:hint="default" w:ascii="Times New Roman" w:hAnsi="Times New Roman" w:eastAsia="宋体" w:cs="Times New Roman"/>
                      <w:color w:val="000000" w:themeColor="text1"/>
                      <w:sz w:val="21"/>
                      <w:szCs w:val="21"/>
                      <w:highlight w:val="none"/>
                      <w14:textFill>
                        <w14:solidFill>
                          <w14:schemeClr w14:val="tx1"/>
                        </w14:solidFill>
                      </w14:textFill>
                    </w:rPr>
                    <w:t>kg/m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-原料</w:t>
                  </w:r>
                </w:p>
              </w:tc>
              <w:tc>
                <w:tcPr>
                  <w:tcW w:w="60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0.909</w:t>
                  </w:r>
                </w:p>
              </w:tc>
              <w:tc>
                <w:tcPr>
                  <w:tcW w:w="70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0.233</w:t>
                  </w:r>
                </w:p>
              </w:tc>
              <w:tc>
                <w:tcPr>
                  <w:tcW w:w="55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p>
              </w:tc>
              <w:tc>
                <w:tcPr>
                  <w:tcW w:w="364"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01" w:type="pct"/>
                  <w:vMerge w:val="continue"/>
                  <w:noWrap w:val="0"/>
                  <w:vAlign w:val="center"/>
                </w:tcPr>
                <w:p>
                  <w:pPr>
                    <w:keepNext w:val="0"/>
                    <w:keepLines w:val="0"/>
                    <w:pageBreakBefore w:val="0"/>
                    <w:kinsoku/>
                    <w:wordWrap/>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烟气量</w:t>
                  </w:r>
                </w:p>
              </w:tc>
              <w:tc>
                <w:tcPr>
                  <w:tcW w:w="111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-原料</w:t>
                  </w:r>
                </w:p>
              </w:tc>
              <w:tc>
                <w:tcPr>
                  <w:tcW w:w="60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660.96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w:t>
                  </w:r>
                </w:p>
              </w:tc>
              <w:tc>
                <w:tcPr>
                  <w:tcW w:w="70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1695m</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t>
                  </w:r>
                </w:p>
              </w:tc>
              <w:tc>
                <w:tcPr>
                  <w:tcW w:w="55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Autospacing="0"/>
              <w:jc w:val="left"/>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注：</w:t>
            </w:r>
            <w:r>
              <w:rPr>
                <w:rFonts w:hint="default" w:ascii="Times New Roman" w:hAnsi="Times New Roman" w:cs="Times New Roman"/>
                <w:b w:val="0"/>
                <w:bCs/>
                <w:color w:val="000000" w:themeColor="text1"/>
                <w:spacing w:val="0"/>
                <w:sz w:val="21"/>
                <w:szCs w:val="21"/>
                <w:highlight w:val="none"/>
                <w:lang w:val="en-US" w:eastAsia="zh-CN"/>
                <w14:textFill>
                  <w14:solidFill>
                    <w14:schemeClr w14:val="tx1"/>
                  </w14:solidFill>
                </w14:textFill>
              </w:rPr>
              <w:t>S---收到基硫分（取值范围0-100，燃料为气体时，取值范围</w:t>
            </w:r>
            <w:r>
              <w:rPr>
                <w:rFonts w:hint="default" w:ascii="Times New Roman" w:hAnsi="Times New Roman" w:eastAsia="微软雅黑" w:cs="Times New Roman"/>
                <w:b w:val="0"/>
                <w:bCs/>
                <w:color w:val="000000" w:themeColor="text1"/>
                <w:spacing w:val="0"/>
                <w:sz w:val="21"/>
                <w:szCs w:val="21"/>
                <w:highlight w:val="none"/>
                <w:lang w:val="en-US" w:eastAsia="zh-CN"/>
                <w14:textFill>
                  <w14:solidFill>
                    <w14:schemeClr w14:val="tx1"/>
                  </w14:solidFill>
                </w14:textFill>
              </w:rPr>
              <w:t>&gt;=</w:t>
            </w:r>
            <w:r>
              <w:rPr>
                <w:rFonts w:hint="default" w:ascii="Times New Roman" w:hAnsi="Times New Roman" w:cs="Times New Roman"/>
                <w:b w:val="0"/>
                <w:bCs/>
                <w:color w:val="000000" w:themeColor="text1"/>
                <w:spacing w:val="0"/>
                <w:sz w:val="21"/>
                <w:szCs w:val="21"/>
                <w:highlight w:val="none"/>
                <w:lang w:val="en-US" w:eastAsia="zh-CN"/>
                <w14:textFill>
                  <w14:solidFill>
                    <w14:schemeClr w14:val="tx1"/>
                  </w14:solidFill>
                </w14:textFill>
              </w:rPr>
              <w:t>0），本环评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天然气收到基硫份S取最大值100。</w:t>
            </w:r>
          </w:p>
          <w:p>
            <w:pPr>
              <w:spacing w:before="100" w:beforeAutospacing="1"/>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8</w:t>
            </w:r>
            <w:r>
              <w:rPr>
                <w:rFonts w:hint="default" w:ascii="Times New Roman" w:hAnsi="Times New Roman" w:cs="Times New Roman"/>
                <w:b/>
                <w:color w:val="000000" w:themeColor="text1"/>
                <w:sz w:val="24"/>
                <w14:textFill>
                  <w14:solidFill>
                    <w14:schemeClr w14:val="tx1"/>
                  </w14:solidFill>
                </w14:textFill>
              </w:rPr>
              <w:t xml:space="preserve"> </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lang w:val="en-US" w:eastAsia="zh-CN"/>
                <w14:textFill>
                  <w14:solidFill>
                    <w14:schemeClr w14:val="tx1"/>
                  </w14:solidFill>
                </w14:textFill>
              </w:rPr>
              <w:t>天然气燃烧废气</w:t>
            </w:r>
            <w:r>
              <w:rPr>
                <w:rFonts w:hint="default" w:ascii="Times New Roman" w:hAnsi="Times New Roman" w:cs="Times New Roman"/>
                <w:b/>
                <w:color w:val="000000" w:themeColor="text1"/>
                <w:sz w:val="24"/>
                <w14:textFill>
                  <w14:solidFill>
                    <w14:schemeClr w14:val="tx1"/>
                  </w14:solidFill>
                </w14:textFill>
              </w:rPr>
              <w:t>有组织排放</w:t>
            </w:r>
            <w:r>
              <w:rPr>
                <w:rFonts w:hint="default" w:ascii="Times New Roman" w:hAnsi="Times New Roman" w:cs="Times New Roman"/>
                <w:b/>
                <w:bCs/>
                <w:color w:val="000000" w:themeColor="text1"/>
                <w:sz w:val="24"/>
                <w:lang w:val="en-GB"/>
                <w14:textFill>
                  <w14:solidFill>
                    <w14:schemeClr w14:val="tx1"/>
                  </w14:solidFill>
                </w14:textFill>
              </w:rPr>
              <w:t>产生及排放情况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815"/>
              <w:gridCol w:w="709"/>
              <w:gridCol w:w="689"/>
              <w:gridCol w:w="689"/>
              <w:gridCol w:w="899"/>
              <w:gridCol w:w="717"/>
              <w:gridCol w:w="689"/>
              <w:gridCol w:w="689"/>
              <w:gridCol w:w="798"/>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污染源</w:t>
                  </w:r>
                </w:p>
              </w:tc>
              <w:tc>
                <w:tcPr>
                  <w:tcW w:w="500"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污染物</w:t>
                  </w:r>
                </w:p>
              </w:tc>
              <w:tc>
                <w:tcPr>
                  <w:tcW w:w="435" w:type="pct"/>
                  <w:vMerge w:val="restart"/>
                  <w:vAlign w:val="center"/>
                </w:tcPr>
                <w:p>
                  <w:pPr>
                    <w:tabs>
                      <w:tab w:val="left" w:pos="2200"/>
                      <w:tab w:val="left" w:pos="3960"/>
                      <w:tab w:val="left" w:pos="5280"/>
                    </w:tabs>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排气量m</w:t>
                  </w:r>
                  <w:r>
                    <w:rPr>
                      <w:rFonts w:hint="default" w:ascii="Times New Roman" w:hAnsi="Times New Roman" w:cs="Times New Roman"/>
                      <w:b/>
                      <w:color w:val="000000" w:themeColor="text1"/>
                      <w:szCs w:val="18"/>
                      <w:vertAlign w:val="superscript"/>
                      <w14:textFill>
                        <w14:solidFill>
                          <w14:schemeClr w14:val="tx1"/>
                        </w14:solidFill>
                      </w14:textFill>
                    </w:rPr>
                    <w:t>3</w:t>
                  </w:r>
                  <w:r>
                    <w:rPr>
                      <w:rFonts w:hint="default" w:ascii="Times New Roman" w:hAnsi="Times New Roman" w:cs="Times New Roman"/>
                      <w:b/>
                      <w:color w:val="000000" w:themeColor="text1"/>
                      <w:szCs w:val="18"/>
                      <w14:textFill>
                        <w14:solidFill>
                          <w14:schemeClr w14:val="tx1"/>
                        </w14:solidFill>
                      </w14:textFill>
                    </w:rPr>
                    <w:t>/h</w:t>
                  </w:r>
                </w:p>
              </w:tc>
              <w:tc>
                <w:tcPr>
                  <w:tcW w:w="1398" w:type="pct"/>
                  <w:gridSpan w:val="3"/>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产生情况</w:t>
                  </w:r>
                </w:p>
              </w:tc>
              <w:tc>
                <w:tcPr>
                  <w:tcW w:w="440"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拟采取的污染治理措施</w:t>
                  </w:r>
                </w:p>
              </w:tc>
              <w:tc>
                <w:tcPr>
                  <w:tcW w:w="1336" w:type="pct"/>
                  <w:gridSpan w:val="3"/>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排放情况</w:t>
                  </w:r>
                </w:p>
              </w:tc>
              <w:tc>
                <w:tcPr>
                  <w:tcW w:w="542" w:type="pct"/>
                  <w:vMerge w:val="restar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500"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435"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423"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kg/h</w:t>
                  </w:r>
                </w:p>
              </w:tc>
              <w:tc>
                <w:tcPr>
                  <w:tcW w:w="423"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t/a</w:t>
                  </w:r>
                </w:p>
              </w:tc>
              <w:tc>
                <w:tcPr>
                  <w:tcW w:w="552"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mg/m</w:t>
                  </w:r>
                  <w:r>
                    <w:rPr>
                      <w:rFonts w:hint="default" w:ascii="Times New Roman" w:hAnsi="Times New Roman" w:cs="Times New Roman"/>
                      <w:b/>
                      <w:color w:val="000000" w:themeColor="text1"/>
                      <w:szCs w:val="18"/>
                      <w:vertAlign w:val="superscript"/>
                      <w14:textFill>
                        <w14:solidFill>
                          <w14:schemeClr w14:val="tx1"/>
                        </w14:solidFill>
                      </w14:textFill>
                    </w:rPr>
                    <w:t>3</w:t>
                  </w:r>
                </w:p>
              </w:tc>
              <w:tc>
                <w:tcPr>
                  <w:tcW w:w="440"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c>
                <w:tcPr>
                  <w:tcW w:w="423"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kg/h</w:t>
                  </w:r>
                </w:p>
              </w:tc>
              <w:tc>
                <w:tcPr>
                  <w:tcW w:w="423"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t/a</w:t>
                  </w:r>
                </w:p>
              </w:tc>
              <w:tc>
                <w:tcPr>
                  <w:tcW w:w="490" w:type="pct"/>
                  <w:vAlign w:val="center"/>
                </w:tcPr>
                <w:p>
                  <w:pPr>
                    <w:jc w:val="center"/>
                    <w:rPr>
                      <w:rFonts w:hint="default" w:ascii="Times New Roman" w:hAnsi="Times New Roman" w:cs="Times New Roman"/>
                      <w:b/>
                      <w:color w:val="000000" w:themeColor="text1"/>
                      <w:szCs w:val="18"/>
                      <w14:textFill>
                        <w14:solidFill>
                          <w14:schemeClr w14:val="tx1"/>
                        </w14:solidFill>
                      </w14:textFill>
                    </w:rPr>
                  </w:pPr>
                  <w:r>
                    <w:rPr>
                      <w:rFonts w:hint="default" w:ascii="Times New Roman" w:hAnsi="Times New Roman" w:cs="Times New Roman"/>
                      <w:b/>
                      <w:color w:val="000000" w:themeColor="text1"/>
                      <w:szCs w:val="18"/>
                      <w14:textFill>
                        <w14:solidFill>
                          <w14:schemeClr w14:val="tx1"/>
                        </w14:solidFill>
                      </w14:textFill>
                    </w:rPr>
                    <w:t>mg/m</w:t>
                  </w:r>
                  <w:r>
                    <w:rPr>
                      <w:rFonts w:hint="default" w:ascii="Times New Roman" w:hAnsi="Times New Roman" w:cs="Times New Roman"/>
                      <w:b/>
                      <w:color w:val="000000" w:themeColor="text1"/>
                      <w:szCs w:val="18"/>
                      <w:vertAlign w:val="superscript"/>
                      <w14:textFill>
                        <w14:solidFill>
                          <w14:schemeClr w14:val="tx1"/>
                        </w14:solidFill>
                      </w14:textFill>
                    </w:rPr>
                    <w:t>3</w:t>
                  </w:r>
                </w:p>
              </w:tc>
              <w:tc>
                <w:tcPr>
                  <w:tcW w:w="542" w:type="pct"/>
                  <w:vMerge w:val="continue"/>
                  <w:vAlign w:val="center"/>
                </w:tcPr>
                <w:p>
                  <w:pPr>
                    <w:jc w:val="center"/>
                    <w:rPr>
                      <w:rFonts w:hint="default" w:ascii="Times New Roman" w:hAnsi="Times New Roman" w:cs="Times New Roman"/>
                      <w:b/>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344" w:type="pct"/>
                  <w:vMerge w:val="restart"/>
                  <w:vAlign w:val="center"/>
                </w:tcPr>
                <w:p>
                  <w:pPr>
                    <w:jc w:val="center"/>
                    <w:rPr>
                      <w:rFonts w:hint="default" w:ascii="Times New Roman" w:hAnsi="Times New Roman" w:cs="Times New Roman"/>
                      <w:bCs/>
                      <w:color w:val="000000" w:themeColor="text1"/>
                      <w:szCs w:val="18"/>
                      <w:lang w:val="en-GB"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天然气燃烧</w:t>
                  </w:r>
                  <w:r>
                    <w:rPr>
                      <w:rFonts w:hint="default" w:ascii="Times New Roman" w:hAnsi="Times New Roman" w:cs="Times New Roman"/>
                      <w:color w:val="000000" w:themeColor="text1"/>
                      <w:szCs w:val="18"/>
                      <w:lang w:val="en-US" w:eastAsia="zh-CN"/>
                      <w14:textFill>
                        <w14:solidFill>
                          <w14:schemeClr w14:val="tx1"/>
                        </w14:solidFill>
                      </w14:textFill>
                    </w:rPr>
                    <w:t>废气</w:t>
                  </w:r>
                </w:p>
              </w:tc>
              <w:tc>
                <w:tcPr>
                  <w:tcW w:w="50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烟尘</w:t>
                  </w:r>
                </w:p>
              </w:tc>
              <w:tc>
                <w:tcPr>
                  <w:tcW w:w="435" w:type="pct"/>
                  <w:vMerge w:val="restart"/>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1695</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552"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21.027</w:t>
                  </w:r>
                </w:p>
              </w:tc>
              <w:tc>
                <w:tcPr>
                  <w:tcW w:w="440" w:type="pct"/>
                  <w:vMerge w:val="restart"/>
                  <w:vAlign w:val="center"/>
                </w:tcPr>
                <w:p>
                  <w:pPr>
                    <w:keepNext w:val="0"/>
                    <w:keepLines w:val="0"/>
                    <w:widowControl/>
                    <w:suppressLineNumbers w:val="0"/>
                    <w:jc w:val="center"/>
                    <w:rPr>
                      <w:rFonts w:hint="default" w:ascii="Times New Roman" w:hAnsi="Times New Roman" w:eastAsia="宋体" w:cs="Times New Roman"/>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天然气熔铝炉采取低氮燃烧技术</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490"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21.027</w:t>
                  </w:r>
                </w:p>
              </w:tc>
              <w:tc>
                <w:tcPr>
                  <w:tcW w:w="542" w:type="pct"/>
                  <w:vMerge w:val="restart"/>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14:textFill>
                        <w14:solidFill>
                          <w14:schemeClr w14:val="tx1"/>
                        </w14:solidFill>
                      </w14:textFill>
                    </w:rPr>
                    <w:t>DA00</w:t>
                  </w:r>
                  <w:r>
                    <w:rPr>
                      <w:rFonts w:hint="default" w:ascii="Times New Roman" w:hAnsi="Times New Roman" w:eastAsia="宋体" w:cs="Times New Roman"/>
                      <w:color w:val="000000" w:themeColor="text1"/>
                      <w:szCs w:val="18"/>
                      <w:lang w:val="en-US" w:eastAsia="zh-CN"/>
                      <w14:textFill>
                        <w14:solidFill>
                          <w14:schemeClr w14:val="tx1"/>
                        </w14:solidFill>
                      </w14:textFill>
                    </w:rPr>
                    <w:t>5</w:t>
                  </w:r>
                </w:p>
                <w:p>
                  <w:pPr>
                    <w:jc w:val="center"/>
                    <w:rPr>
                      <w:rFonts w:hint="default" w:ascii="Times New Roman" w:hAnsi="Times New Roman" w:eastAsia="宋体" w:cs="Times New Roman"/>
                      <w:color w:val="000000" w:themeColor="text1"/>
                      <w:szCs w:val="18"/>
                      <w14:textFill>
                        <w14:solidFill>
                          <w14:schemeClr w14:val="tx1"/>
                        </w14:solidFill>
                      </w14:textFill>
                    </w:rPr>
                  </w:pPr>
                  <w:r>
                    <w:rPr>
                      <w:rFonts w:hint="default" w:ascii="Times New Roman" w:hAnsi="Times New Roman" w:eastAsia="宋体" w:cs="Times New Roman"/>
                      <w:color w:val="000000" w:themeColor="text1"/>
                      <w:szCs w:val="18"/>
                      <w14:textFill>
                        <w14:solidFill>
                          <w14:schemeClr w14:val="tx1"/>
                        </w14:solidFill>
                      </w14:textFill>
                    </w:rPr>
                    <w:t>H:</w:t>
                  </w:r>
                  <w:r>
                    <w:rPr>
                      <w:rFonts w:hint="default" w:ascii="Times New Roman" w:hAnsi="Times New Roman" w:eastAsia="宋体" w:cs="Times New Roman"/>
                      <w:color w:val="000000" w:themeColor="text1"/>
                      <w:szCs w:val="18"/>
                      <w:lang w:val="en-US" w:eastAsia="zh-CN"/>
                      <w14:textFill>
                        <w14:solidFill>
                          <w14:schemeClr w14:val="tx1"/>
                        </w14:solidFill>
                      </w14:textFill>
                    </w:rPr>
                    <w:t>15</w:t>
                  </w:r>
                  <w:r>
                    <w:rPr>
                      <w:rFonts w:hint="default" w:ascii="Times New Roman" w:hAnsi="Times New Roman" w:eastAsia="宋体" w:cs="Times New Roman"/>
                      <w:color w:val="000000" w:themeColor="text1"/>
                      <w:szCs w:val="18"/>
                      <w14:textFill>
                        <w14:solidFill>
                          <w14:schemeClr w14:val="tx1"/>
                        </w14:solidFill>
                      </w14:textFill>
                    </w:rPr>
                    <w:t>m</w:t>
                  </w:r>
                </w:p>
                <w:p>
                  <w:pPr>
                    <w:jc w:val="center"/>
                    <w:rPr>
                      <w:rFonts w:hint="default" w:ascii="Times New Roman" w:hAnsi="Times New Roman" w:cs="Times New Roman"/>
                      <w:color w:val="000000" w:themeColor="text1"/>
                      <w:szCs w:val="18"/>
                      <w14:textFill>
                        <w14:solidFill>
                          <w14:schemeClr w14:val="tx1"/>
                        </w14:solidFill>
                      </w14:textFill>
                    </w:rPr>
                  </w:pPr>
                  <w:r>
                    <w:rPr>
                      <w:rFonts w:hint="default" w:ascii="Times New Roman" w:hAnsi="Times New Roman" w:eastAsia="宋体" w:cs="Times New Roman"/>
                      <w:color w:val="000000" w:themeColor="text1"/>
                      <w:szCs w:val="18"/>
                      <w14:textFill>
                        <w14:solidFill>
                          <w14:schemeClr w14:val="tx1"/>
                        </w14:solidFill>
                      </w14:textFill>
                    </w:rPr>
                    <w:t>ф:0.</w:t>
                  </w:r>
                  <w:r>
                    <w:rPr>
                      <w:rFonts w:hint="default" w:ascii="Times New Roman" w:hAnsi="Times New Roman" w:eastAsia="宋体" w:cs="Times New Roman"/>
                      <w:color w:val="000000" w:themeColor="text1"/>
                      <w:szCs w:val="18"/>
                      <w:lang w:val="en-US" w:eastAsia="zh-CN"/>
                      <w14:textFill>
                        <w14:solidFill>
                          <w14:schemeClr w14:val="tx1"/>
                        </w14:solidFill>
                      </w14:textFill>
                    </w:rPr>
                    <w:t>3</w:t>
                  </w:r>
                  <w:r>
                    <w:rPr>
                      <w:rFonts w:hint="default" w:ascii="Times New Roman" w:hAnsi="Times New Roman" w:eastAsia="宋体" w:cs="Times New Roman"/>
                      <w:color w:val="000000" w:themeColor="text1"/>
                      <w:szCs w:val="18"/>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44" w:type="pct"/>
                  <w:vMerge w:val="continue"/>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50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二氧化硫</w:t>
                  </w:r>
                </w:p>
              </w:tc>
              <w:tc>
                <w:tcPr>
                  <w:tcW w:w="435" w:type="pct"/>
                  <w:vMerge w:val="continue"/>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552"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14.674</w:t>
                  </w:r>
                </w:p>
              </w:tc>
              <w:tc>
                <w:tcPr>
                  <w:tcW w:w="440" w:type="pct"/>
                  <w:vMerge w:val="continue"/>
                  <w:vAlign w:val="center"/>
                </w:tcPr>
                <w:p>
                  <w:pPr>
                    <w:jc w:val="center"/>
                    <w:rPr>
                      <w:rFonts w:hint="default" w:ascii="Times New Roman" w:hAnsi="Times New Roman" w:eastAsia="宋体" w:cs="Times New Roman"/>
                      <w:color w:val="000000" w:themeColor="text1"/>
                      <w:szCs w:val="18"/>
                      <w:lang w:eastAsia="zh-CN"/>
                      <w14:textFill>
                        <w14:solidFill>
                          <w14:schemeClr w14:val="tx1"/>
                        </w14:solidFill>
                      </w14:textFill>
                    </w:rPr>
                  </w:pP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490"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14.674</w:t>
                  </w:r>
                </w:p>
              </w:tc>
              <w:tc>
                <w:tcPr>
                  <w:tcW w:w="542" w:type="pct"/>
                  <w:vMerge w:val="continue"/>
                  <w:vAlign w:val="center"/>
                </w:tcPr>
                <w:p>
                  <w:pPr>
                    <w:jc w:val="center"/>
                    <w:rPr>
                      <w:rFonts w:hint="default" w:ascii="Times New Roman" w:hAnsi="Times New Roman" w:cs="Times New Roman"/>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44" w:type="pct"/>
                  <w:vMerge w:val="continue"/>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50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氮氧化物（低氮燃烧）</w:t>
                  </w:r>
                </w:p>
              </w:tc>
              <w:tc>
                <w:tcPr>
                  <w:tcW w:w="435" w:type="pct"/>
                  <w:vMerge w:val="continue"/>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0.233</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0.909</w:t>
                  </w:r>
                </w:p>
              </w:tc>
              <w:tc>
                <w:tcPr>
                  <w:tcW w:w="552" w:type="pct"/>
                  <w:vAlign w:val="center"/>
                </w:tcPr>
                <w:p>
                  <w:pPr>
                    <w:widowControl/>
                    <w:jc w:val="center"/>
                    <w:textAlignment w:val="cente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137.509</w:t>
                  </w:r>
                </w:p>
              </w:tc>
              <w:tc>
                <w:tcPr>
                  <w:tcW w:w="440" w:type="pct"/>
                  <w:vMerge w:val="continue"/>
                  <w:vAlign w:val="center"/>
                </w:tcPr>
                <w:p>
                  <w:pPr>
                    <w:jc w:val="center"/>
                    <w:rPr>
                      <w:rFonts w:hint="default" w:ascii="Times New Roman" w:hAnsi="Times New Roman" w:eastAsia="宋体" w:cs="Times New Roman"/>
                      <w:color w:val="000000" w:themeColor="text1"/>
                      <w:szCs w:val="18"/>
                      <w:lang w:eastAsia="zh-CN"/>
                      <w14:textFill>
                        <w14:solidFill>
                          <w14:schemeClr w14:val="tx1"/>
                        </w14:solidFill>
                      </w14:textFill>
                    </w:rPr>
                  </w:pP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0.117</w:t>
                  </w:r>
                </w:p>
              </w:tc>
              <w:tc>
                <w:tcPr>
                  <w:tcW w:w="42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c>
                <w:tcPr>
                  <w:tcW w:w="49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68.755</w:t>
                  </w:r>
                </w:p>
              </w:tc>
              <w:tc>
                <w:tcPr>
                  <w:tcW w:w="542" w:type="pct"/>
                  <w:vMerge w:val="continue"/>
                  <w:vAlign w:val="center"/>
                </w:tcPr>
                <w:p>
                  <w:pPr>
                    <w:jc w:val="center"/>
                    <w:rPr>
                      <w:rFonts w:hint="default" w:ascii="Times New Roman" w:hAnsi="Times New Roman" w:cs="Times New Roman"/>
                      <w:color w:val="000000" w:themeColor="text1"/>
                      <w:szCs w:val="18"/>
                      <w14:textFill>
                        <w14:solidFill>
                          <w14:schemeClr w14:val="tx1"/>
                        </w14:solidFill>
                      </w14:textFill>
                    </w:rPr>
                  </w:pPr>
                </w:p>
              </w:tc>
            </w:tr>
          </w:tbl>
          <w:p>
            <w:pPr>
              <w:keepNext w:val="0"/>
              <w:keepLines w:val="0"/>
              <w:pageBreakBefore w:val="0"/>
              <w:widowControl/>
              <w:tabs>
                <w:tab w:val="center" w:pos="4381"/>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食堂油烟</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建设项目厂区内设置食堂一个，食堂有</w:t>
            </w:r>
            <w:r>
              <w:rPr>
                <w:rFonts w:hint="default" w:ascii="Times New Roman" w:hAnsi="Times New Roman" w:cs="Times New Roman"/>
                <w:color w:val="000000" w:themeColor="text1"/>
                <w:kern w:val="0"/>
                <w:sz w:val="24"/>
                <w:szCs w:val="20"/>
                <w:lang w:val="en-US" w:eastAsia="zh-CN"/>
                <w14:textFill>
                  <w14:solidFill>
                    <w14:schemeClr w14:val="tx1"/>
                  </w14:solidFill>
                </w14:textFill>
              </w:rPr>
              <w:t>1</w:t>
            </w:r>
            <w:r>
              <w:rPr>
                <w:rFonts w:hint="default" w:ascii="Times New Roman" w:hAnsi="Times New Roman" w:cs="Times New Roman"/>
                <w:color w:val="000000" w:themeColor="text1"/>
                <w:kern w:val="0"/>
                <w:sz w:val="24"/>
                <w:szCs w:val="20"/>
                <w14:textFill>
                  <w14:solidFill>
                    <w14:schemeClr w14:val="tx1"/>
                  </w14:solidFill>
                </w14:textFill>
              </w:rPr>
              <w:t>个基准灶头，食物在烹饪、加工过程中将挥发出油脂、有机质及热分解或裂解产物，从而产生油烟废气。食堂用餐人数约</w:t>
            </w:r>
            <w:r>
              <w:rPr>
                <w:rFonts w:hint="default" w:ascii="Times New Roman" w:hAnsi="Times New Roman" w:cs="Times New Roman"/>
                <w:color w:val="000000" w:themeColor="text1"/>
                <w:kern w:val="0"/>
                <w:sz w:val="24"/>
                <w:szCs w:val="20"/>
                <w:lang w:val="en-US" w:eastAsia="zh-CN"/>
                <w14:textFill>
                  <w14:solidFill>
                    <w14:schemeClr w14:val="tx1"/>
                  </w14:solidFill>
                </w14:textFill>
              </w:rPr>
              <w:t>20</w:t>
            </w:r>
            <w:r>
              <w:rPr>
                <w:rFonts w:hint="default" w:ascii="Times New Roman" w:hAnsi="Times New Roman" w:cs="Times New Roman"/>
                <w:color w:val="000000" w:themeColor="text1"/>
                <w:kern w:val="0"/>
                <w:sz w:val="24"/>
                <w:szCs w:val="20"/>
                <w14:textFill>
                  <w14:solidFill>
                    <w14:schemeClr w14:val="tx1"/>
                  </w14:solidFill>
                </w14:textFill>
              </w:rPr>
              <w:t>人，每日供应</w:t>
            </w:r>
            <w:r>
              <w:rPr>
                <w:rFonts w:hint="default" w:ascii="Times New Roman" w:hAnsi="Times New Roman" w:cs="Times New Roman"/>
                <w:color w:val="000000" w:themeColor="text1"/>
                <w:kern w:val="0"/>
                <w:sz w:val="24"/>
                <w:szCs w:val="20"/>
                <w:lang w:val="en-US" w:eastAsia="zh-CN"/>
                <w14:textFill>
                  <w14:solidFill>
                    <w14:schemeClr w14:val="tx1"/>
                  </w14:solidFill>
                </w14:textFill>
              </w:rPr>
              <w:t>1</w:t>
            </w:r>
            <w:r>
              <w:rPr>
                <w:rFonts w:hint="default" w:ascii="Times New Roman" w:hAnsi="Times New Roman" w:cs="Times New Roman"/>
                <w:color w:val="000000" w:themeColor="text1"/>
                <w:kern w:val="0"/>
                <w:sz w:val="24"/>
                <w:szCs w:val="20"/>
                <w14:textFill>
                  <w14:solidFill>
                    <w14:schemeClr w14:val="tx1"/>
                  </w14:solidFill>
                </w14:textFill>
              </w:rPr>
              <w:t>餐，按每人每日每餐消耗动植物油0.01kg 计，则食堂每日消耗食用油0</w:t>
            </w:r>
            <w:r>
              <w:rPr>
                <w:rFonts w:hint="default" w:ascii="Times New Roman" w:hAnsi="Times New Roman" w:cs="Times New Roman"/>
                <w:color w:val="000000" w:themeColor="text1"/>
                <w:kern w:val="0"/>
                <w:sz w:val="24"/>
                <w:szCs w:val="20"/>
                <w:lang w:val="en-US" w:eastAsia="zh-CN"/>
                <w14:textFill>
                  <w14:solidFill>
                    <w14:schemeClr w14:val="tx1"/>
                  </w14:solidFill>
                </w14:textFill>
              </w:rPr>
              <w:t>.2</w:t>
            </w:r>
            <w:r>
              <w:rPr>
                <w:rFonts w:hint="default" w:ascii="Times New Roman" w:hAnsi="Times New Roman" w:cs="Times New Roman"/>
                <w:color w:val="000000" w:themeColor="text1"/>
                <w:kern w:val="0"/>
                <w:sz w:val="24"/>
                <w:szCs w:val="20"/>
                <w14:textFill>
                  <w14:solidFill>
                    <w14:schemeClr w14:val="tx1"/>
                  </w14:solidFill>
                </w14:textFill>
              </w:rPr>
              <w:t>kg，年消耗食用油为0.</w:t>
            </w:r>
            <w:r>
              <w:rPr>
                <w:rFonts w:hint="default" w:ascii="Times New Roman" w:hAnsi="Times New Roman" w:cs="Times New Roman"/>
                <w:color w:val="000000" w:themeColor="text1"/>
                <w:kern w:val="0"/>
                <w:sz w:val="24"/>
                <w:szCs w:val="20"/>
                <w:lang w:val="en-US" w:eastAsia="zh-CN"/>
                <w14:textFill>
                  <w14:solidFill>
                    <w14:schemeClr w14:val="tx1"/>
                  </w14:solidFill>
                </w14:textFill>
              </w:rPr>
              <w:t>06</w:t>
            </w:r>
            <w:r>
              <w:rPr>
                <w:rFonts w:hint="default" w:ascii="Times New Roman" w:hAnsi="Times New Roman" w:cs="Times New Roman"/>
                <w:color w:val="000000" w:themeColor="text1"/>
                <w:kern w:val="0"/>
                <w:sz w:val="24"/>
                <w:szCs w:val="20"/>
                <w14:textFill>
                  <w14:solidFill>
                    <w14:schemeClr w14:val="tx1"/>
                  </w14:solidFill>
                </w14:textFill>
              </w:rPr>
              <w:t>t/a，油挥发一般为用油量的 1%~3%，本环评以2.5%计，则油烟产生量为0.00</w:t>
            </w:r>
            <w:r>
              <w:rPr>
                <w:rFonts w:hint="default" w:ascii="Times New Roman" w:hAnsi="Times New Roman" w:cs="Times New Roman"/>
                <w:color w:val="000000" w:themeColor="text1"/>
                <w:kern w:val="0"/>
                <w:sz w:val="24"/>
                <w:szCs w:val="20"/>
                <w:lang w:val="en-US" w:eastAsia="zh-CN"/>
                <w14:textFill>
                  <w14:solidFill>
                    <w14:schemeClr w14:val="tx1"/>
                  </w14:solidFill>
                </w14:textFill>
              </w:rPr>
              <w:t>15</w:t>
            </w:r>
            <w:r>
              <w:rPr>
                <w:rFonts w:hint="default" w:ascii="Times New Roman" w:hAnsi="Times New Roman" w:cs="Times New Roman"/>
                <w:color w:val="000000" w:themeColor="text1"/>
                <w:kern w:val="0"/>
                <w:sz w:val="24"/>
                <w:szCs w:val="20"/>
                <w14:textFill>
                  <w14:solidFill>
                    <w14:schemeClr w14:val="tx1"/>
                  </w14:solidFill>
                </w14:textFill>
              </w:rPr>
              <w:t>t/a。本项目食堂安装油烟净化设备，其净化率约为60%，则油烟排放量为0.00</w:t>
            </w:r>
            <w:r>
              <w:rPr>
                <w:rFonts w:hint="default" w:ascii="Times New Roman" w:hAnsi="Times New Roman" w:cs="Times New Roman"/>
                <w:color w:val="000000" w:themeColor="text1"/>
                <w:kern w:val="0"/>
                <w:sz w:val="24"/>
                <w:szCs w:val="20"/>
                <w:lang w:val="en-US" w:eastAsia="zh-CN"/>
                <w14:textFill>
                  <w14:solidFill>
                    <w14:schemeClr w14:val="tx1"/>
                  </w14:solidFill>
                </w14:textFill>
              </w:rPr>
              <w:t>06</w:t>
            </w:r>
            <w:r>
              <w:rPr>
                <w:rFonts w:hint="default" w:ascii="Times New Roman" w:hAnsi="Times New Roman" w:cs="Times New Roman"/>
                <w:color w:val="000000" w:themeColor="text1"/>
                <w:kern w:val="0"/>
                <w:sz w:val="24"/>
                <w:szCs w:val="20"/>
                <w14:textFill>
                  <w14:solidFill>
                    <w14:schemeClr w14:val="tx1"/>
                  </w14:solidFill>
                </w14:textFill>
              </w:rPr>
              <w:t>t/a。食堂安装油烟净化器净化油烟设计排风量为</w:t>
            </w:r>
            <w:r>
              <w:rPr>
                <w:rFonts w:hint="default" w:ascii="Times New Roman" w:hAnsi="Times New Roman" w:cs="Times New Roman"/>
                <w:color w:val="000000" w:themeColor="text1"/>
                <w:kern w:val="0"/>
                <w:sz w:val="24"/>
                <w:szCs w:val="20"/>
                <w:lang w:val="en-US" w:eastAsia="zh-CN"/>
                <w14:textFill>
                  <w14:solidFill>
                    <w14:schemeClr w14:val="tx1"/>
                  </w14:solidFill>
                </w14:textFill>
              </w:rPr>
              <w:t>2</w:t>
            </w:r>
            <w:r>
              <w:rPr>
                <w:rFonts w:hint="default" w:ascii="Times New Roman" w:hAnsi="Times New Roman" w:cs="Times New Roman"/>
                <w:color w:val="000000" w:themeColor="text1"/>
                <w:kern w:val="0"/>
                <w:sz w:val="24"/>
                <w:szCs w:val="20"/>
                <w14:textFill>
                  <w14:solidFill>
                    <w14:schemeClr w14:val="tx1"/>
                  </w14:solidFill>
                </w14:textFill>
              </w:rPr>
              <w:t>000m</w:t>
            </w:r>
            <w:r>
              <w:rPr>
                <w:rFonts w:hint="default" w:ascii="Times New Roman" w:hAnsi="Times New Roman" w:cs="Times New Roman"/>
                <w:color w:val="000000" w:themeColor="text1"/>
                <w:kern w:val="0"/>
                <w:sz w:val="24"/>
                <w:szCs w:val="20"/>
                <w:vertAlign w:val="superscript"/>
                <w14:textFill>
                  <w14:solidFill>
                    <w14:schemeClr w14:val="tx1"/>
                  </w14:solidFill>
                </w14:textFill>
              </w:rPr>
              <w:t>3</w:t>
            </w:r>
            <w:r>
              <w:rPr>
                <w:rFonts w:hint="default" w:ascii="Times New Roman" w:hAnsi="Times New Roman" w:cs="Times New Roman"/>
                <w:color w:val="000000" w:themeColor="text1"/>
                <w:kern w:val="0"/>
                <w:sz w:val="24"/>
                <w:szCs w:val="20"/>
                <w14:textFill>
                  <w14:solidFill>
                    <w14:schemeClr w14:val="tx1"/>
                  </w14:solidFill>
                </w14:textFill>
              </w:rPr>
              <w:t>/h，日运转约</w:t>
            </w:r>
            <w:r>
              <w:rPr>
                <w:rFonts w:hint="default" w:ascii="Times New Roman" w:hAnsi="Times New Roman" w:cs="Times New Roman"/>
                <w:color w:val="000000" w:themeColor="text1"/>
                <w:kern w:val="0"/>
                <w:sz w:val="24"/>
                <w:szCs w:val="20"/>
                <w:lang w:val="en-US" w:eastAsia="zh-CN"/>
                <w14:textFill>
                  <w14:solidFill>
                    <w14:schemeClr w14:val="tx1"/>
                  </w14:solidFill>
                </w14:textFill>
              </w:rPr>
              <w:t>2</w:t>
            </w:r>
            <w:r>
              <w:rPr>
                <w:rFonts w:hint="default" w:ascii="Times New Roman" w:hAnsi="Times New Roman" w:cs="Times New Roman"/>
                <w:color w:val="000000" w:themeColor="text1"/>
                <w:kern w:val="0"/>
                <w:sz w:val="24"/>
                <w:szCs w:val="20"/>
                <w14:textFill>
                  <w14:solidFill>
                    <w14:schemeClr w14:val="tx1"/>
                  </w14:solidFill>
                </w14:textFill>
              </w:rPr>
              <w:t>小时，计算得知本项目油烟排放浓度为0.</w:t>
            </w:r>
            <w:r>
              <w:rPr>
                <w:rFonts w:hint="default" w:ascii="Times New Roman" w:hAnsi="Times New Roman" w:cs="Times New Roman"/>
                <w:color w:val="000000" w:themeColor="text1"/>
                <w:kern w:val="0"/>
                <w:sz w:val="24"/>
                <w:szCs w:val="20"/>
                <w:lang w:val="en-US" w:eastAsia="zh-CN"/>
                <w14:textFill>
                  <w14:solidFill>
                    <w14:schemeClr w14:val="tx1"/>
                  </w14:solidFill>
                </w14:textFill>
              </w:rPr>
              <w:t>5</w:t>
            </w:r>
            <w:r>
              <w:rPr>
                <w:rFonts w:hint="default" w:ascii="Times New Roman" w:hAnsi="Times New Roman" w:cs="Times New Roman"/>
                <w:color w:val="000000" w:themeColor="text1"/>
                <w:kern w:val="0"/>
                <w:sz w:val="24"/>
                <w:szCs w:val="20"/>
                <w14:textFill>
                  <w14:solidFill>
                    <w14:schemeClr w14:val="tx1"/>
                  </w14:solidFill>
                </w14:textFill>
              </w:rPr>
              <w:t>mg/m</w:t>
            </w:r>
            <w:r>
              <w:rPr>
                <w:rFonts w:hint="default" w:ascii="Times New Roman" w:hAnsi="Times New Roman" w:cs="Times New Roman"/>
                <w:color w:val="000000" w:themeColor="text1"/>
                <w:kern w:val="0"/>
                <w:sz w:val="24"/>
                <w:szCs w:val="20"/>
                <w:vertAlign w:val="superscript"/>
                <w14:textFill>
                  <w14:solidFill>
                    <w14:schemeClr w14:val="tx1"/>
                  </w14:solidFill>
                </w14:textFill>
              </w:rPr>
              <w:t>3</w:t>
            </w:r>
            <w:r>
              <w:rPr>
                <w:rFonts w:hint="default" w:ascii="Times New Roman" w:hAnsi="Times New Roman" w:cs="Times New Roman"/>
                <w:color w:val="000000" w:themeColor="text1"/>
                <w:kern w:val="0"/>
                <w:sz w:val="24"/>
                <w:szCs w:val="20"/>
                <w14:textFill>
                  <w14:solidFill>
                    <w14:schemeClr w14:val="tx1"/>
                  </w14:solidFill>
                </w14:textFill>
              </w:rPr>
              <w:t>，能够满足《饮食业油烟排放标准》（试行）（GB18483-2001）</w:t>
            </w:r>
            <w:r>
              <w:rPr>
                <w:rFonts w:hint="default" w:ascii="Times New Roman" w:hAnsi="Times New Roman" w:cs="Times New Roman"/>
                <w:color w:val="000000" w:themeColor="text1"/>
                <w:kern w:val="0"/>
                <w:sz w:val="24"/>
                <w:szCs w:val="20"/>
                <w:lang w:eastAsia="zh-CN"/>
                <w14:textFill>
                  <w14:solidFill>
                    <w14:schemeClr w14:val="tx1"/>
                  </w14:solidFill>
                </w14:textFill>
              </w:rPr>
              <w:t>小型规模</w:t>
            </w:r>
            <w:r>
              <w:rPr>
                <w:rFonts w:hint="default" w:ascii="Times New Roman" w:hAnsi="Times New Roman" w:cs="Times New Roman"/>
                <w:color w:val="000000" w:themeColor="text1"/>
                <w:kern w:val="0"/>
                <w:sz w:val="24"/>
                <w:szCs w:val="20"/>
                <w14:textFill>
                  <w14:solidFill>
                    <w14:schemeClr w14:val="tx1"/>
                  </w14:solidFill>
                </w14:textFill>
              </w:rPr>
              <w:t>中规定最高允许排放浓度（2.0mg/m</w:t>
            </w:r>
            <w:r>
              <w:rPr>
                <w:rFonts w:hint="default" w:ascii="Times New Roman" w:hAnsi="Times New Roman" w:cs="Times New Roman"/>
                <w:color w:val="000000" w:themeColor="text1"/>
                <w:kern w:val="0"/>
                <w:sz w:val="24"/>
                <w:szCs w:val="20"/>
                <w:vertAlign w:val="superscript"/>
                <w14:textFill>
                  <w14:solidFill>
                    <w14:schemeClr w14:val="tx1"/>
                  </w14:solidFill>
                </w14:textFill>
              </w:rPr>
              <w:t>3</w:t>
            </w:r>
            <w:r>
              <w:rPr>
                <w:rFonts w:hint="default" w:ascii="Times New Roman" w:hAnsi="Times New Roman" w:cs="Times New Roman"/>
                <w:color w:val="000000" w:themeColor="text1"/>
                <w:kern w:val="0"/>
                <w:sz w:val="24"/>
                <w:szCs w:val="20"/>
                <w14:textFill>
                  <w14:solidFill>
                    <w14:schemeClr w14:val="tx1"/>
                  </w14:solidFill>
                </w14:textFill>
              </w:rPr>
              <w:t>）的限值。</w:t>
            </w:r>
          </w:p>
          <w:p>
            <w:pPr>
              <w:pStyle w:val="21"/>
              <w:rPr>
                <w:rFonts w:hint="default" w:ascii="Times New Roman" w:hAnsi="Times New Roman" w:cs="Times New Roman"/>
                <w:color w:val="000000" w:themeColor="text1"/>
                <w:spacing w:val="-2"/>
                <w:kern w:val="28"/>
                <w:sz w:val="24"/>
                <w:lang w:val="en-US" w:eastAsia="zh-CN"/>
                <w14:textFill>
                  <w14:solidFill>
                    <w14:schemeClr w14:val="tx1"/>
                  </w14:solidFill>
                </w14:textFill>
              </w:rPr>
            </w:pPr>
          </w:p>
        </w:tc>
      </w:tr>
    </w:tbl>
    <w:p>
      <w:pPr>
        <w:pStyle w:val="29"/>
        <w:widowControl/>
        <w:numPr>
          <w:ilvl w:val="0"/>
          <w:numId w:val="0"/>
        </w:numPr>
        <w:spacing w:before="100" w:beforeAutospacing="1" w:after="100" w:afterAutospacing="1"/>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3" w:hRule="atLeast"/>
        </w:trPr>
        <w:tc>
          <w:tcPr>
            <w:tcW w:w="171" w:type="pct"/>
            <w:noWrap w:val="0"/>
            <w:vAlign w:val="center"/>
          </w:tcPr>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保护</w:t>
            </w:r>
          </w:p>
          <w:p>
            <w:pPr>
              <w:pStyle w:val="29"/>
              <w:adjustRightInd w:val="0"/>
              <w:snapToGrid w:val="0"/>
              <w:spacing w:before="0" w:beforeAutospacing="0" w:after="0" w:afterAutospacing="0"/>
              <w:jc w:val="center"/>
              <w:outlineLvl w:val="0"/>
              <w:rPr>
                <w:rFonts w:hint="default" w:ascii="Times New Roman" w:hAnsi="Times New Roman" w:cs="Times New Roman"/>
                <w:b/>
                <w:bCs/>
                <w:color w:val="000000" w:themeColor="text1"/>
                <w:szCs w:val="24"/>
                <w14:textFill>
                  <w14:solidFill>
                    <w14:schemeClr w14:val="tx1"/>
                  </w14:solidFill>
                </w14:textFill>
              </w:rPr>
            </w:pPr>
            <w:bookmarkStart w:id="6" w:name="_Toc100500060"/>
            <w:r>
              <w:rPr>
                <w:rFonts w:hint="default" w:ascii="Times New Roman" w:hAnsi="Times New Roman" w:cs="Times New Roman"/>
                <w:bCs/>
                <w:color w:val="000000" w:themeColor="text1"/>
                <w14:textFill>
                  <w14:solidFill>
                    <w14:schemeClr w14:val="tx1"/>
                  </w14:solidFill>
                </w14:textFill>
              </w:rPr>
              <w:t>措施</w:t>
            </w:r>
            <w:bookmarkEnd w:id="6"/>
          </w:p>
        </w:tc>
        <w:tc>
          <w:tcPr>
            <w:tcW w:w="4828" w:type="pct"/>
            <w:noWrap w:val="0"/>
            <w:vAlign w:val="top"/>
          </w:tcPr>
          <w:p>
            <w:pPr>
              <w:pStyle w:val="2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 xml:space="preserve">     一、废气</w:t>
            </w:r>
          </w:p>
          <w:p>
            <w:pPr>
              <w:pStyle w:val="2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1、废气污染源排放情况</w:t>
            </w:r>
          </w:p>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bookmarkStart w:id="7" w:name="OLE_LINK2"/>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表4-</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9</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14:textFill>
                  <w14:solidFill>
                    <w14:schemeClr w14:val="tx1"/>
                  </w14:solidFill>
                </w14:textFill>
              </w:rPr>
              <w:t>项目有组织废气产生、治理及排放状况表</w:t>
            </w:r>
            <w:bookmarkEnd w:id="7"/>
          </w:p>
          <w:tbl>
            <w:tblPr>
              <w:tblStyle w:val="3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96"/>
              <w:gridCol w:w="1027"/>
              <w:gridCol w:w="935"/>
              <w:gridCol w:w="584"/>
              <w:gridCol w:w="584"/>
              <w:gridCol w:w="689"/>
              <w:gridCol w:w="2211"/>
              <w:gridCol w:w="369"/>
              <w:gridCol w:w="496"/>
              <w:gridCol w:w="448"/>
              <w:gridCol w:w="479"/>
              <w:gridCol w:w="584"/>
              <w:gridCol w:w="686"/>
              <w:gridCol w:w="591"/>
              <w:gridCol w:w="403"/>
              <w:gridCol w:w="426"/>
              <w:gridCol w:w="265"/>
              <w:gridCol w:w="306"/>
              <w:gridCol w:w="266"/>
              <w:gridCol w:w="590"/>
              <w:gridCol w:w="6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53" w:hRule="atLeast"/>
                <w:jc w:val="center"/>
              </w:trPr>
              <w:tc>
                <w:tcPr>
                  <w:tcW w:w="0" w:type="auto"/>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排放源编号</w:t>
                  </w:r>
                </w:p>
              </w:tc>
              <w:tc>
                <w:tcPr>
                  <w:tcW w:w="1027" w:type="dxa"/>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污染源</w:t>
                  </w:r>
                </w:p>
              </w:tc>
              <w:tc>
                <w:tcPr>
                  <w:tcW w:w="935" w:type="dxa"/>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名称</w:t>
                  </w:r>
                </w:p>
              </w:tc>
              <w:tc>
                <w:tcPr>
                  <w:tcW w:w="1857" w:type="dxa"/>
                  <w:gridSpan w:val="3"/>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产生状况</w:t>
                  </w:r>
                </w:p>
              </w:tc>
              <w:tc>
                <w:tcPr>
                  <w:tcW w:w="0" w:type="auto"/>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处理措施</w:t>
                  </w:r>
                </w:p>
              </w:tc>
              <w:tc>
                <w:tcPr>
                  <w:tcW w:w="0" w:type="auto"/>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是否为可行技术*</w:t>
                  </w:r>
                </w:p>
              </w:tc>
              <w:tc>
                <w:tcPr>
                  <w:tcW w:w="0" w:type="auto"/>
                  <w:vMerge w:val="restart"/>
                  <w:vAlign w:val="center"/>
                </w:tcPr>
                <w:p>
                  <w:pPr>
                    <w:overflowPunct w:val="0"/>
                    <w:adjustRightInd w:val="0"/>
                    <w:snapToGrid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收集效率</w:t>
                  </w:r>
                </w:p>
              </w:tc>
              <w:tc>
                <w:tcPr>
                  <w:tcW w:w="448" w:type="dxa"/>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去除率</w:t>
                  </w:r>
                </w:p>
              </w:tc>
              <w:tc>
                <w:tcPr>
                  <w:tcW w:w="1749" w:type="dxa"/>
                  <w:gridSpan w:val="3"/>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排放状况</w:t>
                  </w:r>
                </w:p>
              </w:tc>
              <w:tc>
                <w:tcPr>
                  <w:tcW w:w="0" w:type="auto"/>
                  <w:gridSpan w:val="2"/>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执行标准</w:t>
                  </w:r>
                </w:p>
              </w:tc>
              <w:tc>
                <w:tcPr>
                  <w:tcW w:w="0" w:type="auto"/>
                  <w:vMerge w:val="restart"/>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达标情况</w:t>
                  </w:r>
                </w:p>
              </w:tc>
              <w:tc>
                <w:tcPr>
                  <w:tcW w:w="0" w:type="auto"/>
                  <w:gridSpan w:val="4"/>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排气筒参数</w:t>
                  </w:r>
                </w:p>
              </w:tc>
              <w:tc>
                <w:tcPr>
                  <w:tcW w:w="0" w:type="auto"/>
                  <w:vMerge w:val="restart"/>
                  <w:vAlign w:val="center"/>
                </w:tcPr>
                <w:p>
                  <w:pPr>
                    <w:overflowPunct w:val="0"/>
                    <w:adjustRightInd w:val="0"/>
                    <w:snapToGrid w:val="0"/>
                    <w:spacing w:before="40" w:after="60" w:line="200" w:lineRule="atLeast"/>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年排放时间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5" w:hRule="atLeast"/>
                <w:jc w:val="center"/>
              </w:trPr>
              <w:tc>
                <w:tcPr>
                  <w:tcW w:w="0" w:type="auto"/>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1027" w:type="dxa"/>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935" w:type="dxa"/>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584" w:type="dxa"/>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kg/h</w:t>
                  </w:r>
                </w:p>
              </w:tc>
              <w:tc>
                <w:tcPr>
                  <w:tcW w:w="0" w:type="auto"/>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t/a</w:t>
                  </w:r>
                </w:p>
              </w:tc>
              <w:tc>
                <w:tcPr>
                  <w:tcW w:w="0" w:type="auto"/>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sz w:val="22"/>
                      <w:szCs w:val="28"/>
                      <w:vertAlign w:val="superscript"/>
                      <w14:textFill>
                        <w14:solidFill>
                          <w14:schemeClr w14:val="tx1"/>
                        </w14:solidFill>
                      </w14:textFill>
                    </w:rPr>
                    <w:t>3</w:t>
                  </w:r>
                </w:p>
              </w:tc>
              <w:tc>
                <w:tcPr>
                  <w:tcW w:w="0" w:type="auto"/>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0" w:type="auto"/>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0" w:type="auto"/>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448" w:type="dxa"/>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479" w:type="dxa"/>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kg/h</w:t>
                  </w:r>
                </w:p>
              </w:tc>
              <w:tc>
                <w:tcPr>
                  <w:tcW w:w="584" w:type="dxa"/>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t/a</w:t>
                  </w:r>
                </w:p>
              </w:tc>
              <w:tc>
                <w:tcPr>
                  <w:tcW w:w="686" w:type="dxa"/>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sz w:val="22"/>
                      <w:szCs w:val="28"/>
                      <w:vertAlign w:val="superscript"/>
                      <w14:textFill>
                        <w14:solidFill>
                          <w14:schemeClr w14:val="tx1"/>
                        </w14:solidFill>
                      </w14:textFill>
                    </w:rPr>
                    <w:t>3</w:t>
                  </w:r>
                </w:p>
              </w:tc>
              <w:tc>
                <w:tcPr>
                  <w:tcW w:w="0" w:type="auto"/>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sz w:val="22"/>
                      <w:szCs w:val="28"/>
                      <w:vertAlign w:val="superscript"/>
                      <w14:textFill>
                        <w14:solidFill>
                          <w14:schemeClr w14:val="tx1"/>
                        </w14:solidFill>
                      </w14:textFill>
                    </w:rPr>
                    <w:t>3</w:t>
                  </w:r>
                </w:p>
              </w:tc>
              <w:tc>
                <w:tcPr>
                  <w:tcW w:w="0" w:type="auto"/>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kg/h</w:t>
                  </w:r>
                </w:p>
              </w:tc>
              <w:tc>
                <w:tcPr>
                  <w:tcW w:w="0" w:type="auto"/>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c>
                <w:tcPr>
                  <w:tcW w:w="265" w:type="dxa"/>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高度</w:t>
                  </w:r>
                </w:p>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m</w:t>
                  </w:r>
                </w:p>
              </w:tc>
              <w:tc>
                <w:tcPr>
                  <w:tcW w:w="306" w:type="dxa"/>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直径</w:t>
                  </w:r>
                </w:p>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m</w:t>
                  </w:r>
                </w:p>
              </w:tc>
              <w:tc>
                <w:tcPr>
                  <w:tcW w:w="0" w:type="auto"/>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温度</w:t>
                  </w:r>
                </w:p>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p>
              </w:tc>
              <w:tc>
                <w:tcPr>
                  <w:tcW w:w="0" w:type="auto"/>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排气量</w:t>
                  </w:r>
                </w:p>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Nm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/h</w:t>
                  </w:r>
                </w:p>
              </w:tc>
              <w:tc>
                <w:tcPr>
                  <w:tcW w:w="0" w:type="auto"/>
                  <w:vMerge w:val="continue"/>
                  <w:vAlign w:val="center"/>
                </w:tcPr>
                <w:p>
                  <w:pPr>
                    <w:overflowPunct w:val="0"/>
                    <w:adjustRightInd w:val="0"/>
                    <w:snapToGrid w:val="0"/>
                    <w:jc w:val="center"/>
                    <w:textAlignment w:val="baseline"/>
                    <w:rPr>
                      <w:rFonts w:hint="default" w:ascii="Times New Roman" w:hAnsi="Times New Roman" w:cs="Times New Roman"/>
                      <w:b/>
                      <w:bCs/>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0" w:type="auto"/>
                  <w:vMerge w:val="restart"/>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bookmarkStart w:id="8" w:name="OLE_LINK5" w:colFirst="3" w:colLast="5"/>
                  <w:r>
                    <w:rPr>
                      <w:rFonts w:hint="default" w:ascii="Times New Roman" w:hAnsi="Times New Roman" w:cs="Times New Roman"/>
                      <w:color w:val="000000" w:themeColor="text1"/>
                      <w14:textFill>
                        <w14:solidFill>
                          <w14:schemeClr w14:val="tx1"/>
                        </w14:solidFill>
                      </w14:textFill>
                    </w:rPr>
                    <w:t>DA001</w:t>
                  </w:r>
                </w:p>
              </w:tc>
              <w:tc>
                <w:tcPr>
                  <w:tcW w:w="1027" w:type="dxa"/>
                  <w:vMerge w:val="restart"/>
                  <w:vAlign w:val="center"/>
                </w:tcPr>
                <w:p>
                  <w:pPr>
                    <w:jc w:val="center"/>
                    <w:rPr>
                      <w:rFonts w:hint="default" w:ascii="Times New Roman" w:hAnsi="Times New Roman" w:eastAsia="宋体" w:cs="Times New Roman"/>
                      <w:color w:val="000000" w:themeColor="text1"/>
                      <w:lang w:val="en-GB"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熔化</w:t>
                  </w:r>
                  <w:r>
                    <w:rPr>
                      <w:rFonts w:hint="default" w:ascii="Times New Roman" w:hAnsi="Times New Roman" w:cs="Times New Roman"/>
                      <w:color w:val="000000" w:themeColor="text1"/>
                      <w:szCs w:val="18"/>
                      <w:lang w:val="en-US" w:eastAsia="zh-CN"/>
                      <w14:textFill>
                        <w14:solidFill>
                          <w14:schemeClr w14:val="tx1"/>
                        </w14:solidFill>
                      </w14:textFill>
                    </w:rPr>
                    <w:t>、压铸、脱膜废气</w:t>
                  </w:r>
                </w:p>
              </w:tc>
              <w:tc>
                <w:tcPr>
                  <w:tcW w:w="935" w:type="dxa"/>
                  <w:tcBorders>
                    <w:bottom w:val="single" w:color="auto" w:sz="4" w:space="0"/>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584" w:type="dxa"/>
                  <w:tcBorders>
                    <w:bottom w:val="single" w:color="auto" w:sz="4" w:space="0"/>
                  </w:tcBorders>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0.851</w:t>
                  </w:r>
                </w:p>
              </w:tc>
              <w:tc>
                <w:tcPr>
                  <w:tcW w:w="584" w:type="dxa"/>
                  <w:tcBorders>
                    <w:bottom w:val="single" w:color="auto" w:sz="4" w:space="0"/>
                  </w:tcBorders>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3.32</w:t>
                  </w:r>
                </w:p>
              </w:tc>
              <w:tc>
                <w:tcPr>
                  <w:tcW w:w="68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56.752</w:t>
                  </w:r>
                </w:p>
              </w:tc>
              <w:tc>
                <w:tcPr>
                  <w:tcW w:w="0" w:type="auto"/>
                  <w:vMerge w:val="restart"/>
                  <w:vAlign w:val="center"/>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496" w:type="dxa"/>
                  <w:vMerge w:val="restar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w:t>
                  </w:r>
                </w:p>
              </w:tc>
              <w:tc>
                <w:tcPr>
                  <w:tcW w:w="448"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47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0.017</w:t>
                  </w:r>
                </w:p>
              </w:tc>
              <w:tc>
                <w:tcPr>
                  <w:tcW w:w="584"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0.066</w:t>
                  </w:r>
                </w:p>
              </w:tc>
              <w:tc>
                <w:tcPr>
                  <w:tcW w:w="686"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1.128</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0" w:type="auto"/>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达标</w:t>
                  </w:r>
                </w:p>
              </w:tc>
              <w:tc>
                <w:tcPr>
                  <w:tcW w:w="265"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306"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0.7</w:t>
                  </w:r>
                </w:p>
              </w:tc>
              <w:tc>
                <w:tcPr>
                  <w:tcW w:w="0" w:type="auto"/>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0" w:type="auto"/>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150</w:t>
                  </w:r>
                  <w:r>
                    <w:rPr>
                      <w:rFonts w:hint="default" w:ascii="Times New Roman" w:hAnsi="Times New Roman" w:eastAsia="宋体" w:cs="Times New Roman"/>
                      <w:color w:val="000000" w:themeColor="text1"/>
                      <w:szCs w:val="18"/>
                      <w:lang w:val="en-US" w:eastAsia="zh-CN"/>
                      <w14:textFill>
                        <w14:solidFill>
                          <w14:schemeClr w14:val="tx1"/>
                        </w14:solidFill>
                      </w14:textFill>
                    </w:rPr>
                    <w:t>00</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390</w:t>
                  </w:r>
                  <w:r>
                    <w:rPr>
                      <w:rFonts w:hint="default" w:ascii="Times New Roman" w:hAnsi="Times New Roman" w:cs="Times New Roman"/>
                      <w:color w:val="000000" w:themeColor="text1"/>
                      <w14:textFill>
                        <w14:solidFill>
                          <w14:schemeClr w14:val="tx1"/>
                        </w14:solidFill>
                      </w14:textFill>
                    </w:rPr>
                    <w:t>0h</w:t>
                  </w:r>
                </w:p>
              </w:tc>
            </w:tr>
            <w:bookmarkEnd w:id="8"/>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0" w:type="auto"/>
                  <w:vMerge w:val="continue"/>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027" w:type="dxa"/>
                  <w:vMerge w:val="continue"/>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935" w:type="dxa"/>
                  <w:tcBorders>
                    <w:bottom w:val="single" w:color="auto" w:sz="4" w:space="0"/>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584"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0.106</w:t>
                  </w:r>
                </w:p>
              </w:tc>
              <w:tc>
                <w:tcPr>
                  <w:tcW w:w="584"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0.414</w:t>
                  </w:r>
                </w:p>
              </w:tc>
              <w:tc>
                <w:tcPr>
                  <w:tcW w:w="68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7.077</w:t>
                  </w:r>
                </w:p>
              </w:tc>
              <w:tc>
                <w:tcPr>
                  <w:tcW w:w="0" w:type="auto"/>
                  <w:vMerge w:val="continue"/>
                  <w:vAlign w:val="center"/>
                </w:tcPr>
                <w:p>
                  <w:pPr>
                    <w:jc w:val="center"/>
                    <w:rPr>
                      <w:rFonts w:hint="default" w:ascii="Times New Roman" w:hAnsi="Times New Roman" w:cs="Times New Roman"/>
                      <w:color w:val="000000" w:themeColor="text1"/>
                      <w:szCs w:val="18"/>
                      <w:lang w:eastAsia="zh-CN"/>
                      <w14:textFill>
                        <w14:solidFill>
                          <w14:schemeClr w14:val="tx1"/>
                        </w14:solidFill>
                      </w14:textFill>
                    </w:rPr>
                  </w:pP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496" w:type="dxa"/>
                  <w:vMerge w:val="continue"/>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448"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w:t>
                  </w:r>
                </w:p>
              </w:tc>
              <w:tc>
                <w:tcPr>
                  <w:tcW w:w="47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0.011</w:t>
                  </w:r>
                </w:p>
              </w:tc>
              <w:tc>
                <w:tcPr>
                  <w:tcW w:w="584"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0.041</w:t>
                  </w:r>
                </w:p>
              </w:tc>
              <w:tc>
                <w:tcPr>
                  <w:tcW w:w="686"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0.701</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0" w:type="auto"/>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达标</w:t>
                  </w:r>
                </w:p>
              </w:tc>
              <w:tc>
                <w:tcPr>
                  <w:tcW w:w="265"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306"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0.7</w:t>
                  </w:r>
                </w:p>
              </w:tc>
              <w:tc>
                <w:tcPr>
                  <w:tcW w:w="266"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590"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150</w:t>
                  </w:r>
                  <w:r>
                    <w:rPr>
                      <w:rFonts w:hint="default" w:ascii="Times New Roman" w:hAnsi="Times New Roman" w:eastAsia="宋体" w:cs="Times New Roman"/>
                      <w:color w:val="000000" w:themeColor="text1"/>
                      <w:szCs w:val="18"/>
                      <w:lang w:val="en-US" w:eastAsia="zh-CN"/>
                      <w14:textFill>
                        <w14:solidFill>
                          <w14:schemeClr w14:val="tx1"/>
                        </w14:solidFill>
                      </w14:textFill>
                    </w:rPr>
                    <w:t>00</w:t>
                  </w:r>
                </w:p>
              </w:tc>
              <w:tc>
                <w:tcPr>
                  <w:tcW w:w="655"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390</w:t>
                  </w:r>
                  <w:r>
                    <w:rPr>
                      <w:rFonts w:hint="default" w:ascii="Times New Roman" w:hAnsi="Times New Roman" w:cs="Times New Roman"/>
                      <w:color w:val="000000" w:themeColor="text1"/>
                      <w14:textFill>
                        <w14:solidFill>
                          <w14:schemeClr w14:val="tx1"/>
                        </w14:solidFill>
                      </w14:textFill>
                    </w:rPr>
                    <w:t>0h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22" w:hRule="atLeast"/>
                <w:jc w:val="center"/>
              </w:trPr>
              <w:tc>
                <w:tcPr>
                  <w:tcW w:w="0" w:type="auto"/>
                  <w:vMerge w:val="restart"/>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DA002</w:t>
                  </w:r>
                </w:p>
              </w:tc>
              <w:tc>
                <w:tcPr>
                  <w:tcW w:w="102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18"/>
                      <w:lang w:eastAsia="zh-CN"/>
                      <w14:textFill>
                        <w14:solidFill>
                          <w14:schemeClr w14:val="tx1"/>
                        </w14:solidFill>
                      </w14:textFill>
                    </w:rPr>
                    <w:t>抛</w:t>
                  </w:r>
                  <w:r>
                    <w:rPr>
                      <w:rFonts w:hint="default" w:ascii="Times New Roman" w:hAnsi="Times New Roman" w:cs="Times New Roman"/>
                      <w:bCs/>
                      <w:color w:val="000000" w:themeColor="text1"/>
                      <w:szCs w:val="18"/>
                      <w:lang w:eastAsia="zh-CN"/>
                      <w14:textFill>
                        <w14:solidFill>
                          <w14:schemeClr w14:val="tx1"/>
                        </w14:solidFill>
                      </w14:textFill>
                    </w:rPr>
                    <w:t>丸</w:t>
                  </w:r>
                </w:p>
              </w:tc>
              <w:tc>
                <w:tcPr>
                  <w:tcW w:w="935" w:type="dxa"/>
                  <w:vMerge w:val="restart"/>
                  <w:vAlign w:val="center"/>
                </w:tcPr>
                <w:p>
                  <w:pPr>
                    <w:keepNext w:val="0"/>
                    <w:keepLines w:val="0"/>
                    <w:pageBreakBefore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584" w:type="dxa"/>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2.549</w:t>
                  </w:r>
                </w:p>
              </w:tc>
              <w:tc>
                <w:tcPr>
                  <w:tcW w:w="0" w:type="auto"/>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6.11</w:t>
                  </w:r>
                </w:p>
              </w:tc>
              <w:tc>
                <w:tcPr>
                  <w:tcW w:w="0" w:type="auto"/>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363.69</w:t>
                  </w:r>
                </w:p>
              </w:tc>
              <w:tc>
                <w:tcPr>
                  <w:tcW w:w="0" w:type="auto"/>
                  <w:vMerge w:val="restart"/>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抛丸机密闭，设置抽风管道收集+自带布袋除尘器；</w:t>
                  </w:r>
                  <w:r>
                    <w:rPr>
                      <w:rFonts w:hint="default" w:ascii="Times New Roman" w:hAnsi="Times New Roman" w:cs="Times New Roman"/>
                      <w:bCs/>
                      <w:color w:val="000000" w:themeColor="text1"/>
                      <w:szCs w:val="18"/>
                      <w:lang w:val="en-US" w:eastAsia="zh-CN"/>
                      <w14:textFill>
                        <w14:solidFill>
                          <w14:schemeClr w14:val="tx1"/>
                        </w14:solidFill>
                      </w14:textFill>
                    </w:rPr>
                    <w:t>砂磨</w:t>
                  </w:r>
                  <w:r>
                    <w:rPr>
                      <w:rFonts w:hint="default" w:ascii="Times New Roman" w:hAnsi="Times New Roman" w:eastAsia="宋体" w:cs="Times New Roman"/>
                      <w:bCs/>
                      <w:color w:val="000000" w:themeColor="text1"/>
                      <w:szCs w:val="18"/>
                      <w:lang w:val="en-US" w:eastAsia="zh-CN"/>
                      <w14:textFill>
                        <w14:solidFill>
                          <w14:schemeClr w14:val="tx1"/>
                        </w14:solidFill>
                      </w14:textFill>
                    </w:rPr>
                    <w:t>抛光机</w:t>
                  </w:r>
                  <w:r>
                    <w:rPr>
                      <w:rFonts w:hint="default" w:ascii="Times New Roman" w:hAnsi="Times New Roman" w:cs="Times New Roman"/>
                      <w:bCs/>
                      <w:color w:val="000000" w:themeColor="text1"/>
                      <w:szCs w:val="18"/>
                      <w:lang w:val="en-US" w:eastAsia="zh-CN"/>
                      <w14:textFill>
                        <w14:solidFill>
                          <w14:schemeClr w14:val="tx1"/>
                        </w14:solidFill>
                      </w14:textFill>
                    </w:rPr>
                    <w:t>经侧吸三面封闭集气罩</w:t>
                  </w:r>
                  <w:r>
                    <w:rPr>
                      <w:rFonts w:hint="default" w:ascii="Times New Roman" w:hAnsi="Times New Roman" w:eastAsia="宋体" w:cs="Times New Roman"/>
                      <w:bCs/>
                      <w:color w:val="000000" w:themeColor="text1"/>
                      <w:szCs w:val="18"/>
                      <w:lang w:val="en-US" w:eastAsia="zh-CN"/>
                      <w14:textFill>
                        <w14:solidFill>
                          <w14:schemeClr w14:val="tx1"/>
                        </w14:solidFill>
                      </w14:textFill>
                    </w:rPr>
                    <w:t>收集</w:t>
                  </w:r>
                  <w:r>
                    <w:rPr>
                      <w:rFonts w:hint="default" w:ascii="Times New Roman" w:hAnsi="Times New Roman" w:cs="Times New Roman"/>
                      <w:bCs/>
                      <w:color w:val="000000" w:themeColor="text1"/>
                      <w:szCs w:val="18"/>
                      <w:lang w:val="en-US" w:eastAsia="zh-CN"/>
                      <w14:textFill>
                        <w14:solidFill>
                          <w14:schemeClr w14:val="tx1"/>
                        </w14:solidFill>
                      </w14:textFill>
                    </w:rPr>
                    <w:t>+</w:t>
                  </w:r>
                  <w:r>
                    <w:rPr>
                      <w:rFonts w:hint="default" w:ascii="Times New Roman" w:hAnsi="Times New Roman" w:eastAsia="宋体" w:cs="Times New Roman"/>
                      <w:bCs/>
                      <w:color w:val="000000" w:themeColor="text1"/>
                      <w:szCs w:val="18"/>
                      <w:lang w:val="en-US" w:eastAsia="zh-CN"/>
                      <w14:textFill>
                        <w14:solidFill>
                          <w14:schemeClr w14:val="tx1"/>
                        </w14:solidFill>
                      </w14:textFill>
                    </w:rPr>
                    <w:t>自带的湿式除尘器处理</w:t>
                  </w:r>
                </w:p>
              </w:tc>
              <w:tc>
                <w:tcPr>
                  <w:tcW w:w="0" w:type="auto"/>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w:t>
                  </w:r>
                </w:p>
              </w:tc>
              <w:tc>
                <w:tcPr>
                  <w:tcW w:w="448" w:type="dxa"/>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99</w:t>
                  </w: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479" w:type="dxa"/>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0.025</w:t>
                  </w:r>
                </w:p>
              </w:tc>
              <w:tc>
                <w:tcPr>
                  <w:tcW w:w="584" w:type="dxa"/>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0.061</w:t>
                  </w:r>
                </w:p>
              </w:tc>
              <w:tc>
                <w:tcPr>
                  <w:tcW w:w="686" w:type="dxa"/>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3.631</w:t>
                  </w:r>
                </w:p>
              </w:tc>
              <w:tc>
                <w:tcPr>
                  <w:tcW w:w="0" w:type="auto"/>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30</w:t>
                  </w:r>
                </w:p>
              </w:tc>
              <w:tc>
                <w:tcPr>
                  <w:tcW w:w="0" w:type="auto"/>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达标</w:t>
                  </w:r>
                </w:p>
              </w:tc>
              <w:tc>
                <w:tcPr>
                  <w:tcW w:w="265" w:type="dxa"/>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306" w:type="dxa"/>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0.5</w:t>
                  </w:r>
                </w:p>
              </w:tc>
              <w:tc>
                <w:tcPr>
                  <w:tcW w:w="0" w:type="auto"/>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0" w:type="auto"/>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7</w:t>
                  </w:r>
                  <w:r>
                    <w:rPr>
                      <w:rFonts w:hint="default" w:ascii="Times New Roman" w:hAnsi="Times New Roman" w:eastAsia="宋体" w:cs="Times New Roman"/>
                      <w:color w:val="000000" w:themeColor="text1"/>
                      <w:szCs w:val="18"/>
                      <w:lang w:val="en-US" w:eastAsia="zh-CN"/>
                      <w14:textFill>
                        <w14:solidFill>
                          <w14:schemeClr w14:val="tx1"/>
                        </w14:solidFill>
                      </w14:textFill>
                    </w:rPr>
                    <w:t>000</w:t>
                  </w:r>
                </w:p>
              </w:tc>
              <w:tc>
                <w:tcPr>
                  <w:tcW w:w="0" w:type="auto"/>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240</w:t>
                  </w:r>
                  <w:r>
                    <w:rPr>
                      <w:rFonts w:hint="default" w:ascii="Times New Roman" w:hAnsi="Times New Roman" w:cs="Times New Roman"/>
                      <w:color w:val="000000" w:themeColor="text1"/>
                      <w14:textFill>
                        <w14:solidFill>
                          <w14:schemeClr w14:val="tx1"/>
                        </w14:solidFill>
                      </w14:textFill>
                    </w:rPr>
                    <w:t>0h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2" w:hRule="atLeast"/>
                <w:jc w:val="center"/>
              </w:trPr>
              <w:tc>
                <w:tcPr>
                  <w:tcW w:w="0" w:type="auto"/>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27" w:type="dxa"/>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抛光</w:t>
                  </w:r>
                </w:p>
              </w:tc>
              <w:tc>
                <w:tcPr>
                  <w:tcW w:w="935" w:type="dxa"/>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584" w:type="dxa"/>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9</w:t>
                  </w:r>
                  <w:r>
                    <w:rPr>
                      <w:rFonts w:hint="default" w:ascii="Times New Roman" w:hAnsi="Times New Roman" w:eastAsia="宋体" w:cs="Times New Roman"/>
                      <w:bCs/>
                      <w:color w:val="000000" w:themeColor="text1"/>
                      <w:szCs w:val="18"/>
                      <w:lang w:val="en-US" w:eastAsia="zh-CN"/>
                      <w14:textFill>
                        <w14:solidFill>
                          <w14:schemeClr w14:val="tx1"/>
                        </w14:solidFill>
                      </w14:textFill>
                    </w:rPr>
                    <w:t>0%</w:t>
                  </w:r>
                </w:p>
              </w:tc>
              <w:tc>
                <w:tcPr>
                  <w:tcW w:w="448" w:type="dxa"/>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9</w:t>
                  </w:r>
                  <w:r>
                    <w:rPr>
                      <w:rFonts w:hint="default" w:ascii="Times New Roman" w:hAnsi="Times New Roman" w:cs="Times New Roman"/>
                      <w:bCs/>
                      <w:color w:val="000000" w:themeColor="text1"/>
                      <w:szCs w:val="18"/>
                      <w:lang w:val="en-US" w:eastAsia="zh-CN"/>
                      <w14:textFill>
                        <w14:solidFill>
                          <w14:schemeClr w14:val="tx1"/>
                        </w14:solidFill>
                      </w14:textFill>
                    </w:rPr>
                    <w:t>9</w:t>
                  </w:r>
                  <w:r>
                    <w:rPr>
                      <w:rFonts w:hint="default" w:ascii="Times New Roman" w:hAnsi="Times New Roman" w:eastAsia="宋体" w:cs="Times New Roman"/>
                      <w:bCs/>
                      <w:color w:val="000000" w:themeColor="text1"/>
                      <w:szCs w:val="18"/>
                      <w:lang w:val="en-US" w:eastAsia="zh-CN"/>
                      <w14:textFill>
                        <w14:solidFill>
                          <w14:schemeClr w14:val="tx1"/>
                        </w14:solidFill>
                      </w14:textFill>
                    </w:rPr>
                    <w:t>%</w:t>
                  </w:r>
                </w:p>
              </w:tc>
              <w:tc>
                <w:tcPr>
                  <w:tcW w:w="479" w:type="dxa"/>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584" w:type="dxa"/>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686" w:type="dxa"/>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265" w:type="dxa"/>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306" w:type="dxa"/>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c>
                <w:tcPr>
                  <w:tcW w:w="0" w:type="auto"/>
                  <w:vMerge w:val="continue"/>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2" w:hRule="atLeast"/>
                <w:jc w:val="center"/>
              </w:trPr>
              <w:tc>
                <w:tcPr>
                  <w:tcW w:w="0" w:type="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DA003</w:t>
                  </w:r>
                </w:p>
              </w:tc>
              <w:tc>
                <w:tcPr>
                  <w:tcW w:w="1027" w:type="dxa"/>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危废库暂存废气</w:t>
                  </w:r>
                </w:p>
              </w:tc>
              <w:tc>
                <w:tcPr>
                  <w:tcW w:w="935"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w:t>
                  </w:r>
                </w:p>
              </w:tc>
              <w:tc>
                <w:tcPr>
                  <w:tcW w:w="584"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w:t>
                  </w:r>
                </w:p>
              </w:tc>
              <w:tc>
                <w:tcPr>
                  <w:tcW w:w="0" w:type="auto"/>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危废库密闭，设置抽排风系统+两级活性炭装置</w:t>
                  </w:r>
                </w:p>
              </w:tc>
              <w:tc>
                <w:tcPr>
                  <w:tcW w:w="0" w:type="auto"/>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0" w:type="auto"/>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90%</w:t>
                  </w:r>
                </w:p>
              </w:tc>
              <w:tc>
                <w:tcPr>
                  <w:tcW w:w="448" w:type="dxa"/>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90%</w:t>
                  </w:r>
                </w:p>
              </w:tc>
              <w:tc>
                <w:tcPr>
                  <w:tcW w:w="479"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584"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686"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403"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426" w:type="dxa"/>
                  <w:tcBorders>
                    <w:bottom w:val="single" w:color="auto" w:sz="4" w:space="0"/>
                  </w:tcBorders>
                  <w:vAlign w:val="center"/>
                </w:tcPr>
                <w:p>
                  <w:pPr>
                    <w:jc w:val="center"/>
                    <w:rPr>
                      <w:rFonts w:hint="default" w:ascii="Times New Roman" w:hAnsi="Times New Roman" w:eastAsia="宋体"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265" w:type="dxa"/>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306" w:type="dxa"/>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0.2</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0" w:type="auto"/>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w:t>
                  </w:r>
                  <w:r>
                    <w:rPr>
                      <w:rFonts w:hint="default" w:ascii="Times New Roman" w:hAnsi="Times New Roman" w:eastAsia="宋体" w:cs="Times New Roman"/>
                      <w:color w:val="000000" w:themeColor="text1"/>
                      <w:szCs w:val="18"/>
                      <w:lang w:val="en-US" w:eastAsia="zh-CN"/>
                      <w14:textFill>
                        <w14:solidFill>
                          <w14:schemeClr w14:val="tx1"/>
                        </w14:solidFill>
                      </w14:textFill>
                    </w:rPr>
                    <w:t>000</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720</w:t>
                  </w:r>
                  <w:r>
                    <w:rPr>
                      <w:rFonts w:hint="default" w:ascii="Times New Roman" w:hAnsi="Times New Roman" w:cs="Times New Roman"/>
                      <w:color w:val="000000" w:themeColor="text1"/>
                      <w14:textFill>
                        <w14:solidFill>
                          <w14:schemeClr w14:val="tx1"/>
                        </w14:solidFill>
                      </w14:textFill>
                    </w:rPr>
                    <w:t>0h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696" w:type="dxa"/>
                  <w:vMerge w:val="restar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DA004</w:t>
                  </w:r>
                </w:p>
              </w:tc>
              <w:tc>
                <w:tcPr>
                  <w:tcW w:w="1027" w:type="dxa"/>
                  <w:vMerge w:val="restart"/>
                  <w:vAlign w:val="center"/>
                </w:tcPr>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天然气</w:t>
                  </w:r>
                </w:p>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燃烧废气</w:t>
                  </w:r>
                </w:p>
              </w:tc>
              <w:tc>
                <w:tcPr>
                  <w:tcW w:w="935" w:type="dxa"/>
                  <w:tcBorders>
                    <w:bottom w:val="single" w:color="auto" w:sz="4" w:space="0"/>
                  </w:tcBorders>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68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21.027</w:t>
                  </w:r>
                </w:p>
              </w:tc>
              <w:tc>
                <w:tcPr>
                  <w:tcW w:w="2211" w:type="dxa"/>
                  <w:vMerge w:val="restart"/>
                  <w:vAlign w:val="center"/>
                </w:tcPr>
                <w:p>
                  <w:pPr>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天然气熔铝炉采取低氮燃烧技术</w:t>
                  </w:r>
                </w:p>
              </w:tc>
              <w:tc>
                <w:tcPr>
                  <w:tcW w:w="369"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96" w:type="dxa"/>
                  <w:vMerge w:val="restart"/>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100%</w:t>
                  </w:r>
                </w:p>
              </w:tc>
              <w:tc>
                <w:tcPr>
                  <w:tcW w:w="448" w:type="dxa"/>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w:t>
                  </w:r>
                </w:p>
              </w:tc>
              <w:tc>
                <w:tcPr>
                  <w:tcW w:w="47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686"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21.027</w:t>
                  </w:r>
                </w:p>
              </w:tc>
              <w:tc>
                <w:tcPr>
                  <w:tcW w:w="0" w:type="auto"/>
                  <w:tcBorders>
                    <w:bottom w:val="single" w:color="auto" w:sz="4" w:space="0"/>
                  </w:tcBorders>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30</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265" w:type="dxa"/>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306" w:type="dxa"/>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0.3</w:t>
                  </w:r>
                </w:p>
              </w:tc>
              <w:tc>
                <w:tcPr>
                  <w:tcW w:w="266" w:type="dxa"/>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590" w:type="dxa"/>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1695</w:t>
                  </w:r>
                </w:p>
              </w:tc>
              <w:tc>
                <w:tcPr>
                  <w:tcW w:w="655" w:type="dxa"/>
                  <w:vMerge w:val="restar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390</w:t>
                  </w:r>
                  <w:r>
                    <w:rPr>
                      <w:rFonts w:hint="default" w:ascii="Times New Roman" w:hAnsi="Times New Roman" w:cs="Times New Roman"/>
                      <w:color w:val="000000" w:themeColor="text1"/>
                      <w14:textFill>
                        <w14:solidFill>
                          <w14:schemeClr w14:val="tx1"/>
                        </w14:solidFill>
                      </w14:textFill>
                    </w:rPr>
                    <w:t>0h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2" w:hRule="atLeast"/>
                <w:jc w:val="center"/>
              </w:trPr>
              <w:tc>
                <w:tcPr>
                  <w:tcW w:w="696"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027" w:type="dxa"/>
                  <w:vMerge w:val="continue"/>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dxa"/>
                  <w:tcBorders>
                    <w:bottom w:val="single" w:color="auto" w:sz="4" w:space="0"/>
                  </w:tcBorders>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68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14.674</w:t>
                  </w:r>
                </w:p>
              </w:tc>
              <w:tc>
                <w:tcPr>
                  <w:tcW w:w="2211" w:type="dxa"/>
                  <w:vMerge w:val="continue"/>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p>
              </w:tc>
              <w:tc>
                <w:tcPr>
                  <w:tcW w:w="369" w:type="dxa"/>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96" w:type="dxa"/>
                  <w:vMerge w:val="continue"/>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p>
              </w:tc>
              <w:tc>
                <w:tcPr>
                  <w:tcW w:w="448" w:type="dxa"/>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w:t>
                  </w:r>
                </w:p>
              </w:tc>
              <w:tc>
                <w:tcPr>
                  <w:tcW w:w="47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686"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t>14.674</w:t>
                  </w:r>
                </w:p>
              </w:tc>
              <w:tc>
                <w:tcPr>
                  <w:tcW w:w="0" w:type="auto"/>
                  <w:tcBorders>
                    <w:bottom w:val="single" w:color="auto" w:sz="4" w:space="0"/>
                  </w:tcBorders>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100</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265" w:type="dxa"/>
                  <w:vMerge w:val="continue"/>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p>
              </w:tc>
              <w:tc>
                <w:tcPr>
                  <w:tcW w:w="306" w:type="dxa"/>
                  <w:vMerge w:val="continue"/>
                  <w:vAlign w:val="center"/>
                </w:tcPr>
                <w:p>
                  <w:pPr>
                    <w:widowControl/>
                    <w:jc w:val="center"/>
                    <w:textAlignment w:val="center"/>
                    <w:rPr>
                      <w:rFonts w:hint="default" w:ascii="Times New Roman" w:hAnsi="Times New Roman" w:cs="Times New Roman"/>
                      <w:color w:val="000000" w:themeColor="text1"/>
                      <w:szCs w:val="18"/>
                      <w:lang w:val="en-US" w:eastAsia="zh-CN"/>
                      <w14:textFill>
                        <w14:solidFill>
                          <w14:schemeClr w14:val="tx1"/>
                        </w14:solidFill>
                      </w14:textFill>
                    </w:rPr>
                  </w:pPr>
                </w:p>
              </w:tc>
              <w:tc>
                <w:tcPr>
                  <w:tcW w:w="266" w:type="dxa"/>
                  <w:vMerge w:val="continue"/>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p>
              </w:tc>
              <w:tc>
                <w:tcPr>
                  <w:tcW w:w="590" w:type="dxa"/>
                  <w:vMerge w:val="continue"/>
                  <w:vAlign w:val="center"/>
                </w:tcPr>
                <w:p>
                  <w:pPr>
                    <w:widowControl/>
                    <w:jc w:val="center"/>
                    <w:textAlignment w:val="center"/>
                    <w:rPr>
                      <w:rFonts w:hint="default" w:ascii="Times New Roman" w:hAnsi="Times New Roman" w:cs="Times New Roman"/>
                      <w:color w:val="000000" w:themeColor="text1"/>
                      <w:szCs w:val="18"/>
                      <w:lang w:val="en-US" w:eastAsia="zh-CN"/>
                      <w14:textFill>
                        <w14:solidFill>
                          <w14:schemeClr w14:val="tx1"/>
                        </w14:solidFill>
                      </w14:textFill>
                    </w:rPr>
                  </w:pPr>
                </w:p>
              </w:tc>
              <w:tc>
                <w:tcPr>
                  <w:tcW w:w="655"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696"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027" w:type="dxa"/>
                  <w:vMerge w:val="continue"/>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35" w:type="dxa"/>
                  <w:tcBorders>
                    <w:bottom w:val="single" w:color="auto" w:sz="4" w:space="0"/>
                  </w:tcBorders>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X</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0.233</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0.909</w:t>
                  </w:r>
                </w:p>
              </w:tc>
              <w:tc>
                <w:tcPr>
                  <w:tcW w:w="689" w:type="dxa"/>
                  <w:tcBorders>
                    <w:bottom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137.509</w:t>
                  </w:r>
                </w:p>
              </w:tc>
              <w:tc>
                <w:tcPr>
                  <w:tcW w:w="2211" w:type="dxa"/>
                  <w:vMerge w:val="continue"/>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p>
              </w:tc>
              <w:tc>
                <w:tcPr>
                  <w:tcW w:w="369" w:type="dxa"/>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96" w:type="dxa"/>
                  <w:vMerge w:val="continue"/>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p>
              </w:tc>
              <w:tc>
                <w:tcPr>
                  <w:tcW w:w="448" w:type="dxa"/>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50%</w:t>
                  </w:r>
                </w:p>
              </w:tc>
              <w:tc>
                <w:tcPr>
                  <w:tcW w:w="47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0.117</w:t>
                  </w:r>
                </w:p>
              </w:tc>
              <w:tc>
                <w:tcPr>
                  <w:tcW w:w="58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c>
                <w:tcPr>
                  <w:tcW w:w="686"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68.755</w:t>
                  </w:r>
                </w:p>
              </w:tc>
              <w:tc>
                <w:tcPr>
                  <w:tcW w:w="0" w:type="auto"/>
                  <w:tcBorders>
                    <w:bottom w:val="single" w:color="auto" w:sz="4" w:space="0"/>
                  </w:tcBorders>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400</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0" w:type="auto"/>
                  <w:tcBorders>
                    <w:bottom w:val="single" w:color="auto" w:sz="4" w:space="0"/>
                  </w:tcBorders>
                  <w:vAlign w:val="center"/>
                </w:tcPr>
                <w:p>
                  <w:pPr>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w:t>
                  </w:r>
                </w:p>
              </w:tc>
              <w:tc>
                <w:tcPr>
                  <w:tcW w:w="265" w:type="dxa"/>
                  <w:vMerge w:val="continue"/>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p>
              </w:tc>
              <w:tc>
                <w:tcPr>
                  <w:tcW w:w="306" w:type="dxa"/>
                  <w:vMerge w:val="continue"/>
                  <w:vAlign w:val="center"/>
                </w:tcPr>
                <w:p>
                  <w:pPr>
                    <w:widowControl/>
                    <w:jc w:val="center"/>
                    <w:textAlignment w:val="center"/>
                    <w:rPr>
                      <w:rFonts w:hint="default" w:ascii="Times New Roman" w:hAnsi="Times New Roman" w:cs="Times New Roman"/>
                      <w:color w:val="000000" w:themeColor="text1"/>
                      <w:szCs w:val="18"/>
                      <w:lang w:val="en-US" w:eastAsia="zh-CN"/>
                      <w14:textFill>
                        <w14:solidFill>
                          <w14:schemeClr w14:val="tx1"/>
                        </w14:solidFill>
                      </w14:textFill>
                    </w:rPr>
                  </w:pPr>
                </w:p>
              </w:tc>
              <w:tc>
                <w:tcPr>
                  <w:tcW w:w="266" w:type="dxa"/>
                  <w:vMerge w:val="continue"/>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p>
              </w:tc>
              <w:tc>
                <w:tcPr>
                  <w:tcW w:w="590" w:type="dxa"/>
                  <w:vMerge w:val="continue"/>
                  <w:vAlign w:val="center"/>
                </w:tcPr>
                <w:p>
                  <w:pPr>
                    <w:widowControl/>
                    <w:jc w:val="center"/>
                    <w:textAlignment w:val="center"/>
                    <w:rPr>
                      <w:rFonts w:hint="default" w:ascii="Times New Roman" w:hAnsi="Times New Roman" w:cs="Times New Roman"/>
                      <w:color w:val="000000" w:themeColor="text1"/>
                      <w:szCs w:val="18"/>
                      <w:lang w:val="en-US" w:eastAsia="zh-CN"/>
                      <w14:textFill>
                        <w14:solidFill>
                          <w14:schemeClr w14:val="tx1"/>
                        </w14:solidFill>
                      </w14:textFill>
                    </w:rPr>
                  </w:pPr>
                </w:p>
              </w:tc>
              <w:tc>
                <w:tcPr>
                  <w:tcW w:w="655" w:type="dxa"/>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1" w:hRule="atLeast"/>
                <w:jc w:val="center"/>
              </w:trPr>
              <w:tc>
                <w:tcPr>
                  <w:tcW w:w="1723" w:type="dxa"/>
                  <w:gridSpan w:val="2"/>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食堂</w:t>
                  </w:r>
                </w:p>
              </w:tc>
              <w:tc>
                <w:tcPr>
                  <w:tcW w:w="935"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油烟</w:t>
                  </w:r>
                </w:p>
              </w:tc>
              <w:tc>
                <w:tcPr>
                  <w:tcW w:w="584"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0.0025</w:t>
                  </w:r>
                </w:p>
              </w:tc>
              <w:tc>
                <w:tcPr>
                  <w:tcW w:w="0" w:type="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0.0015</w:t>
                  </w:r>
                </w:p>
              </w:tc>
              <w:tc>
                <w:tcPr>
                  <w:tcW w:w="0" w:type="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1.25</w:t>
                  </w:r>
                </w:p>
              </w:tc>
              <w:tc>
                <w:tcPr>
                  <w:tcW w:w="0" w:type="auto"/>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油烟净化器</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0" w:type="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4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r>
                    <w:rPr>
                      <w:rFonts w:hint="default" w:ascii="Times New Roman" w:hAnsi="Times New Roman" w:cs="Times New Roman"/>
                      <w:color w:val="000000" w:themeColor="text1"/>
                      <w14:textFill>
                        <w14:solidFill>
                          <w14:schemeClr w14:val="tx1"/>
                        </w14:solidFill>
                      </w14:textFill>
                    </w:rPr>
                    <w:t>%</w:t>
                  </w:r>
                </w:p>
              </w:tc>
              <w:tc>
                <w:tcPr>
                  <w:tcW w:w="479"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c>
                <w:tcPr>
                  <w:tcW w:w="584"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0.0006</w:t>
                  </w:r>
                </w:p>
              </w:tc>
              <w:tc>
                <w:tcPr>
                  <w:tcW w:w="686" w:type="dxa"/>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0" w:type="auto"/>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w:t>
                  </w:r>
                </w:p>
              </w:tc>
              <w:tc>
                <w:tcPr>
                  <w:tcW w:w="0" w:type="auto"/>
                  <w:vAlign w:val="center"/>
                </w:tcPr>
                <w:p>
                  <w:pPr>
                    <w:widowControl/>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265"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6"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0" w:type="auto"/>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0" w:type="auto"/>
                  <w:vAlign w:val="center"/>
                </w:tcPr>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00</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r>
                    <w:rPr>
                      <w:rFonts w:hint="default" w:ascii="Times New Roman" w:hAnsi="Times New Roman" w:cs="Times New Roman"/>
                      <w:color w:val="000000" w:themeColor="text1"/>
                      <w14:textFill>
                        <w14:solidFill>
                          <w14:schemeClr w14:val="tx1"/>
                        </w14:solidFill>
                      </w14:textFill>
                    </w:rPr>
                    <w:t>0h</w:t>
                  </w:r>
                </w:p>
              </w:tc>
            </w:tr>
          </w:tbl>
          <w:p>
            <w:pPr>
              <w:widowControl/>
              <w:spacing w:before="100" w:beforeAutospacing="1"/>
              <w:jc w:val="cente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表4-</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10</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建设项目大气污染物有组织排放基本情况表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88"/>
              <w:gridCol w:w="2173"/>
              <w:gridCol w:w="1334"/>
              <w:gridCol w:w="1339"/>
              <w:gridCol w:w="1336"/>
              <w:gridCol w:w="1344"/>
              <w:gridCol w:w="1166"/>
              <w:gridCol w:w="1334"/>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85" w:type="pct"/>
                  <w:vMerge w:val="restart"/>
                  <w:vAlign w:val="center"/>
                </w:tcPr>
                <w:p>
                  <w:pPr>
                    <w:widowControl/>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排放口编号</w:t>
                  </w:r>
                </w:p>
              </w:tc>
              <w:tc>
                <w:tcPr>
                  <w:tcW w:w="818" w:type="pct"/>
                  <w:vMerge w:val="restar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排放口名称</w:t>
                  </w:r>
                </w:p>
              </w:tc>
              <w:tc>
                <w:tcPr>
                  <w:tcW w:w="502" w:type="pct"/>
                  <w:vMerge w:val="restar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排放口类型</w:t>
                  </w:r>
                </w:p>
              </w:tc>
              <w:tc>
                <w:tcPr>
                  <w:tcW w:w="1007" w:type="pct"/>
                  <w:gridSpan w:val="2"/>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排放口地理坐标(o)</w:t>
                  </w:r>
                </w:p>
              </w:tc>
              <w:tc>
                <w:tcPr>
                  <w:tcW w:w="506" w:type="pct"/>
                  <w:vMerge w:val="restar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名称</w:t>
                  </w:r>
                </w:p>
              </w:tc>
              <w:tc>
                <w:tcPr>
                  <w:tcW w:w="439" w:type="pct"/>
                  <w:vMerge w:val="restar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年许可排放量（t/a）</w:t>
                  </w:r>
                </w:p>
              </w:tc>
              <w:tc>
                <w:tcPr>
                  <w:tcW w:w="502" w:type="pct"/>
                  <w:vMerge w:val="restar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申请特殊排放浓度限值</w:t>
                  </w:r>
                </w:p>
              </w:tc>
              <w:tc>
                <w:tcPr>
                  <w:tcW w:w="737" w:type="pct"/>
                  <w:vMerge w:val="restar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申请特殊时段许可排放量限值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85"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c>
                <w:tcPr>
                  <w:tcW w:w="818"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c>
                <w:tcPr>
                  <w:tcW w:w="502"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c>
                <w:tcPr>
                  <w:tcW w:w="504" w:type="pc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经度</w:t>
                  </w:r>
                </w:p>
              </w:tc>
              <w:tc>
                <w:tcPr>
                  <w:tcW w:w="503" w:type="pct"/>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纬度</w:t>
                  </w:r>
                </w:p>
              </w:tc>
              <w:tc>
                <w:tcPr>
                  <w:tcW w:w="506"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c>
                <w:tcPr>
                  <w:tcW w:w="439"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c>
                <w:tcPr>
                  <w:tcW w:w="502"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c>
                <w:tcPr>
                  <w:tcW w:w="737" w:type="pct"/>
                  <w:vMerge w:val="continue"/>
                  <w:vAlign w:val="center"/>
                </w:tcPr>
                <w:p>
                  <w:pPr>
                    <w:widowControl/>
                    <w:snapToGrid w:val="0"/>
                    <w:jc w:val="center"/>
                    <w:rPr>
                      <w:rFonts w:hint="default" w:ascii="Times New Roman" w:hAnsi="Times New Roman" w:cs="Times New Roman"/>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485" w:type="pct"/>
                  <w:vMerge w:val="restart"/>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DA001</w:t>
                  </w:r>
                </w:p>
              </w:tc>
              <w:tc>
                <w:tcPr>
                  <w:tcW w:w="818" w:type="pct"/>
                  <w:vMerge w:val="restart"/>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熔</w:t>
                  </w:r>
                  <w:r>
                    <w:rPr>
                      <w:rFonts w:hint="default" w:ascii="Times New Roman" w:hAnsi="Times New Roman" w:cs="Times New Roman"/>
                      <w:color w:val="000000" w:themeColor="text1"/>
                      <w:szCs w:val="18"/>
                      <w:lang w:val="en-US" w:eastAsia="zh-CN"/>
                      <w14:textFill>
                        <w14:solidFill>
                          <w14:schemeClr w14:val="tx1"/>
                        </w14:solidFill>
                      </w14:textFill>
                    </w:rPr>
                    <w:t>化</w:t>
                  </w:r>
                  <w:r>
                    <w:rPr>
                      <w:rFonts w:hint="default" w:ascii="Times New Roman" w:hAnsi="Times New Roman" w:eastAsia="宋体" w:cs="Times New Roman"/>
                      <w:color w:val="000000" w:themeColor="text1"/>
                      <w:szCs w:val="18"/>
                      <w:lang w:val="en-US" w:eastAsia="zh-CN"/>
                      <w14:textFill>
                        <w14:solidFill>
                          <w14:schemeClr w14:val="tx1"/>
                        </w14:solidFill>
                      </w14:textFill>
                    </w:rPr>
                    <w:t>、压铸、脱膜</w:t>
                  </w:r>
                  <w:r>
                    <w:rPr>
                      <w:rFonts w:hint="default" w:ascii="Times New Roman" w:hAnsi="Times New Roman" w:cs="Times New Roman"/>
                      <w:bCs/>
                      <w:color w:val="000000" w:themeColor="text1"/>
                      <w:szCs w:val="18"/>
                      <w:lang w:eastAsia="zh-CN"/>
                      <w14:textFill>
                        <w14:solidFill>
                          <w14:schemeClr w14:val="tx1"/>
                        </w14:solidFill>
                      </w14:textFill>
                    </w:rPr>
                    <w:t>排放口</w:t>
                  </w:r>
                </w:p>
              </w:tc>
              <w:tc>
                <w:tcPr>
                  <w:tcW w:w="502" w:type="pct"/>
                  <w:vMerge w:val="restart"/>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504" w:type="pct"/>
                  <w:vMerge w:val="restart"/>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116.974856</w:t>
                  </w:r>
                </w:p>
              </w:tc>
              <w:tc>
                <w:tcPr>
                  <w:tcW w:w="503" w:type="pct"/>
                  <w:vMerge w:val="restart"/>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31.492084</w:t>
                  </w:r>
                </w:p>
              </w:tc>
              <w:tc>
                <w:tcPr>
                  <w:tcW w:w="506" w:type="pc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439"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0.066</w:t>
                  </w:r>
                </w:p>
              </w:tc>
              <w:tc>
                <w:tcPr>
                  <w:tcW w:w="502" w:type="pct"/>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37" w:type="pct"/>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485"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81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2"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4"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6"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439" w:type="pct"/>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0.041</w:t>
                  </w:r>
                </w:p>
              </w:tc>
              <w:tc>
                <w:tcPr>
                  <w:tcW w:w="502" w:type="pct"/>
                  <w:vMerge w:val="restart"/>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c>
                <w:tcPr>
                  <w:tcW w:w="737" w:type="pct"/>
                  <w:vMerge w:val="restart"/>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485"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DA00</w:t>
                  </w:r>
                  <w:r>
                    <w:rPr>
                      <w:rFonts w:hint="default" w:ascii="Times New Roman" w:hAnsi="Times New Roman" w:cs="Times New Roman"/>
                      <w:color w:val="000000" w:themeColor="text1"/>
                      <w:lang w:val="en-US" w:eastAsia="zh-CN"/>
                      <w14:textFill>
                        <w14:solidFill>
                          <w14:schemeClr w14:val="tx1"/>
                        </w14:solidFill>
                      </w14:textFill>
                    </w:rPr>
                    <w:t>2</w:t>
                  </w:r>
                </w:p>
              </w:tc>
              <w:tc>
                <w:tcPr>
                  <w:tcW w:w="818" w:type="pc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抛丸、</w:t>
                  </w:r>
                  <w:r>
                    <w:rPr>
                      <w:rFonts w:hint="default" w:ascii="Times New Roman" w:hAnsi="Times New Roman" w:cs="Times New Roman"/>
                      <w:bCs/>
                      <w:color w:val="000000" w:themeColor="text1"/>
                      <w:szCs w:val="18"/>
                      <w:lang w:val="en-US" w:eastAsia="zh-CN"/>
                      <w14:textFill>
                        <w14:solidFill>
                          <w14:schemeClr w14:val="tx1"/>
                        </w14:solidFill>
                      </w14:textFill>
                    </w:rPr>
                    <w:t>抛光</w:t>
                  </w:r>
                  <w:r>
                    <w:rPr>
                      <w:rFonts w:hint="default" w:ascii="Times New Roman" w:hAnsi="Times New Roman" w:cs="Times New Roman"/>
                      <w:bCs/>
                      <w:color w:val="000000" w:themeColor="text1"/>
                      <w:szCs w:val="18"/>
                      <w:lang w:eastAsia="zh-CN"/>
                      <w14:textFill>
                        <w14:solidFill>
                          <w14:schemeClr w14:val="tx1"/>
                        </w14:solidFill>
                      </w14:textFill>
                    </w:rPr>
                    <w:t>排放口</w:t>
                  </w:r>
                </w:p>
              </w:tc>
              <w:tc>
                <w:tcPr>
                  <w:tcW w:w="502" w:type="pct"/>
                  <w:vAlign w:val="center"/>
                </w:tcPr>
                <w:p>
                  <w:pPr>
                    <w:widowControl/>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504"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116.975108</w:t>
                  </w:r>
                </w:p>
              </w:tc>
              <w:tc>
                <w:tcPr>
                  <w:tcW w:w="503"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31.491929</w:t>
                  </w:r>
                </w:p>
              </w:tc>
              <w:tc>
                <w:tcPr>
                  <w:tcW w:w="506" w:type="pct"/>
                  <w:vAlign w:val="center"/>
                </w:tcPr>
                <w:p>
                  <w:pPr>
                    <w:keepNext w:val="0"/>
                    <w:keepLines w:val="0"/>
                    <w:pageBreakBefore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颗粒物</w:t>
                  </w:r>
                </w:p>
              </w:tc>
              <w:tc>
                <w:tcPr>
                  <w:tcW w:w="439" w:type="pc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0.061</w:t>
                  </w:r>
                </w:p>
              </w:tc>
              <w:tc>
                <w:tcPr>
                  <w:tcW w:w="502" w:type="pct"/>
                  <w:vMerge w:val="continue"/>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c>
                <w:tcPr>
                  <w:tcW w:w="737" w:type="pct"/>
                  <w:vMerge w:val="continue"/>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485"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DA003</w:t>
                  </w:r>
                </w:p>
              </w:tc>
              <w:tc>
                <w:tcPr>
                  <w:tcW w:w="818" w:type="pct"/>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危废库排放口</w:t>
                  </w:r>
                </w:p>
              </w:tc>
              <w:tc>
                <w:tcPr>
                  <w:tcW w:w="502" w:type="pct"/>
                  <w:vAlign w:val="center"/>
                </w:tcPr>
                <w:p>
                  <w:pPr>
                    <w:widowControl/>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504"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116.975165</w:t>
                  </w:r>
                </w:p>
              </w:tc>
              <w:tc>
                <w:tcPr>
                  <w:tcW w:w="503"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31.491911</w:t>
                  </w:r>
                </w:p>
              </w:tc>
              <w:tc>
                <w:tcPr>
                  <w:tcW w:w="506" w:type="pct"/>
                  <w:vAlign w:val="center"/>
                </w:tcPr>
                <w:p>
                  <w:pPr>
                    <w:keepNext w:val="0"/>
                    <w:keepLines w:val="0"/>
                    <w:pageBreakBefore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439" w:type="pct"/>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502"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737" w:type="pc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485" w:type="pct"/>
                  <w:vMerge w:val="restar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DA004</w:t>
                  </w:r>
                </w:p>
              </w:tc>
              <w:tc>
                <w:tcPr>
                  <w:tcW w:w="818" w:type="pct"/>
                  <w:vMerge w:val="restart"/>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天然气燃烧</w:t>
                  </w:r>
                  <w:r>
                    <w:rPr>
                      <w:rFonts w:hint="default" w:ascii="Times New Roman" w:hAnsi="Times New Roman" w:cs="Times New Roman"/>
                      <w:bCs/>
                      <w:color w:val="000000" w:themeColor="text1"/>
                      <w:szCs w:val="18"/>
                      <w:lang w:eastAsia="zh-CN"/>
                      <w14:textFill>
                        <w14:solidFill>
                          <w14:schemeClr w14:val="tx1"/>
                        </w14:solidFill>
                      </w14:textFill>
                    </w:rPr>
                    <w:t>排放口</w:t>
                  </w:r>
                </w:p>
              </w:tc>
              <w:tc>
                <w:tcPr>
                  <w:tcW w:w="502" w:type="pct"/>
                  <w:vMerge w:val="restart"/>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504" w:type="pct"/>
                  <w:vMerge w:val="restar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116.975097</w:t>
                  </w:r>
                </w:p>
              </w:tc>
              <w:tc>
                <w:tcPr>
                  <w:tcW w:w="503" w:type="pct"/>
                  <w:vMerge w:val="restart"/>
                  <w:vAlign w:val="center"/>
                </w:tcPr>
                <w:p>
                  <w:pPr>
                    <w:jc w:val="center"/>
                    <w:rPr>
                      <w:rFonts w:hint="default" w:ascii="Times New Roman" w:hAnsi="Times New Roman" w:cs="Times New Roman"/>
                      <w:bCs/>
                      <w:color w:val="000000" w:themeColor="text1"/>
                      <w:szCs w:val="18"/>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31.491940</w:t>
                  </w:r>
                </w:p>
              </w:tc>
              <w:tc>
                <w:tcPr>
                  <w:tcW w:w="506" w:type="pct"/>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43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1334"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1958"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485" w:type="pct"/>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818" w:type="pct"/>
                  <w:vMerge w:val="continue"/>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p>
              </w:tc>
              <w:tc>
                <w:tcPr>
                  <w:tcW w:w="502" w:type="pct"/>
                  <w:vMerge w:val="continue"/>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p>
              </w:tc>
              <w:tc>
                <w:tcPr>
                  <w:tcW w:w="504" w:type="pct"/>
                  <w:vMerge w:val="continue"/>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c>
                <w:tcPr>
                  <w:tcW w:w="503" w:type="pct"/>
                  <w:vMerge w:val="continue"/>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c>
                <w:tcPr>
                  <w:tcW w:w="506" w:type="pct"/>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43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1334"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1958"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485" w:type="pct"/>
                  <w:vMerge w:val="continue"/>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818" w:type="pct"/>
                  <w:vMerge w:val="continue"/>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p>
              </w:tc>
              <w:tc>
                <w:tcPr>
                  <w:tcW w:w="502" w:type="pct"/>
                  <w:vMerge w:val="continue"/>
                  <w:vAlign w:val="center"/>
                </w:tcPr>
                <w:p>
                  <w:pPr>
                    <w:widowControl/>
                    <w:snapToGrid w:val="0"/>
                    <w:jc w:val="center"/>
                    <w:rPr>
                      <w:rFonts w:hint="default" w:ascii="Times New Roman" w:hAnsi="Times New Roman" w:cs="Times New Roman"/>
                      <w:color w:val="000000" w:themeColor="text1"/>
                      <w14:textFill>
                        <w14:solidFill>
                          <w14:schemeClr w14:val="tx1"/>
                        </w14:solidFill>
                      </w14:textFill>
                    </w:rPr>
                  </w:pPr>
                </w:p>
              </w:tc>
              <w:tc>
                <w:tcPr>
                  <w:tcW w:w="504" w:type="pct"/>
                  <w:vMerge w:val="continue"/>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c>
                <w:tcPr>
                  <w:tcW w:w="503" w:type="pct"/>
                  <w:vMerge w:val="continue"/>
                  <w:vAlign w:val="center"/>
                </w:tcPr>
                <w:p>
                  <w:pPr>
                    <w:jc w:val="center"/>
                    <w:rPr>
                      <w:rFonts w:hint="default" w:ascii="Times New Roman" w:hAnsi="Times New Roman" w:cs="Times New Roman"/>
                      <w:bCs/>
                      <w:color w:val="000000" w:themeColor="text1"/>
                      <w:szCs w:val="18"/>
                      <w14:textFill>
                        <w14:solidFill>
                          <w14:schemeClr w14:val="tx1"/>
                        </w14:solidFill>
                      </w14:textFill>
                    </w:rPr>
                  </w:pPr>
                </w:p>
              </w:tc>
              <w:tc>
                <w:tcPr>
                  <w:tcW w:w="506" w:type="pct"/>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X</w:t>
                  </w:r>
                </w:p>
              </w:tc>
              <w:tc>
                <w:tcPr>
                  <w:tcW w:w="43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c>
                <w:tcPr>
                  <w:tcW w:w="1334"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c>
                <w:tcPr>
                  <w:tcW w:w="1958" w:type="dxa"/>
                  <w:vAlign w:val="center"/>
                </w:tcPr>
                <w:p>
                  <w:pPr>
                    <w:jc w:val="cente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w:t>
                  </w:r>
                </w:p>
              </w:tc>
            </w:tr>
          </w:tbl>
          <w:p>
            <w:pPr>
              <w:spacing w:before="100" w:beforeAutospacing="1"/>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表4-</w:t>
            </w:r>
            <w:r>
              <w:rPr>
                <w:rFonts w:hint="default" w:ascii="Times New Roman" w:hAnsi="Times New Roman" w:cs="Times New Roman"/>
                <w:b/>
                <w:bCs/>
                <w:color w:val="000000" w:themeColor="text1"/>
                <w:sz w:val="24"/>
                <w:lang w:val="en-US" w:eastAsia="zh-CN"/>
                <w14:textFill>
                  <w14:solidFill>
                    <w14:schemeClr w14:val="tx1"/>
                  </w14:solidFill>
                </w14:textFill>
              </w:rPr>
              <w:t>11</w:t>
            </w:r>
            <w:r>
              <w:rPr>
                <w:rFonts w:hint="default" w:ascii="Times New Roman" w:hAnsi="Times New Roman" w:cs="Times New Roman"/>
                <w:b/>
                <w:bCs/>
                <w:color w:val="000000" w:themeColor="text1"/>
                <w:sz w:val="24"/>
                <w14:textFill>
                  <w14:solidFill>
                    <w14:schemeClr w14:val="tx1"/>
                  </w14:solidFill>
                </w14:textFill>
              </w:rPr>
              <w:t xml:space="preserve">  建设项目大气污染物无组织排放表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044"/>
              <w:gridCol w:w="975"/>
              <w:gridCol w:w="1639"/>
              <w:gridCol w:w="1241"/>
              <w:gridCol w:w="1331"/>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41"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面源</w:t>
                  </w:r>
                </w:p>
              </w:tc>
              <w:tc>
                <w:tcPr>
                  <w:tcW w:w="393"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面源面积m</w:t>
                  </w:r>
                  <w:r>
                    <w:rPr>
                      <w:rFonts w:hint="default" w:ascii="Times New Roman" w:hAnsi="Times New Roman" w:cs="Times New Roman"/>
                      <w:b/>
                      <w:color w:val="000000" w:themeColor="text1"/>
                      <w:szCs w:val="21"/>
                      <w:vertAlign w:val="superscript"/>
                      <w14:textFill>
                        <w14:solidFill>
                          <w14:schemeClr w14:val="tx1"/>
                        </w14:solidFill>
                      </w14:textFill>
                    </w:rPr>
                    <w:t>2</w:t>
                  </w:r>
                </w:p>
              </w:tc>
              <w:tc>
                <w:tcPr>
                  <w:tcW w:w="367"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面源高度m</w:t>
                  </w:r>
                </w:p>
              </w:tc>
              <w:tc>
                <w:tcPr>
                  <w:tcW w:w="617"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污染物种类</w:t>
                  </w:r>
                </w:p>
              </w:tc>
              <w:tc>
                <w:tcPr>
                  <w:tcW w:w="467"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排放速率kg/h</w:t>
                  </w:r>
                </w:p>
              </w:tc>
              <w:tc>
                <w:tcPr>
                  <w:tcW w:w="501"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排放量t/a</w:t>
                  </w:r>
                </w:p>
              </w:tc>
              <w:tc>
                <w:tcPr>
                  <w:tcW w:w="2412" w:type="pct"/>
                  <w:noWrap w:val="0"/>
                  <w:vAlign w:val="center"/>
                </w:tcPr>
                <w:p>
                  <w:pPr>
                    <w:adjustRightInd w:val="0"/>
                    <w:snapToGrid w:val="0"/>
                    <w:spacing w:line="360" w:lineRule="exact"/>
                    <w:ind w:left="-63" w:leftChars="-30" w:right="-63" w:rightChars="-3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1" w:type="pct"/>
                  <w:vMerge w:val="restart"/>
                  <w:noWrap w:val="0"/>
                  <w:vAlign w:val="center"/>
                </w:tcPr>
                <w:p>
                  <w:pPr>
                    <w:adjustRightInd w:val="0"/>
                    <w:snapToGrid w:val="0"/>
                    <w:spacing w:line="360" w:lineRule="exact"/>
                    <w:ind w:left="-63" w:leftChars="-30" w:right="-63" w:rightChars="-3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项目厂房</w:t>
                  </w:r>
                </w:p>
              </w:tc>
              <w:tc>
                <w:tcPr>
                  <w:tcW w:w="393"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w:t>
                  </w:r>
                </w:p>
              </w:tc>
              <w:tc>
                <w:tcPr>
                  <w:tcW w:w="36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6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12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0.023</w:t>
                  </w:r>
                </w:p>
              </w:tc>
              <w:tc>
                <w:tcPr>
                  <w:tcW w:w="13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0.071</w:t>
                  </w:r>
                </w:p>
              </w:tc>
              <w:tc>
                <w:tcPr>
                  <w:tcW w:w="2412" w:type="pct"/>
                  <w:noWrap w:val="0"/>
                  <w:vAlign w:val="center"/>
                </w:tcPr>
                <w:p>
                  <w:pPr>
                    <w:keepNext w:val="0"/>
                    <w:keepLines w:val="0"/>
                    <w:widowControl/>
                    <w:suppressLineNumbers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厂界监控点浓度限值：0.5mg/m</w:t>
                  </w:r>
                  <w:r>
                    <w:rPr>
                      <w:rFonts w:hint="default" w:ascii="Times New Roman" w:hAnsi="Times New Roman" w:eastAsia="宋体" w:cs="Times New Roman"/>
                      <w:color w:val="000000" w:themeColor="text1"/>
                      <w:kern w:val="0"/>
                      <w:sz w:val="13"/>
                      <w:szCs w:val="13"/>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w:t>
                  </w:r>
                </w:p>
                <w:p>
                  <w:pPr>
                    <w:adjustRightInd w:val="0"/>
                    <w:snapToGrid w:val="0"/>
                    <w:spacing w:line="360" w:lineRule="exact"/>
                    <w:ind w:left="-63" w:leftChars="-30" w:right="-63" w:rightChars="-3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厂区内：监控点处1h平均浓度值</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5</w:t>
                  </w:r>
                  <w:r>
                    <w:rPr>
                      <w:rFonts w:hint="default" w:ascii="Times New Roman" w:hAnsi="Times New Roman" w:cs="Times New Roman"/>
                      <w:bCs/>
                      <w:color w:val="000000" w:themeColor="text1"/>
                      <w:szCs w:val="21"/>
                      <w:highlight w:val="none"/>
                      <w14:textFill>
                        <w14:solidFill>
                          <w14:schemeClr w14:val="tx1"/>
                        </w14:solidFill>
                      </w14:textFill>
                    </w:rPr>
                    <w:t>.0mg/m</w:t>
                  </w:r>
                  <w:r>
                    <w:rPr>
                      <w:rFonts w:hint="default" w:ascii="Times New Roman" w:hAnsi="Times New Roman" w:cs="Times New Roman"/>
                      <w:bCs/>
                      <w:color w:val="000000" w:themeColor="text1"/>
                      <w:szCs w:val="21"/>
                      <w:highlight w:val="none"/>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pPr>
                    <w:adjustRightInd w:val="0"/>
                    <w:snapToGrid w:val="0"/>
                    <w:spacing w:line="360" w:lineRule="exact"/>
                    <w:ind w:left="-63" w:leftChars="-30" w:right="-63" w:rightChars="-30"/>
                    <w:jc w:val="center"/>
                    <w:rPr>
                      <w:rFonts w:hint="default" w:ascii="Times New Roman" w:hAnsi="Times New Roman" w:cs="Times New Roman"/>
                      <w:bCs/>
                      <w:color w:val="000000" w:themeColor="text1"/>
                      <w:szCs w:val="21"/>
                      <w14:textFill>
                        <w14:solidFill>
                          <w14:schemeClr w14:val="tx1"/>
                        </w14:solidFill>
                      </w14:textFill>
                    </w:rPr>
                  </w:pPr>
                </w:p>
              </w:tc>
              <w:tc>
                <w:tcPr>
                  <w:tcW w:w="393" w:type="pct"/>
                  <w:vMerge w:val="continue"/>
                  <w:noWrap w:val="0"/>
                  <w:vAlign w:val="center"/>
                </w:tcPr>
                <w:p>
                  <w:pPr>
                    <w:adjustRightInd w:val="0"/>
                    <w:snapToGrid w:val="0"/>
                    <w:spacing w:line="360" w:lineRule="exact"/>
                    <w:ind w:left="-63" w:leftChars="-30" w:right="-63" w:rightChars="-30"/>
                    <w:jc w:val="center"/>
                    <w:rPr>
                      <w:rFonts w:hint="default" w:ascii="Times New Roman" w:hAnsi="Times New Roman" w:cs="Times New Roman"/>
                      <w:color w:val="000000" w:themeColor="text1"/>
                      <w:kern w:val="1"/>
                      <w:szCs w:val="21"/>
                      <w14:textFill>
                        <w14:solidFill>
                          <w14:schemeClr w14:val="tx1"/>
                        </w14:solidFill>
                      </w14:textFill>
                    </w:rPr>
                  </w:pPr>
                </w:p>
              </w:tc>
              <w:tc>
                <w:tcPr>
                  <w:tcW w:w="367" w:type="pct"/>
                  <w:vMerge w:val="continue"/>
                  <w:noWrap w:val="0"/>
                  <w:vAlign w:val="center"/>
                </w:tcPr>
                <w:p>
                  <w:pPr>
                    <w:adjustRightInd w:val="0"/>
                    <w:snapToGrid w:val="0"/>
                    <w:spacing w:line="360" w:lineRule="exact"/>
                    <w:ind w:left="-63" w:leftChars="-30" w:right="-63" w:rightChars="-30"/>
                    <w:jc w:val="center"/>
                    <w:rPr>
                      <w:rFonts w:hint="default" w:ascii="Times New Roman" w:hAnsi="Times New Roman" w:cs="Times New Roman"/>
                      <w:bCs/>
                      <w:color w:val="000000" w:themeColor="text1"/>
                      <w:szCs w:val="21"/>
                      <w14:textFill>
                        <w14:solidFill>
                          <w14:schemeClr w14:val="tx1"/>
                        </w14:solidFill>
                      </w14:textFill>
                    </w:rPr>
                  </w:pPr>
                </w:p>
              </w:tc>
              <w:tc>
                <w:tcPr>
                  <w:tcW w:w="6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非甲烷</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总烃</w:t>
                  </w:r>
                </w:p>
              </w:tc>
              <w:tc>
                <w:tcPr>
                  <w:tcW w:w="12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13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0.046</w:t>
                  </w:r>
                </w:p>
              </w:tc>
              <w:tc>
                <w:tcPr>
                  <w:tcW w:w="2412" w:type="pct"/>
                  <w:noWrap w:val="0"/>
                  <w:vAlign w:val="center"/>
                </w:tcPr>
                <w:p>
                  <w:pPr>
                    <w:keepNext w:val="0"/>
                    <w:keepLines w:val="0"/>
                    <w:widowControl/>
                    <w:suppressLineNumbers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厂界：厂界监控点浓度限值 4.0mg/m</w:t>
                  </w:r>
                  <w:r>
                    <w:rPr>
                      <w:rFonts w:hint="default" w:ascii="Times New Roman" w:hAnsi="Times New Roman" w:eastAsia="宋体" w:cs="Times New Roman"/>
                      <w:color w:val="000000" w:themeColor="text1"/>
                      <w:kern w:val="0"/>
                      <w:sz w:val="13"/>
                      <w:szCs w:val="13"/>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w:t>
                  </w:r>
                </w:p>
                <w:p>
                  <w:pPr>
                    <w:adjustRightInd w:val="0"/>
                    <w:snapToGrid w:val="0"/>
                    <w:spacing w:line="360" w:lineRule="exact"/>
                    <w:ind w:left="-63" w:leftChars="-30" w:right="-63" w:rightChars="-3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厂区内：监控点处1h平均浓度值6.0mg/m</w:t>
                  </w:r>
                  <w:r>
                    <w:rPr>
                      <w:rFonts w:hint="default" w:ascii="Times New Roman" w:hAnsi="Times New Roman" w:cs="Times New Roman"/>
                      <w:bCs/>
                      <w:color w:val="000000" w:themeColor="text1"/>
                      <w:szCs w:val="21"/>
                      <w:highlight w:val="none"/>
                      <w:vertAlign w:val="superscript"/>
                      <w14:textFill>
                        <w14:solidFill>
                          <w14:schemeClr w14:val="tx1"/>
                        </w14:solidFill>
                      </w14:textFill>
                    </w:rPr>
                    <w:t>3</w:t>
                  </w:r>
                  <w:r>
                    <w:rPr>
                      <w:rFonts w:hint="default" w:ascii="Times New Roman" w:hAnsi="Times New Roman" w:cs="Times New Roman"/>
                      <w:bCs/>
                      <w:color w:val="000000" w:themeColor="text1"/>
                      <w:szCs w:val="21"/>
                      <w:highlight w:val="none"/>
                      <w14:textFill>
                        <w14:solidFill>
                          <w14:schemeClr w14:val="tx1"/>
                        </w14:solidFill>
                      </w14:textFill>
                    </w:rPr>
                    <w:t>，监控点处任意一次浓度值20mg/m</w:t>
                  </w:r>
                  <w:r>
                    <w:rPr>
                      <w:rFonts w:hint="default" w:ascii="Times New Roman" w:hAnsi="Times New Roman" w:cs="Times New Roman"/>
                      <w:bCs/>
                      <w:color w:val="000000" w:themeColor="text1"/>
                      <w:szCs w:val="21"/>
                      <w:highlight w:val="none"/>
                      <w:vertAlign w:val="superscript"/>
                      <w14:textFill>
                        <w14:solidFill>
                          <w14:schemeClr w14:val="tx1"/>
                        </w14:solidFill>
                      </w14:textFill>
                    </w:rPr>
                    <w:t>3</w:t>
                  </w:r>
                </w:p>
              </w:tc>
            </w:tr>
          </w:tbl>
          <w:p>
            <w:pPr>
              <w:pStyle w:val="29"/>
              <w:jc w:val="both"/>
              <w:outlineLvl w:val="0"/>
              <w:rPr>
                <w:rFonts w:hint="default" w:ascii="Times New Roman" w:hAnsi="Times New Roman" w:eastAsia="黑体" w:cs="Times New Roman"/>
                <w:snapToGrid w:val="0"/>
                <w:color w:val="000000" w:themeColor="text1"/>
                <w:sz w:val="30"/>
                <w:szCs w:val="30"/>
                <w:lang w:val="en-US" w:eastAsia="zh-CN"/>
                <w14:textFill>
                  <w14:solidFill>
                    <w14:schemeClr w14:val="tx1"/>
                  </w14:solidFill>
                </w14:textFill>
              </w:rPr>
            </w:pPr>
          </w:p>
        </w:tc>
      </w:tr>
    </w:tbl>
    <w:p>
      <w:pPr>
        <w:pStyle w:val="29"/>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240" w:lineRule="exact"/>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6838" w:h="11906" w:orient="landscape"/>
          <w:pgMar w:top="1701" w:right="1531" w:bottom="107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7" w:hRule="atLeast"/>
          <w:jc w:val="center"/>
        </w:trPr>
        <w:tc>
          <w:tcPr>
            <w:tcW w:w="466"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保护</w:t>
            </w:r>
          </w:p>
          <w:p>
            <w:pPr>
              <w:adjustRightInd w:val="0"/>
              <w:snapToGrid w:val="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措施</w:t>
            </w:r>
          </w:p>
        </w:tc>
        <w:tc>
          <w:tcPr>
            <w:tcW w:w="8579" w:type="dxa"/>
            <w:tcBorders>
              <w:tl2br w:val="nil"/>
              <w:tr2bl w:val="nil"/>
            </w:tcBorders>
            <w:noWrap w:val="0"/>
            <w:vAlign w:val="top"/>
          </w:tcPr>
          <w:p>
            <w:pPr>
              <w:tabs>
                <w:tab w:val="left" w:pos="1077"/>
              </w:tabs>
              <w:spacing w:before="100" w:beforeAutospacing="1"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2、废气非正常排放</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非正常排放主要是指生产过程中开、停车、检修、发生故障情况下污染物的排放，不包括事故。非正常排放大小及频率与生产装置的工艺水平、操作管理水平等因素有密切关系，若没有严格的处理措施，往往是造成污染的重要因素。</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本项目非正常工况主要包括开、停车，检修；电力供应突然中断；废气处理设施故障。项目非正常工况会引起污染物的非正常排放。本项目非正常工况下情况分析如下：</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（1）开停车</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项目计划停车，装置首先要停工，生产装置及环保设施等同步进行检修、维护和保养后，再开工生产。</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（2）设备故障</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当生产系统出现故障如停电故障，由于本项目采用双回路供电，出现停电的概率极低，因此出现上述情况的概率较低。</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开停车、设备检修等非正常工况产生的废气量均比正常工况的小，污染物也比正常工况时产生量少，废气经尾气处理装置处理后排放对周围环境的影响也相应地比正常工况轻。因此本次评价不考虑开停车及设备检修产生的污染物影响。</w:t>
            </w:r>
          </w:p>
          <w:p>
            <w:pPr>
              <w:tabs>
                <w:tab w:val="left" w:pos="1077"/>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（3）废气处置效率降低</w:t>
            </w:r>
          </w:p>
          <w:p>
            <w:pPr>
              <w:widowControl/>
              <w:spacing w:line="360" w:lineRule="auto"/>
              <w:ind w:left="-105" w:leftChars="-50" w:firstLine="480"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于拟建项目产污主要集中在生产车间，本项目非正常工况为配套的废气处理装置处理效率无法达到设计效率时，（非正常工况年排放时间按1h时间计算），废气在未经有效处理的情况通过排气筒排放，非正常工况下废气排放详见下表。本次评价环评要求企业实定期检查尾气处理装置，严格管理，避免失效工况发生。</w:t>
            </w:r>
          </w:p>
          <w:p>
            <w:pPr>
              <w:keepNext w:val="0"/>
              <w:keepLines w:val="0"/>
              <w:pageBreakBefore w:val="0"/>
              <w:widowControl/>
              <w:kinsoku/>
              <w:wordWrap/>
              <w:overflowPunct/>
              <w:topLinePunct w:val="0"/>
              <w:autoSpaceDE/>
              <w:autoSpaceDN/>
              <w:bidi w:val="0"/>
              <w:adjustRightInd/>
              <w:snapToGrid/>
              <w:spacing w:before="313" w:beforeLines="100"/>
              <w:ind w:left="0" w:leftChars="0"/>
              <w:jc w:val="center"/>
              <w:textAlignment w:val="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表4-</w:t>
            </w:r>
            <w:r>
              <w:rPr>
                <w:rFonts w:hint="default" w:ascii="Times New Roman" w:hAnsi="Times New Roman" w:cs="Times New Roman"/>
                <w:b/>
                <w:color w:val="000000" w:themeColor="text1"/>
                <w:kern w:val="0"/>
                <w:sz w:val="24"/>
                <w:lang w:val="en-US" w:eastAsia="zh-CN"/>
                <w14:textFill>
                  <w14:solidFill>
                    <w14:schemeClr w14:val="tx1"/>
                  </w14:solidFill>
                </w14:textFill>
              </w:rPr>
              <w:t>12</w:t>
            </w:r>
            <w:r>
              <w:rPr>
                <w:rFonts w:hint="default" w:ascii="Times New Roman" w:hAnsi="Times New Roman" w:cs="Times New Roman"/>
                <w:b/>
                <w:color w:val="000000" w:themeColor="text1"/>
                <w:kern w:val="0"/>
                <w:sz w:val="24"/>
                <w14:textFill>
                  <w14:solidFill>
                    <w14:schemeClr w14:val="tx1"/>
                  </w14:solidFill>
                </w14:textFill>
              </w:rPr>
              <w:t xml:space="preserve">  本项目非正常工况污染物排放情况</w:t>
            </w:r>
          </w:p>
          <w:tbl>
            <w:tblPr>
              <w:tblStyle w:val="31"/>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98"/>
              <w:gridCol w:w="1189"/>
              <w:gridCol w:w="939"/>
              <w:gridCol w:w="1204"/>
              <w:gridCol w:w="755"/>
              <w:gridCol w:w="757"/>
              <w:gridCol w:w="806"/>
              <w:gridCol w:w="757"/>
              <w:gridCol w:w="813"/>
              <w:gridCol w:w="8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400" w:type="pct"/>
                  <w:vMerge w:val="restar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排放源编号</w:t>
                  </w:r>
                </w:p>
              </w:tc>
              <w:tc>
                <w:tcPr>
                  <w:tcW w:w="680" w:type="pct"/>
                  <w:vMerge w:val="restar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污染源</w:t>
                  </w:r>
                </w:p>
              </w:tc>
              <w:tc>
                <w:tcPr>
                  <w:tcW w:w="537" w:type="pct"/>
                  <w:vMerge w:val="restar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污染物</w:t>
                  </w:r>
                </w:p>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名称</w:t>
                  </w:r>
                </w:p>
              </w:tc>
              <w:tc>
                <w:tcPr>
                  <w:tcW w:w="689" w:type="pct"/>
                  <w:vMerge w:val="restar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非正常排放原因</w:t>
                  </w:r>
                </w:p>
              </w:tc>
              <w:tc>
                <w:tcPr>
                  <w:tcW w:w="432" w:type="pct"/>
                  <w:vMerge w:val="restar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去除率</w:t>
                  </w:r>
                </w:p>
              </w:tc>
              <w:tc>
                <w:tcPr>
                  <w:tcW w:w="894" w:type="pct"/>
                  <w:gridSpan w:val="2"/>
                  <w:vAlign w:val="center"/>
                </w:tcPr>
                <w:p>
                  <w:pPr>
                    <w:overflowPunct w:val="0"/>
                    <w:adjustRightInd w:val="0"/>
                    <w:snapToGrid w:val="0"/>
                    <w:spacing w:before="40" w:after="60" w:line="200" w:lineRule="atLeast"/>
                    <w:ind w:firstLine="4"/>
                    <w:jc w:val="center"/>
                    <w:textAlignment w:val="baseline"/>
                    <w:rPr>
                      <w:rFonts w:hint="default" w:ascii="Times New Roman" w:hAnsi="Times New Roman" w:eastAsia="宋体" w:cs="Times New Roman"/>
                      <w:b/>
                      <w:color w:val="000000" w:themeColor="text1"/>
                      <w:kern w:val="0"/>
                      <w:szCs w:val="21"/>
                      <w:lang w:eastAsia="zh-CN"/>
                      <w14:textFill>
                        <w14:solidFill>
                          <w14:schemeClr w14:val="tx1"/>
                        </w14:solidFill>
                      </w14:textFill>
                    </w:rPr>
                  </w:pPr>
                  <w:r>
                    <w:rPr>
                      <w:rFonts w:hint="default" w:ascii="Times New Roman" w:hAnsi="Times New Roman" w:cs="Times New Roman"/>
                      <w:b/>
                      <w:color w:val="000000" w:themeColor="text1"/>
                      <w:kern w:val="0"/>
                      <w:szCs w:val="21"/>
                      <w:lang w:eastAsia="zh-CN"/>
                      <w14:textFill>
                        <w14:solidFill>
                          <w14:schemeClr w14:val="tx1"/>
                        </w14:solidFill>
                      </w14:textFill>
                    </w:rPr>
                    <w:t>排放状况</w:t>
                  </w:r>
                </w:p>
              </w:tc>
              <w:tc>
                <w:tcPr>
                  <w:tcW w:w="433" w:type="pct"/>
                  <w:vMerge w:val="restart"/>
                  <w:vAlign w:val="center"/>
                </w:tcPr>
                <w:p>
                  <w:pPr>
                    <w:overflowPunct w:val="0"/>
                    <w:adjustRightInd w:val="0"/>
                    <w:snapToGrid w:val="0"/>
                    <w:spacing w:before="40" w:after="60" w:line="200" w:lineRule="atLeast"/>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单次持续时间</w:t>
                  </w:r>
                </w:p>
              </w:tc>
              <w:tc>
                <w:tcPr>
                  <w:tcW w:w="465" w:type="pct"/>
                  <w:vMerge w:val="restart"/>
                  <w:vAlign w:val="center"/>
                </w:tcPr>
                <w:p>
                  <w:pPr>
                    <w:overflowPunct w:val="0"/>
                    <w:adjustRightInd w:val="0"/>
                    <w:snapToGrid w:val="0"/>
                    <w:spacing w:before="40" w:after="60" w:line="200" w:lineRule="atLeast"/>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年发生频次</w:t>
                  </w:r>
                </w:p>
              </w:tc>
              <w:tc>
                <w:tcPr>
                  <w:tcW w:w="465" w:type="pct"/>
                  <w:vMerge w:val="restart"/>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400"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680"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537"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689"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432"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433" w:type="pct"/>
                  <w:vAlign w:val="center"/>
                </w:tcPr>
                <w:p>
                  <w:pPr>
                    <w:overflowPunct w:val="0"/>
                    <w:adjustRightInd w:val="0"/>
                    <w:snapToGrid w:val="0"/>
                    <w:ind w:firstLine="4"/>
                    <w:jc w:val="center"/>
                    <w:textAlignment w:val="baseline"/>
                    <w:rPr>
                      <w:rFonts w:hint="default" w:ascii="Times New Roman" w:hAnsi="Times New Roman" w:eastAsia="宋体" w:cs="Times New Roman"/>
                      <w:b/>
                      <w:color w:val="000000" w:themeColor="text1"/>
                      <w:kern w:val="0"/>
                      <w:szCs w:val="21"/>
                      <w:lang w:val="en-US" w:eastAsia="zh-CN"/>
                      <w14:textFill>
                        <w14:solidFill>
                          <w14:schemeClr w14:val="tx1"/>
                        </w14:solidFill>
                      </w14:textFill>
                    </w:rPr>
                  </w:pPr>
                  <w:r>
                    <w:rPr>
                      <w:rFonts w:hint="default" w:ascii="Times New Roman" w:hAnsi="Times New Roman" w:cs="Times New Roman"/>
                      <w:b/>
                      <w:color w:val="000000" w:themeColor="text1"/>
                      <w:kern w:val="0"/>
                      <w:szCs w:val="21"/>
                      <w:lang w:val="en-US" w:eastAsia="zh-CN"/>
                      <w14:textFill>
                        <w14:solidFill>
                          <w14:schemeClr w14:val="tx1"/>
                        </w14:solidFill>
                      </w14:textFill>
                    </w:rPr>
                    <w:t>kg/h</w:t>
                  </w:r>
                </w:p>
              </w:tc>
              <w:tc>
                <w:tcPr>
                  <w:tcW w:w="461" w:type="pct"/>
                  <w:vAlign w:val="center"/>
                </w:tcPr>
                <w:p>
                  <w:pPr>
                    <w:overflowPunct w:val="0"/>
                    <w:adjustRightInd w:val="0"/>
                    <w:snapToGrid w:val="0"/>
                    <w:ind w:firstLine="4"/>
                    <w:jc w:val="center"/>
                    <w:textAlignment w:val="baseline"/>
                    <w:rPr>
                      <w:rFonts w:hint="default" w:ascii="Times New Roman" w:hAnsi="Times New Roman" w:eastAsia="宋体" w:cs="Times New Roman"/>
                      <w:b/>
                      <w:color w:val="000000" w:themeColor="text1"/>
                      <w:kern w:val="0"/>
                      <w:szCs w:val="21"/>
                      <w:lang w:val="en-US" w:eastAsia="zh-CN"/>
                      <w14:textFill>
                        <w14:solidFill>
                          <w14:schemeClr w14:val="tx1"/>
                        </w14:solidFill>
                      </w14:textFill>
                    </w:rPr>
                  </w:pPr>
                  <w:r>
                    <w:rPr>
                      <w:rFonts w:hint="default" w:ascii="Times New Roman" w:hAnsi="Times New Roman" w:cs="Times New Roman"/>
                      <w:b/>
                      <w:color w:val="000000" w:themeColor="text1"/>
                      <w:kern w:val="0"/>
                      <w:szCs w:val="21"/>
                      <w:lang w:val="en-US" w:eastAsia="zh-CN"/>
                      <w14:textFill>
                        <w14:solidFill>
                          <w14:schemeClr w14:val="tx1"/>
                        </w14:solidFill>
                      </w14:textFill>
                    </w:rPr>
                    <w:t>mg/m</w:t>
                  </w:r>
                  <w:r>
                    <w:rPr>
                      <w:rFonts w:hint="default" w:ascii="Times New Roman" w:hAnsi="Times New Roman" w:cs="Times New Roman"/>
                      <w:b/>
                      <w:color w:val="000000" w:themeColor="text1"/>
                      <w:kern w:val="0"/>
                      <w:szCs w:val="21"/>
                      <w:vertAlign w:val="superscript"/>
                      <w:lang w:val="en-US" w:eastAsia="zh-CN"/>
                      <w14:textFill>
                        <w14:solidFill>
                          <w14:schemeClr w14:val="tx1"/>
                        </w14:solidFill>
                      </w14:textFill>
                    </w:rPr>
                    <w:t>3</w:t>
                  </w:r>
                </w:p>
              </w:tc>
              <w:tc>
                <w:tcPr>
                  <w:tcW w:w="433"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465"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465"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09" w:hRule="atLeast"/>
                <w:jc w:val="center"/>
              </w:trPr>
              <w:tc>
                <w:tcPr>
                  <w:tcW w:w="400" w:type="pct"/>
                  <w:vMerge w:val="restart"/>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DA001</w:t>
                  </w:r>
                </w:p>
              </w:tc>
              <w:tc>
                <w:tcPr>
                  <w:tcW w:w="680" w:type="pct"/>
                  <w:vMerge w:val="restart"/>
                  <w:vAlign w:val="center"/>
                </w:tcPr>
                <w:p>
                  <w:pPr>
                    <w:jc w:val="center"/>
                    <w:rPr>
                      <w:rFonts w:hint="default" w:ascii="Times New Roman" w:hAnsi="Times New Roman" w:eastAsia="宋体" w:cs="Times New Roman"/>
                      <w:color w:val="000000" w:themeColor="text1"/>
                      <w:kern w:val="2"/>
                      <w:sz w:val="21"/>
                      <w:szCs w:val="24"/>
                      <w:lang w:val="en-GB"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熔</w:t>
                  </w:r>
                  <w:r>
                    <w:rPr>
                      <w:rFonts w:hint="default" w:ascii="Times New Roman" w:hAnsi="Times New Roman" w:cs="Times New Roman"/>
                      <w:color w:val="000000" w:themeColor="text1"/>
                      <w:szCs w:val="18"/>
                      <w:lang w:val="en-US" w:eastAsia="zh-CN"/>
                      <w14:textFill>
                        <w14:solidFill>
                          <w14:schemeClr w14:val="tx1"/>
                        </w14:solidFill>
                      </w14:textFill>
                    </w:rPr>
                    <w:t>化</w:t>
                  </w:r>
                  <w:r>
                    <w:rPr>
                      <w:rFonts w:hint="default" w:ascii="Times New Roman" w:hAnsi="Times New Roman" w:eastAsia="宋体" w:cs="Times New Roman"/>
                      <w:color w:val="000000" w:themeColor="text1"/>
                      <w:szCs w:val="18"/>
                      <w:lang w:val="en-US" w:eastAsia="zh-CN"/>
                      <w14:textFill>
                        <w14:solidFill>
                          <w14:schemeClr w14:val="tx1"/>
                        </w14:solidFill>
                      </w14:textFill>
                    </w:rPr>
                    <w:t>、压铸和脱膜</w:t>
                  </w:r>
                </w:p>
              </w:tc>
              <w:tc>
                <w:tcPr>
                  <w:tcW w:w="537" w:type="pct"/>
                  <w:tcBorders>
                    <w:bottom w:val="single" w:color="auto" w:sz="4" w:space="0"/>
                  </w:tcBorders>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689" w:type="pct"/>
                  <w:vMerge w:val="restart"/>
                  <w:vAlign w:val="center"/>
                </w:tcPr>
                <w:p>
                  <w:pPr>
                    <w:overflowPunct w:val="0"/>
                    <w:adjustRightInd w:val="0"/>
                    <w:snapToGrid w:val="0"/>
                    <w:ind w:firstLine="4"/>
                    <w:jc w:val="center"/>
                    <w:textAlignment w:val="baseline"/>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除尘器破损</w:t>
                  </w:r>
                  <w:r>
                    <w:rPr>
                      <w:rFonts w:hint="default" w:ascii="Times New Roman" w:hAnsi="Times New Roman" w:cs="Times New Roman"/>
                      <w:color w:val="000000" w:themeColor="text1"/>
                      <w:szCs w:val="21"/>
                      <w14:textFill>
                        <w14:solidFill>
                          <w14:schemeClr w14:val="tx1"/>
                        </w14:solidFill>
                      </w14:textFill>
                    </w:rPr>
                    <w:t>或风机故障</w:t>
                  </w:r>
                  <w:r>
                    <w:rPr>
                      <w:rFonts w:hint="default" w:ascii="Times New Roman" w:hAnsi="Times New Roman" w:cs="Times New Roman"/>
                      <w:color w:val="000000" w:themeColor="text1"/>
                      <w:szCs w:val="21"/>
                      <w:lang w:eastAsia="zh-CN"/>
                      <w14:textFill>
                        <w14:solidFill>
                          <w14:schemeClr w14:val="tx1"/>
                        </w14:solidFill>
                      </w14:textFill>
                    </w:rPr>
                    <w:t>；</w:t>
                  </w:r>
                </w:p>
                <w:p>
                  <w:pPr>
                    <w:overflowPunct w:val="0"/>
                    <w:adjustRightInd w:val="0"/>
                    <w:snapToGrid w:val="0"/>
                    <w:ind w:firstLine="4"/>
                    <w:jc w:val="center"/>
                    <w:textAlignment w:val="baseline"/>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过滤棉、</w:t>
                  </w:r>
                  <w:r>
                    <w:rPr>
                      <w:rFonts w:hint="default" w:ascii="Times New Roman" w:hAnsi="Times New Roman" w:cs="Times New Roman"/>
                      <w:color w:val="000000" w:themeColor="text1"/>
                      <w:szCs w:val="21"/>
                      <w14:textFill>
                        <w14:solidFill>
                          <w14:schemeClr w14:val="tx1"/>
                        </w14:solidFill>
                      </w14:textFill>
                    </w:rPr>
                    <w:t>活性炭未及时更换或风机故障</w:t>
                  </w:r>
                </w:p>
              </w:tc>
              <w:tc>
                <w:tcPr>
                  <w:tcW w:w="432" w:type="pct"/>
                  <w:tcBorders>
                    <w:bottom w:val="single" w:color="auto" w:sz="4" w:space="0"/>
                  </w:tcBorders>
                  <w:vAlign w:val="center"/>
                </w:tcPr>
                <w:p>
                  <w:pPr>
                    <w:overflowPunct w:val="0"/>
                    <w:adjustRightInd w:val="0"/>
                    <w:snapToGrid w:val="0"/>
                    <w:ind w:firstLine="4"/>
                    <w:jc w:val="center"/>
                    <w:textAlignment w:val="baseline"/>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50%</w:t>
                  </w:r>
                </w:p>
              </w:tc>
              <w:tc>
                <w:tcPr>
                  <w:tcW w:w="433" w:type="pc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0.426</w:t>
                  </w:r>
                </w:p>
              </w:tc>
              <w:tc>
                <w:tcPr>
                  <w:tcW w:w="461" w:type="pc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28.376</w:t>
                  </w:r>
                </w:p>
              </w:tc>
              <w:tc>
                <w:tcPr>
                  <w:tcW w:w="433" w:type="pct"/>
                  <w:vMerge w:val="restar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1h</w:t>
                  </w:r>
                </w:p>
              </w:tc>
              <w:tc>
                <w:tcPr>
                  <w:tcW w:w="465" w:type="pct"/>
                  <w:vMerge w:val="restar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偶发</w:t>
                  </w:r>
                </w:p>
              </w:tc>
              <w:tc>
                <w:tcPr>
                  <w:tcW w:w="465" w:type="pct"/>
                  <w:vMerge w:val="restart"/>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立即停产检修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47" w:hRule="atLeast"/>
                <w:jc w:val="center"/>
              </w:trPr>
              <w:tc>
                <w:tcPr>
                  <w:tcW w:w="400" w:type="pct"/>
                  <w:vMerge w:val="continue"/>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680" w:type="pct"/>
                  <w:vMerge w:val="continue"/>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p>
              </w:tc>
              <w:tc>
                <w:tcPr>
                  <w:tcW w:w="537" w:type="pct"/>
                  <w:tcBorders>
                    <w:top w:val="single" w:color="auto" w:sz="4" w:space="0"/>
                  </w:tcBorders>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689" w:type="pct"/>
                  <w:vMerge w:val="continue"/>
                  <w:vAlign w:val="center"/>
                </w:tcPr>
                <w:p>
                  <w:pPr>
                    <w:overflowPunct w:val="0"/>
                    <w:adjustRightInd w:val="0"/>
                    <w:snapToGrid w:val="0"/>
                    <w:ind w:firstLine="4"/>
                    <w:jc w:val="center"/>
                    <w:textAlignment w:val="baseline"/>
                    <w:rPr>
                      <w:rFonts w:hint="default" w:ascii="Times New Roman" w:hAnsi="Times New Roman" w:cs="Times New Roman"/>
                      <w:color w:val="000000" w:themeColor="text1"/>
                      <w:szCs w:val="21"/>
                      <w14:textFill>
                        <w14:solidFill>
                          <w14:schemeClr w14:val="tx1"/>
                        </w14:solidFill>
                      </w14:textFill>
                    </w:rPr>
                  </w:pPr>
                </w:p>
              </w:tc>
              <w:tc>
                <w:tcPr>
                  <w:tcW w:w="432" w:type="pct"/>
                  <w:tcBorders>
                    <w:top w:val="single" w:color="auto" w:sz="4" w:space="0"/>
                  </w:tcBorders>
                  <w:vAlign w:val="center"/>
                </w:tcPr>
                <w:p>
                  <w:pPr>
                    <w:overflowPunct w:val="0"/>
                    <w:adjustRightInd w:val="0"/>
                    <w:snapToGrid w:val="0"/>
                    <w:ind w:firstLine="4"/>
                    <w:jc w:val="center"/>
                    <w:textAlignment w:val="baseline"/>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w:t>
                  </w:r>
                </w:p>
              </w:tc>
              <w:tc>
                <w:tcPr>
                  <w:tcW w:w="433"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0.106</w:t>
                  </w:r>
                </w:p>
              </w:tc>
              <w:tc>
                <w:tcPr>
                  <w:tcW w:w="806" w:type="dxa"/>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7.077</w:t>
                  </w:r>
                </w:p>
              </w:tc>
              <w:tc>
                <w:tcPr>
                  <w:tcW w:w="433"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65"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65"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74" w:hRule="atLeast"/>
                <w:jc w:val="center"/>
              </w:trPr>
              <w:tc>
                <w:tcPr>
                  <w:tcW w:w="400"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DA002</w:t>
                  </w:r>
                </w:p>
              </w:tc>
              <w:tc>
                <w:tcPr>
                  <w:tcW w:w="680" w:type="pct"/>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szCs w:val="18"/>
                      <w:lang w:eastAsia="zh-CN"/>
                      <w14:textFill>
                        <w14:solidFill>
                          <w14:schemeClr w14:val="tx1"/>
                        </w14:solidFill>
                      </w14:textFill>
                    </w:rPr>
                    <w:t>抛</w:t>
                  </w:r>
                  <w:r>
                    <w:rPr>
                      <w:rFonts w:hint="default" w:ascii="Times New Roman" w:hAnsi="Times New Roman" w:cs="Times New Roman"/>
                      <w:bCs/>
                      <w:color w:val="000000" w:themeColor="text1"/>
                      <w:szCs w:val="18"/>
                      <w:lang w:eastAsia="zh-CN"/>
                      <w14:textFill>
                        <w14:solidFill>
                          <w14:schemeClr w14:val="tx1"/>
                        </w14:solidFill>
                      </w14:textFill>
                    </w:rPr>
                    <w:t>丸、</w:t>
                  </w:r>
                  <w:r>
                    <w:rPr>
                      <w:rFonts w:hint="default" w:ascii="Times New Roman" w:hAnsi="Times New Roman" w:cs="Times New Roman"/>
                      <w:bCs/>
                      <w:color w:val="000000" w:themeColor="text1"/>
                      <w:szCs w:val="18"/>
                      <w:lang w:val="en-US" w:eastAsia="zh-CN"/>
                      <w14:textFill>
                        <w14:solidFill>
                          <w14:schemeClr w14:val="tx1"/>
                        </w14:solidFill>
                      </w14:textFill>
                    </w:rPr>
                    <w:t>抛光</w:t>
                  </w:r>
                </w:p>
              </w:tc>
              <w:tc>
                <w:tcPr>
                  <w:tcW w:w="537" w:type="pct"/>
                  <w:vAlign w:val="center"/>
                </w:tcPr>
                <w:p>
                  <w:pPr>
                    <w:keepNext w:val="0"/>
                    <w:keepLines w:val="0"/>
                    <w:pageBreakBefore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689" w:type="pct"/>
                  <w:vAlign w:val="center"/>
                </w:tcPr>
                <w:p>
                  <w:pPr>
                    <w:overflowPunct w:val="0"/>
                    <w:adjustRightInd w:val="0"/>
                    <w:snapToGrid w:val="0"/>
                    <w:ind w:firstLine="4"/>
                    <w:jc w:val="center"/>
                    <w:textAlignment w:val="baseline"/>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除尘器破损</w:t>
                  </w:r>
                  <w:r>
                    <w:rPr>
                      <w:rFonts w:hint="default" w:ascii="Times New Roman" w:hAnsi="Times New Roman" w:cs="Times New Roman"/>
                      <w:color w:val="000000" w:themeColor="text1"/>
                      <w:szCs w:val="21"/>
                      <w14:textFill>
                        <w14:solidFill>
                          <w14:schemeClr w14:val="tx1"/>
                        </w14:solidFill>
                      </w14:textFill>
                    </w:rPr>
                    <w:t>或风机故障</w:t>
                  </w:r>
                </w:p>
              </w:tc>
              <w:tc>
                <w:tcPr>
                  <w:tcW w:w="432" w:type="pct"/>
                  <w:vAlign w:val="center"/>
                </w:tcPr>
                <w:p>
                  <w:pPr>
                    <w:overflowPunct w:val="0"/>
                    <w:adjustRightInd w:val="0"/>
                    <w:snapToGrid w:val="0"/>
                    <w:ind w:firstLine="4"/>
                    <w:jc w:val="center"/>
                    <w:textAlignment w:val="baseline"/>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50%</w:t>
                  </w:r>
                </w:p>
              </w:tc>
              <w:tc>
                <w:tcPr>
                  <w:tcW w:w="433" w:type="pc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1.2745</w:t>
                  </w:r>
                </w:p>
              </w:tc>
              <w:tc>
                <w:tcPr>
                  <w:tcW w:w="461" w:type="pct"/>
                  <w:vAlign w:val="center"/>
                </w:tcPr>
                <w:p>
                  <w:pPr>
                    <w:widowControl/>
                    <w:jc w:val="center"/>
                    <w:textAlignment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181.845</w:t>
                  </w:r>
                </w:p>
              </w:tc>
              <w:tc>
                <w:tcPr>
                  <w:tcW w:w="43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1h</w:t>
                  </w:r>
                </w:p>
              </w:tc>
              <w:tc>
                <w:tcPr>
                  <w:tcW w:w="4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偶发</w:t>
                  </w:r>
                </w:p>
              </w:tc>
              <w:tc>
                <w:tcPr>
                  <w:tcW w:w="465" w:type="pct"/>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立即停产检修</w:t>
                  </w:r>
                </w:p>
              </w:tc>
            </w:tr>
          </w:tbl>
          <w:p>
            <w:pPr>
              <w:adjustRightInd w:val="0"/>
              <w:snapToGri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污染控制措施及可行性分析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1）废气处理工艺流程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object>
                <v:shape id="_x0000_i1028" o:spt="75" type="#_x0000_t75" style="height:243.75pt;width:440.1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r>
              <w:rPr>
                <w:rFonts w:hint="default" w:ascii="Times New Roman" w:hAnsi="Times New Roman" w:cs="Times New Roman"/>
                <w:b/>
                <w:bCs/>
                <w:color w:val="000000" w:themeColor="text1"/>
                <w:sz w:val="24"/>
                <w:szCs w:val="24"/>
                <w14:textFill>
                  <w14:solidFill>
                    <w14:schemeClr w14:val="tx1"/>
                  </w14:solidFill>
                </w14:textFill>
              </w:rPr>
              <w:t>图4-</w:t>
            </w: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 xml:space="preserve"> 项目废气治理流程图</w:t>
            </w:r>
          </w:p>
          <w:p>
            <w:pPr>
              <w:pStyle w:val="74"/>
              <w:ind w:firstLine="42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2）项目废气治理措施可行性分析</w:t>
            </w:r>
          </w:p>
          <w:p>
            <w:pPr>
              <w:tabs>
                <w:tab w:val="left" w:pos="6987"/>
              </w:tabs>
              <w:spacing w:line="360" w:lineRule="auto"/>
              <w:ind w:firstLine="482" w:firstLineChars="200"/>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①项目废气治理措施可行性分析</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w:t>
            </w:r>
          </w:p>
          <w:p>
            <w:pPr>
              <w:tabs>
                <w:tab w:val="left" w:pos="6987"/>
              </w:tabs>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根据《国民经济行业分类》（GB/T4754-2017），本项目属于“</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C3311金属结构制造、C3392有色金属铸造、C3857家用电力器具专用配件制造”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。参考</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《排污许可证申请与核发技术规范 金属铸造工业》（HJ 1115-2020）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表</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废气治理可行技术及《排污许可证申请与核发技术规范工业炉窑》（HJ1121-2020）中污染防治可行技术要求。具体见下表。</w:t>
            </w:r>
          </w:p>
          <w:p>
            <w:pPr>
              <w:autoSpaceDE w:val="0"/>
              <w:jc w:val="center"/>
              <w:rPr>
                <w:rFonts w:hint="default" w:ascii="Times New Roman" w:hAnsi="Times New Roman" w:cs="Times New Roman"/>
                <w:b/>
                <w:bCs/>
                <w:color w:val="000000" w:themeColor="text1"/>
                <w:sz w:val="24"/>
                <w:szCs w:val="24"/>
                <w:lang w:bidi="ar"/>
                <w14:textFill>
                  <w14:solidFill>
                    <w14:schemeClr w14:val="tx1"/>
                  </w14:solidFill>
                </w14:textFill>
              </w:rPr>
            </w:pPr>
            <w:r>
              <w:rPr>
                <w:rFonts w:hint="default" w:ascii="Times New Roman" w:hAnsi="Times New Roman" w:cs="Times New Roman"/>
                <w:b/>
                <w:bCs/>
                <w:color w:val="000000" w:themeColor="text1"/>
                <w:sz w:val="24"/>
                <w:szCs w:val="24"/>
                <w:lang w:bidi="ar"/>
                <w14:textFill>
                  <w14:solidFill>
                    <w14:schemeClr w14:val="tx1"/>
                  </w14:solidFill>
                </w14:textFill>
              </w:rPr>
              <w:t>表4-</w:t>
            </w:r>
            <w:r>
              <w:rPr>
                <w:rFonts w:hint="default" w:ascii="Times New Roman" w:hAnsi="Times New Roman" w:cs="Times New Roman"/>
                <w:b/>
                <w:bCs/>
                <w:color w:val="000000" w:themeColor="text1"/>
                <w:sz w:val="24"/>
                <w:szCs w:val="24"/>
                <w:lang w:val="en-US" w:eastAsia="zh-CN" w:bidi="ar"/>
                <w14:textFill>
                  <w14:solidFill>
                    <w14:schemeClr w14:val="tx1"/>
                  </w14:solidFill>
                </w14:textFill>
              </w:rPr>
              <w:t>13</w:t>
            </w:r>
            <w:r>
              <w:rPr>
                <w:rFonts w:hint="default" w:ascii="Times New Roman" w:hAnsi="Times New Roman" w:cs="Times New Roman"/>
                <w:b/>
                <w:bCs/>
                <w:color w:val="000000" w:themeColor="text1"/>
                <w:sz w:val="24"/>
                <w:szCs w:val="24"/>
                <w:lang w:bidi="ar"/>
                <w14:textFill>
                  <w14:solidFill>
                    <w14:schemeClr w14:val="tx1"/>
                  </w14:solidFill>
                </w14:textFill>
              </w:rPr>
              <w:t xml:space="preserve">  废气防治可行技术参考表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324"/>
              <w:gridCol w:w="2324"/>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noWrap w:val="0"/>
                  <w:vAlign w:val="center"/>
                </w:tcPr>
                <w:p>
                  <w:pPr>
                    <w:pStyle w:val="60"/>
                    <w:spacing w:before="0" w:beforeLines="0" w:beforeAutospacing="0" w:after="0" w:afterLines="0" w:afterAutospacing="0" w:line="240" w:lineRule="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生产单元</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生产设施</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污染物项目</w:t>
                  </w:r>
                </w:p>
              </w:tc>
              <w:tc>
                <w:tcPr>
                  <w:tcW w:w="1728" w:type="pct"/>
                  <w:noWrap w:val="0"/>
                  <w:vAlign w:val="center"/>
                </w:tcPr>
                <w:p>
                  <w:pPr>
                    <w:pStyle w:val="60"/>
                    <w:spacing w:before="0" w:beforeLines="0" w:beforeAutospacing="0" w:after="0" w:afterLines="0" w:afterAutospacing="0" w:line="240" w:lineRule="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金属熔炼（化）</w:t>
                  </w:r>
                </w:p>
              </w:tc>
              <w:tc>
                <w:tcPr>
                  <w:tcW w:w="1329" w:type="pct"/>
                  <w:vMerge w:val="restart"/>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燃气炉</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1728"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静电除尘器、袋式除尘器、电袋复合除尘器、旋风除尘器、滤筒除尘器、湿式除尘器、其他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p>
              </w:tc>
              <w:tc>
                <w:tcPr>
                  <w:tcW w:w="1329" w:type="pct"/>
                  <w:vMerge w:val="continue"/>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二氧化 </w:t>
                  </w:r>
                </w:p>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硫、氮氧 </w:t>
                  </w:r>
                </w:p>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化物</w:t>
                  </w:r>
                </w:p>
              </w:tc>
              <w:tc>
                <w:tcPr>
                  <w:tcW w:w="1728"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脱硫系统、脱硝系统（SCR、SNCR）、协同处置装置（活性炭法）、其他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12" w:type="pct"/>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清理</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抛（喷）丸机</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1728"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静电除尘器、袋式除尘器、电袋复合除尘器、旋风除尘器、滤筒除尘器、湿式 </w:t>
                  </w:r>
                </w:p>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除尘器、其他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12" w:type="pct"/>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热工单元</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其他有色金属合金熔化炉</w:t>
                  </w:r>
                </w:p>
              </w:tc>
              <w:tc>
                <w:tcPr>
                  <w:tcW w:w="1329" w:type="pct"/>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氮氧化物</w:t>
                  </w:r>
                </w:p>
              </w:tc>
              <w:tc>
                <w:tcPr>
                  <w:tcW w:w="1728" w:type="pct"/>
                  <w:noWrap w:val="0"/>
                  <w:vAlign w:val="center"/>
                </w:tcPr>
                <w:p>
                  <w:pPr>
                    <w:pStyle w:val="12"/>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低氮燃烧、富氧燃烧、纯氧燃烧、选择性非催化还原、选择性催化还原。</w:t>
                  </w:r>
                </w:p>
              </w:tc>
            </w:tr>
          </w:tbl>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《铸造工业大气污染防治可行技术指南》（HJ1292-2023），项目铝合金熔化及铸造工段废气</w:t>
            </w:r>
            <w:r>
              <w:rPr>
                <w:rFonts w:hint="default" w:ascii="Times New Roman" w:hAnsi="Times New Roman" w:eastAsia="宋体" w:cs="Times New Roman"/>
                <w:color w:val="000000" w:themeColor="text1"/>
                <w:kern w:val="0"/>
                <w:sz w:val="24"/>
                <w:szCs w:val="24"/>
                <w:lang w:bidi="ar"/>
                <w14:textFill>
                  <w14:solidFill>
                    <w14:schemeClr w14:val="tx1"/>
                  </w14:solidFill>
                </w14:textFill>
              </w:rPr>
              <w:t>防治可行技术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如下。</w:t>
            </w:r>
          </w:p>
          <w:p>
            <w:pPr>
              <w:keepNext w:val="0"/>
              <w:keepLines w:val="0"/>
              <w:pageBreakBefore w:val="0"/>
              <w:widowControl w:val="0"/>
              <w:kinsoku/>
              <w:wordWrap/>
              <w:overflowPunct/>
              <w:topLinePunct w:val="0"/>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bidi="ar"/>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sz w:val="24"/>
                <w:szCs w:val="24"/>
                <w:lang w:bidi="ar"/>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1</w:t>
            </w:r>
            <w:r>
              <w:rPr>
                <w:rFonts w:hint="default" w:ascii="Times New Roman" w:hAnsi="Times New Roman" w:cs="Times New Roman"/>
                <w:b/>
                <w:bCs/>
                <w:color w:val="000000" w:themeColor="text1"/>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sz w:val="24"/>
                <w:szCs w:val="24"/>
                <w:lang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《铸造工业大气污染防治可行技术指南》中污染防治可行技术</w:t>
            </w:r>
          </w:p>
          <w:tbl>
            <w:tblPr>
              <w:tblStyle w:val="3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1"/>
              <w:gridCol w:w="2522"/>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3"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适用条件</w:t>
                  </w:r>
                </w:p>
              </w:tc>
              <w:tc>
                <w:tcPr>
                  <w:tcW w:w="2371"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预防技术</w:t>
                  </w:r>
                </w:p>
              </w:tc>
              <w:tc>
                <w:tcPr>
                  <w:tcW w:w="3284"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治理技术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3"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适用于金属熔炼（化）工序的燃气炉，一般应用于铝合金的熔炼（化）。</w:t>
                  </w:r>
                </w:p>
              </w:tc>
              <w:tc>
                <w:tcPr>
                  <w:tcW w:w="2371"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低氮燃烧技术</w:t>
                  </w:r>
                </w:p>
              </w:tc>
              <w:tc>
                <w:tcPr>
                  <w:tcW w:w="3284"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①旋风除尘技术（可选）+</w:t>
                  </w:r>
                </w:p>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②袋式除尘技术/滤筒除尘技术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3"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适用于压力铸造（压铸）脱模剂喷涂废气处理。</w:t>
                  </w:r>
                </w:p>
              </w:tc>
              <w:tc>
                <w:tcPr>
                  <w:tcW w:w="2371"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微量喷涂技术（可选）</w:t>
                  </w:r>
                </w:p>
              </w:tc>
              <w:tc>
                <w:tcPr>
                  <w:tcW w:w="3284" w:type="dxa"/>
                  <w:noWrap w:val="0"/>
                  <w:vAlign w:val="center"/>
                </w:tcPr>
                <w:p>
                  <w:pPr>
                    <w:pStyle w:val="60"/>
                    <w:spacing w:before="0" w:beforeLines="0" w:beforeAutospacing="0" w:after="0" w:afterLines="0" w:afterAutospacing="0" w:line="240" w:lineRule="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机械过滤技术/静电净化技术</w:t>
                  </w:r>
                </w:p>
              </w:tc>
            </w:tr>
          </w:tbl>
          <w:p>
            <w:pPr>
              <w:spacing w:line="360" w:lineRule="auto"/>
              <w:ind w:firstLine="48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cs="Times New Roman"/>
                <w:color w:val="000000" w:themeColor="text1"/>
                <w:sz w:val="24"/>
                <w:lang w:val="en-US" w:eastAsia="zh-CN"/>
                <w14:textFill>
                  <w14:solidFill>
                    <w14:schemeClr w14:val="tx1"/>
                  </w14:solidFill>
                </w14:textFill>
              </w:rPr>
              <w:t>、压铸、脱膜废气一起经静电式油雾净化器+耐高温布袋除尘器+两级活性炭装置处理后由一根15m高的排气筒（DA001）排放，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天然气熔铝炉采用低氮燃烧技术，</w:t>
            </w:r>
            <w:r>
              <w:rPr>
                <w:rFonts w:hint="default" w:ascii="Times New Roman" w:hAnsi="Times New Roman" w:cs="Times New Roman"/>
                <w:color w:val="000000" w:themeColor="text1"/>
                <w:sz w:val="24"/>
                <w:lang w:val="en-US" w:eastAsia="zh-CN"/>
                <w14:textFill>
                  <w14:solidFill>
                    <w14:schemeClr w14:val="tx1"/>
                  </w14:solidFill>
                </w14:textFill>
              </w:rPr>
              <w:t>由一根15m高的排气筒（DA00</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低氮燃烧法对氮氧化物治理技术效率为50%，</w:t>
            </w:r>
            <w:r>
              <w:rPr>
                <w:rFonts w:hint="default" w:ascii="Times New Roman" w:hAnsi="Times New Roman" w:cs="Times New Roman"/>
                <w:color w:val="000000" w:themeColor="text1"/>
                <w:sz w:val="24"/>
                <w:lang w:val="en-US" w:eastAsia="zh-CN"/>
                <w14:textFill>
                  <w14:solidFill>
                    <w14:schemeClr w14:val="tx1"/>
                  </w14:solidFill>
                </w14:textFill>
              </w:rPr>
              <w:t>技术符合《排污许可证申请与核发技术规范 金属铸造工业》（HJ 1115-2020）中可行技术要求。</w:t>
            </w:r>
          </w:p>
          <w:p>
            <w:pPr>
              <w:tabs>
                <w:tab w:val="left" w:pos="6987"/>
              </w:tabs>
              <w:spacing w:line="360" w:lineRule="auto"/>
              <w:ind w:firstLine="470" w:firstLineChars="196"/>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抛丸粉尘经自带的布袋除尘器处理，</w:t>
            </w:r>
            <w:r>
              <w:rPr>
                <w:rFonts w:hint="default" w:ascii="Times New Roman" w:hAnsi="Times New Roman" w:cs="Times New Roman"/>
                <w:color w:val="000000" w:themeColor="text1"/>
                <w:sz w:val="24"/>
                <w:lang w:val="en-US" w:eastAsia="zh-CN"/>
                <w14:textFill>
                  <w14:solidFill>
                    <w14:schemeClr w14:val="tx1"/>
                  </w14:solidFill>
                </w14:textFill>
              </w:rPr>
              <w:t>抛光粉尘</w:t>
            </w:r>
            <w:r>
              <w:rPr>
                <w:rFonts w:hint="default" w:ascii="Times New Roman" w:hAnsi="Times New Roman" w:eastAsia="宋体" w:cs="Times New Roman"/>
                <w:color w:val="000000" w:themeColor="text1"/>
                <w:sz w:val="24"/>
                <w:lang w:val="en-US" w:eastAsia="zh-CN"/>
                <w14:textFill>
                  <w14:solidFill>
                    <w14:schemeClr w14:val="tx1"/>
                  </w14:solidFill>
                </w14:textFill>
              </w:rPr>
              <w:t>经自带的湿式除尘器处理</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和抛丸粉尘</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一起由一根15m高的排气筒（DA002）排放</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4"/>
                <w:szCs w:val="24"/>
                <w:highlight w:val="none"/>
                <w:lang w:val="en-US" w:eastAsia="zh-CN"/>
                <w14:textFill>
                  <w14:solidFill>
                    <w14:schemeClr w14:val="tx1"/>
                  </w14:solidFill>
                </w14:textFill>
              </w:rPr>
              <w:t>项目采取的措施属于</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《排污许可证申请与核发技术规范 金属铸造工业》（HJ 1115-2020）中的可行技术。因此，项目废气治理设施技术可行。</w:t>
            </w:r>
          </w:p>
          <w:p>
            <w:pPr>
              <w:spacing w:line="360" w:lineRule="auto"/>
              <w:ind w:firstLine="482" w:firstLineChars="200"/>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②有机废气治理：</w:t>
            </w:r>
          </w:p>
          <w:p>
            <w:pPr>
              <w:spacing w:line="360" w:lineRule="auto"/>
              <w:ind w:firstLine="482" w:firstLineChars="200"/>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两级活性炭吸附装置：</w:t>
            </w:r>
            <w:r>
              <w:rPr>
                <w:rFonts w:hint="default" w:ascii="Times New Roman" w:hAnsi="Times New Roman" w:eastAsia="宋体" w:cs="Times New Roman"/>
                <w:color w:val="000000" w:themeColor="text1"/>
                <w:kern w:val="0"/>
                <w:sz w:val="24"/>
                <w:szCs w:val="24"/>
                <w:lang w:bidi="ar"/>
                <w14:textFill>
                  <w14:solidFill>
                    <w14:schemeClr w14:val="tx1"/>
                  </w14:solidFill>
                </w14:textFill>
              </w:rPr>
              <w:t>活性炭吸附法是以活性炭作为吸附剂，把废气中有机物溶剂的蒸汽吸附到固相表面，从而达到净化废气的方法。活性炭是一种具有非极性表面、疏水性、亲有机物的吸附剂。活性炭是由各种含碳物质（如木材、泥煤、果核、椰壳等原料）在高温下炭化后，再用水蒸气或化学药品（如氯化锌、氯化锰、氯化钙和磷酸等）进行活化处理，然后制成的孔隙十分丰富的吸附剂，其孔径平均为（10～40）×10</w:t>
            </w:r>
            <w:r>
              <w:rPr>
                <w:rFonts w:hint="default" w:ascii="Times New Roman" w:hAnsi="Times New Roman" w:eastAsia="宋体" w:cs="Times New Roman"/>
                <w:color w:val="000000" w:themeColor="text1"/>
                <w:kern w:val="0"/>
                <w:sz w:val="24"/>
                <w:szCs w:val="24"/>
                <w:vertAlign w:val="superscript"/>
                <w:lang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bidi="ar"/>
                <w14:textFill>
                  <w14:solidFill>
                    <w14:schemeClr w14:val="tx1"/>
                  </w14:solidFill>
                </w14:textFill>
              </w:rPr>
              <w:t>cm，比表面积一般在600～1500m</w:t>
            </w:r>
            <w:r>
              <w:rPr>
                <w:rFonts w:hint="default" w:ascii="Times New Roman" w:hAnsi="Times New Roman" w:eastAsia="宋体" w:cs="Times New Roman"/>
                <w:color w:val="000000" w:themeColor="text1"/>
                <w:kern w:val="0"/>
                <w:sz w:val="24"/>
                <w:szCs w:val="24"/>
                <w:vertAlign w:val="superscript"/>
                <w:lang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bidi="ar"/>
                <w14:textFill>
                  <w14:solidFill>
                    <w14:schemeClr w14:val="tx1"/>
                  </w14:solidFill>
                </w14:textFill>
              </w:rPr>
              <w:t>/g范围内，具有优良的吸附能力。</w:t>
            </w:r>
          </w:p>
          <w:p>
            <w:pPr>
              <w:spacing w:line="360" w:lineRule="auto"/>
              <w:ind w:firstLine="480" w:firstLineChars="200"/>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bidi="ar"/>
                <w14:textFill>
                  <w14:solidFill>
                    <w14:schemeClr w14:val="tx1"/>
                  </w14:solidFill>
                </w14:textFill>
              </w:rPr>
              <w:t>废气通过活性炭吸附层时，大部分的吸附质被吸附在吸附层内，随着吸附时间的延续，活性炭的吸附能力将下降，其有效部分将越来越薄，当活性炭全部达到饱和时，活性炭被穿透。为确保装置处理效率，需定期对活性炭进行更替。</w:t>
            </w:r>
          </w:p>
          <w:p>
            <w:pPr>
              <w:spacing w:line="360" w:lineRule="auto"/>
              <w:ind w:firstLine="480" w:firstLineChars="200"/>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活性炭吸附装置在设计时，应根据《吸附法工业有机废气治理工程技术规范》（HJ 2026-2013）及《生态环境部关于加快解决当前挥发性有机物治理突出问题的通知》（环大气〔2021〕65号），满足以下控制要求</w:t>
            </w:r>
            <w:r>
              <w:rPr>
                <w:rFonts w:hint="default" w:ascii="Times New Roman" w:hAnsi="Times New Roman" w:eastAsia="宋体" w:cs="Times New Roman"/>
                <w:color w:val="000000" w:themeColor="text1"/>
                <w:kern w:val="0"/>
                <w:sz w:val="24"/>
                <w:szCs w:val="24"/>
                <w:lang w:bidi="ar"/>
                <w14:textFill>
                  <w14:solidFill>
                    <w14:schemeClr w14:val="tx1"/>
                  </w14:solidFill>
                </w14:textFill>
              </w:rPr>
              <w:t>：</w:t>
            </w:r>
          </w:p>
          <w:p>
            <w:pPr>
              <w:pStyle w:val="38"/>
              <w:keepNext w:val="0"/>
              <w:keepLines w:val="0"/>
              <w:pageBreakBefore w:val="0"/>
              <w:widowControl w:val="0"/>
              <w:kinsoku/>
              <w:wordWrap/>
              <w:overflowPunct/>
              <w:topLinePunct w:val="0"/>
              <w:autoSpaceDE w:val="0"/>
              <w:autoSpaceDN w:val="0"/>
              <w:bidi w:val="0"/>
              <w:adjustRightInd w:val="0"/>
              <w:snapToGrid/>
              <w:spacing w:before="313" w:beforeLines="100"/>
              <w:ind w:firstLine="0"/>
              <w:jc w:val="center"/>
              <w:textAlignment w:val="auto"/>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表4-1</w:t>
            </w: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活性炭吸附装置设计控制参数一览表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907"/>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82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669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825"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预处理要求</w:t>
                  </w:r>
                </w:p>
              </w:tc>
              <w:tc>
                <w:tcPr>
                  <w:tcW w:w="669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颗粒物浓度超过1mg/m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时，采取过滤或洗涤措施进行预处理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82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669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进气温度高于40℃时，采取稀释或冷凝降温进行预处理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82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669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过滤材料两端设置压差计，对过滤材料及时更换。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82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吸附材质要求</w:t>
                  </w:r>
                </w:p>
              </w:tc>
              <w:tc>
                <w:tcPr>
                  <w:tcW w:w="669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采用颗粒活性炭作为吸附剂时，其碘值不宜低800mg/g；</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采用蜂窝活性炭作为吸附剂时，其碘值不宜低于650mg/g；</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采用活性炭纤维作为吸附剂时，其比表面积不低于1100m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/g（BET 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82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工艺参数</w:t>
                  </w:r>
                </w:p>
              </w:tc>
              <w:tc>
                <w:tcPr>
                  <w:tcW w:w="669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采用蜂窝活性炭时，吸附装置空气流速宜低于1.2m/s</w:t>
                  </w:r>
                </w:p>
              </w:tc>
            </w:tr>
          </w:tbl>
          <w:p>
            <w:pPr>
              <w:spacing w:before="100" w:beforeAutospacing="1"/>
              <w:jc w:val="center"/>
              <w:rPr>
                <w:rFonts w:hint="default" w:ascii="Times New Roman" w:hAnsi="Times New Roman" w:cs="Times New Roman"/>
                <w:b/>
                <w:bCs/>
                <w:color w:val="000000" w:themeColor="text1"/>
                <w:sz w:val="24"/>
                <w:lang w:val="zh-CN"/>
                <w14:textFill>
                  <w14:solidFill>
                    <w14:schemeClr w14:val="tx1"/>
                  </w14:solidFill>
                </w14:textFill>
              </w:rPr>
            </w:pPr>
            <w:r>
              <w:rPr>
                <w:rFonts w:hint="default" w:ascii="Times New Roman" w:hAnsi="Times New Roman" w:cs="Times New Roman"/>
                <w:b/>
                <w:bCs/>
                <w:color w:val="000000" w:themeColor="text1"/>
                <w:sz w:val="24"/>
                <w:lang w:val="zh-CN"/>
                <w14:textFill>
                  <w14:solidFill>
                    <w14:schemeClr w14:val="tx1"/>
                  </w14:solidFill>
                </w14:textFill>
              </w:rPr>
              <w:t>表</w:t>
            </w:r>
            <w:r>
              <w:rPr>
                <w:rFonts w:hint="default" w:ascii="Times New Roman" w:hAnsi="Times New Roman" w:cs="Times New Roman"/>
                <w:b/>
                <w:bCs/>
                <w:color w:val="000000" w:themeColor="text1"/>
                <w:sz w:val="24"/>
                <w:lang w:val="en-US" w:eastAsia="zh-CN"/>
                <w14:textFill>
                  <w14:solidFill>
                    <w14:schemeClr w14:val="tx1"/>
                  </w14:solidFill>
                </w14:textFill>
              </w:rPr>
              <w:t xml:space="preserve">4-16  </w:t>
            </w:r>
            <w:r>
              <w:rPr>
                <w:rFonts w:hint="default" w:ascii="Times New Roman" w:hAnsi="Times New Roman" w:cs="Times New Roman"/>
                <w:b/>
                <w:bCs/>
                <w:color w:val="000000" w:themeColor="text1"/>
                <w:sz w:val="24"/>
                <w:lang w:val="zh-CN"/>
                <w14:textFill>
                  <w14:solidFill>
                    <w14:schemeClr w14:val="tx1"/>
                  </w14:solidFill>
                </w14:textFill>
              </w:rPr>
              <w:t>活性炭吸附装置技术参数表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549"/>
              <w:gridCol w:w="1801"/>
              <w:gridCol w:w="1771"/>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1458"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活性炭</w:t>
                  </w:r>
                  <w:r>
                    <w:rPr>
                      <w:rFonts w:hint="default" w:ascii="Times New Roman" w:hAnsi="Times New Roman" w:eastAsia="宋体" w:cs="Times New Roman"/>
                      <w:b/>
                      <w:color w:val="000000" w:themeColor="text1"/>
                      <w:sz w:val="21"/>
                      <w:szCs w:val="21"/>
                      <w14:textFill>
                        <w14:solidFill>
                          <w14:schemeClr w14:val="tx1"/>
                        </w14:solidFill>
                      </w14:textFill>
                    </w:rPr>
                    <w:t>尺寸</w:t>
                  </w:r>
                </w:p>
              </w:tc>
              <w:tc>
                <w:tcPr>
                  <w:tcW w:w="103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活性炭形态</w:t>
                  </w:r>
                </w:p>
              </w:tc>
              <w:tc>
                <w:tcPr>
                  <w:tcW w:w="1013"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过滤风速</w:t>
                  </w:r>
                </w:p>
              </w:tc>
              <w:tc>
                <w:tcPr>
                  <w:tcW w:w="99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过滤停留时间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参数</w:t>
                  </w:r>
                </w:p>
              </w:tc>
              <w:tc>
                <w:tcPr>
                  <w:tcW w:w="1458"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lang w:val="pt-BR"/>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pt-BR"/>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pt-BR"/>
                      <w14:textFill>
                        <w14:solidFill>
                          <w14:schemeClr w14:val="tx1"/>
                        </w14:solidFill>
                      </w14:textFill>
                    </w:rPr>
                    <w:t>m</w:t>
                  </w:r>
                </w:p>
              </w:tc>
              <w:tc>
                <w:tcPr>
                  <w:tcW w:w="103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蜂窝状</w:t>
                  </w:r>
                </w:p>
              </w:tc>
              <w:tc>
                <w:tcPr>
                  <w:tcW w:w="1013"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.95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p>
              </w:tc>
              <w:tc>
                <w:tcPr>
                  <w:tcW w:w="99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1.58</w:t>
                  </w:r>
                  <w:r>
                    <w:rPr>
                      <w:rFonts w:hint="default" w:ascii="Times New Roman" w:hAnsi="Times New Roman" w:eastAsia="宋体" w:cs="Times New Roman"/>
                      <w:color w:val="000000" w:themeColor="text1"/>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1458"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活性炭碘值</w:t>
                  </w:r>
                </w:p>
              </w:tc>
              <w:tc>
                <w:tcPr>
                  <w:tcW w:w="103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介质温度</w:t>
                  </w:r>
                </w:p>
              </w:tc>
              <w:tc>
                <w:tcPr>
                  <w:tcW w:w="1013" w:type="pct"/>
                  <w:noWrap w:val="0"/>
                  <w:vAlign w:val="center"/>
                </w:tcPr>
                <w:p>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处理</w:t>
                  </w:r>
                  <w:r>
                    <w:rPr>
                      <w:rFonts w:hint="default" w:ascii="Times New Roman" w:hAnsi="Times New Roman" w:eastAsia="宋体" w:cs="Times New Roman"/>
                      <w:b/>
                      <w:bCs/>
                      <w:color w:val="000000" w:themeColor="text1"/>
                      <w:sz w:val="21"/>
                      <w:szCs w:val="21"/>
                      <w:highlight w:val="none"/>
                      <w:shd w:val="clear" w:color="auto" w:fill="auto"/>
                      <w:lang w:eastAsia="zh-CN"/>
                      <w14:textFill>
                        <w14:solidFill>
                          <w14:schemeClr w14:val="tx1"/>
                        </w14:solidFill>
                      </w14:textFill>
                    </w:rPr>
                    <w:t>总</w:t>
                  </w: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风量</w:t>
                  </w:r>
                </w:p>
              </w:tc>
              <w:tc>
                <w:tcPr>
                  <w:tcW w:w="99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过滤面积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参数</w:t>
                  </w:r>
                </w:p>
              </w:tc>
              <w:tc>
                <w:tcPr>
                  <w:tcW w:w="1458"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w:t>
                  </w:r>
                </w:p>
              </w:tc>
              <w:tc>
                <w:tcPr>
                  <w:tcW w:w="103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013" w:type="pct"/>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000</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/h</w:t>
                  </w:r>
                </w:p>
              </w:tc>
              <w:tc>
                <w:tcPr>
                  <w:tcW w:w="99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4.4</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shd w:val="clear" w:color="auto" w:fill="auto"/>
                      <w:vertAlign w:val="superscript"/>
                      <w14:textFill>
                        <w14:solidFill>
                          <w14:schemeClr w14:val="tx1"/>
                        </w14:solidFill>
                      </w14:textFill>
                    </w:rPr>
                    <w:t>2</w:t>
                  </w:r>
                </w:p>
              </w:tc>
            </w:tr>
          </w:tbl>
          <w:p>
            <w:pPr>
              <w:spacing w:before="100" w:beforeAutospacing="1"/>
              <w:jc w:val="center"/>
              <w:rPr>
                <w:rFonts w:hint="default" w:ascii="Times New Roman" w:hAnsi="Times New Roman" w:cs="Times New Roman"/>
                <w:b/>
                <w:bCs/>
                <w:color w:val="000000" w:themeColor="text1"/>
                <w:sz w:val="24"/>
                <w:lang w:val="zh-CN"/>
                <w14:textFill>
                  <w14:solidFill>
                    <w14:schemeClr w14:val="tx1"/>
                  </w14:solidFill>
                </w14:textFill>
              </w:rPr>
            </w:pPr>
            <w:r>
              <w:rPr>
                <w:rFonts w:hint="default" w:ascii="Times New Roman" w:hAnsi="Times New Roman" w:cs="Times New Roman"/>
                <w:b/>
                <w:bCs/>
                <w:color w:val="000000" w:themeColor="text1"/>
                <w:sz w:val="24"/>
                <w:lang w:val="zh-CN"/>
                <w14:textFill>
                  <w14:solidFill>
                    <w14:schemeClr w14:val="tx1"/>
                  </w14:solidFill>
                </w14:textFill>
              </w:rPr>
              <w:t>表</w:t>
            </w:r>
            <w:r>
              <w:rPr>
                <w:rFonts w:hint="default" w:ascii="Times New Roman" w:hAnsi="Times New Roman" w:cs="Times New Roman"/>
                <w:b/>
                <w:bCs/>
                <w:color w:val="000000" w:themeColor="text1"/>
                <w:sz w:val="24"/>
                <w:lang w:val="en-US" w:eastAsia="zh-CN"/>
                <w14:textFill>
                  <w14:solidFill>
                    <w14:schemeClr w14:val="tx1"/>
                  </w14:solidFill>
                </w14:textFill>
              </w:rPr>
              <w:t>4-17  危废库废气</w:t>
            </w:r>
            <w:r>
              <w:rPr>
                <w:rFonts w:hint="default" w:ascii="Times New Roman" w:hAnsi="Times New Roman" w:cs="Times New Roman"/>
                <w:b/>
                <w:bCs/>
                <w:color w:val="000000" w:themeColor="text1"/>
                <w:sz w:val="24"/>
                <w:lang w:val="zh-CN"/>
                <w14:textFill>
                  <w14:solidFill>
                    <w14:schemeClr w14:val="tx1"/>
                  </w14:solidFill>
                </w14:textFill>
              </w:rPr>
              <w:t>活性炭吸附装置技术参数表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549"/>
              <w:gridCol w:w="1801"/>
              <w:gridCol w:w="1771"/>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1458"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活性炭</w:t>
                  </w:r>
                  <w:r>
                    <w:rPr>
                      <w:rFonts w:hint="default" w:ascii="Times New Roman" w:hAnsi="Times New Roman" w:eastAsia="宋体" w:cs="Times New Roman"/>
                      <w:b/>
                      <w:color w:val="000000" w:themeColor="text1"/>
                      <w:sz w:val="21"/>
                      <w:szCs w:val="21"/>
                      <w14:textFill>
                        <w14:solidFill>
                          <w14:schemeClr w14:val="tx1"/>
                        </w14:solidFill>
                      </w14:textFill>
                    </w:rPr>
                    <w:t>尺寸</w:t>
                  </w:r>
                </w:p>
              </w:tc>
              <w:tc>
                <w:tcPr>
                  <w:tcW w:w="103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活性炭形态</w:t>
                  </w:r>
                </w:p>
              </w:tc>
              <w:tc>
                <w:tcPr>
                  <w:tcW w:w="1013"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过滤风速</w:t>
                  </w:r>
                </w:p>
              </w:tc>
              <w:tc>
                <w:tcPr>
                  <w:tcW w:w="99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过滤停留时间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参数</w:t>
                  </w:r>
                </w:p>
              </w:tc>
              <w:tc>
                <w:tcPr>
                  <w:tcW w:w="1458"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pt-BR"/>
                      <w14:textFill>
                        <w14:solidFill>
                          <w14:schemeClr w14:val="tx1"/>
                        </w14:solidFill>
                      </w14:textFill>
                    </w:rPr>
                    <w:t>m×</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pt-BR"/>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pt-BR"/>
                      <w14:textFill>
                        <w14:solidFill>
                          <w14:schemeClr w14:val="tx1"/>
                        </w14:solidFill>
                      </w14:textFill>
                    </w:rPr>
                    <w:t>m</w:t>
                  </w:r>
                </w:p>
              </w:tc>
              <w:tc>
                <w:tcPr>
                  <w:tcW w:w="103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蜂窝状</w:t>
                  </w:r>
                </w:p>
              </w:tc>
              <w:tc>
                <w:tcPr>
                  <w:tcW w:w="1013"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28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p>
              </w:tc>
              <w:tc>
                <w:tcPr>
                  <w:tcW w:w="99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3.57</w:t>
                  </w:r>
                  <w:r>
                    <w:rPr>
                      <w:rFonts w:hint="default" w:ascii="Times New Roman" w:hAnsi="Times New Roman" w:eastAsia="宋体" w:cs="Times New Roman"/>
                      <w:color w:val="000000" w:themeColor="text1"/>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1458"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活性炭碘值</w:t>
                  </w:r>
                </w:p>
              </w:tc>
              <w:tc>
                <w:tcPr>
                  <w:tcW w:w="103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介质温度</w:t>
                  </w:r>
                </w:p>
              </w:tc>
              <w:tc>
                <w:tcPr>
                  <w:tcW w:w="1013" w:type="pct"/>
                  <w:noWrap w:val="0"/>
                  <w:vAlign w:val="center"/>
                </w:tcPr>
                <w:p>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处理</w:t>
                  </w:r>
                  <w:r>
                    <w:rPr>
                      <w:rFonts w:hint="default" w:ascii="Times New Roman" w:hAnsi="Times New Roman" w:eastAsia="宋体" w:cs="Times New Roman"/>
                      <w:b/>
                      <w:bCs/>
                      <w:color w:val="000000" w:themeColor="text1"/>
                      <w:sz w:val="21"/>
                      <w:szCs w:val="21"/>
                      <w:highlight w:val="none"/>
                      <w:shd w:val="clear" w:color="auto" w:fill="auto"/>
                      <w:lang w:eastAsia="zh-CN"/>
                      <w14:textFill>
                        <w14:solidFill>
                          <w14:schemeClr w14:val="tx1"/>
                        </w14:solidFill>
                      </w14:textFill>
                    </w:rPr>
                    <w:t>总</w:t>
                  </w: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风量</w:t>
                  </w:r>
                </w:p>
              </w:tc>
              <w:tc>
                <w:tcPr>
                  <w:tcW w:w="990" w:type="pct"/>
                  <w:noWrap w:val="0"/>
                  <w:vAlign w:val="center"/>
                </w:tcPr>
                <w:p>
                  <w:pPr>
                    <w:adjustRightInd w:val="0"/>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过滤面积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7"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参数</w:t>
                  </w:r>
                </w:p>
              </w:tc>
              <w:tc>
                <w:tcPr>
                  <w:tcW w:w="1458"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w:t>
                  </w:r>
                </w:p>
              </w:tc>
              <w:tc>
                <w:tcPr>
                  <w:tcW w:w="103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013" w:type="pct"/>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000</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/h</w:t>
                  </w:r>
                </w:p>
              </w:tc>
              <w:tc>
                <w:tcPr>
                  <w:tcW w:w="990" w:type="pct"/>
                  <w:noWrap w:val="0"/>
                  <w:vAlign w:val="center"/>
                </w:tcPr>
                <w:p>
                  <w:pPr>
                    <w:adjustRightIn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shd w:val="clear" w:color="auto" w:fill="auto"/>
                      <w:vertAlign w:val="superscript"/>
                      <w14:textFill>
                        <w14:solidFill>
                          <w14:schemeClr w14:val="tx1"/>
                        </w14:solidFill>
                      </w14:textFill>
                    </w:rPr>
                    <w:t>2</w:t>
                  </w:r>
                </w:p>
              </w:tc>
            </w:tr>
          </w:tbl>
          <w:p>
            <w:pPr>
              <w:spacing w:line="360" w:lineRule="auto"/>
              <w:ind w:firstLine="480" w:firstLineChars="200"/>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根据《吸附法工业有机废气治理工程技术规范》（HJ 2026-2013），项目活性炭吸附装置在满足上述要求后，其净化效率达到90%以上。</w:t>
            </w:r>
          </w:p>
          <w:p>
            <w:pPr>
              <w:spacing w:line="360" w:lineRule="auto"/>
              <w:ind w:firstLine="482" w:firstLineChars="200"/>
              <w:rPr>
                <w:rFonts w:hint="default" w:ascii="Times New Roman" w:hAnsi="Times New Roman" w:cs="Times New Roman"/>
                <w:b/>
                <w:bCs/>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eastAsia="zh-CN" w:bidi="ar"/>
                <w14:textFill>
                  <w14:solidFill>
                    <w14:schemeClr w14:val="tx1"/>
                  </w14:solidFill>
                </w14:textFill>
              </w:rPr>
              <w:t>③</w:t>
            </w:r>
            <w:r>
              <w:rPr>
                <w:rFonts w:hint="default" w:ascii="Times New Roman" w:hAnsi="Times New Roman" w:cs="Times New Roman"/>
                <w:b/>
                <w:bCs/>
                <w:color w:val="000000" w:themeColor="text1"/>
                <w:kern w:val="0"/>
                <w:sz w:val="24"/>
                <w:szCs w:val="24"/>
                <w:lang w:bidi="ar"/>
                <w14:textFill>
                  <w14:solidFill>
                    <w14:schemeClr w14:val="tx1"/>
                  </w14:solidFill>
                </w14:textFill>
              </w:rPr>
              <w:t>粉尘治理措施</w:t>
            </w:r>
          </w:p>
          <w:p>
            <w:pPr>
              <w:spacing w:line="360" w:lineRule="auto"/>
              <w:ind w:firstLine="482" w:firstLineChars="200"/>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bidi="ar"/>
                <w14:textFill>
                  <w14:solidFill>
                    <w14:schemeClr w14:val="tx1"/>
                  </w14:solidFill>
                </w14:textFill>
              </w:rPr>
              <w:t>布袋除尘器：</w:t>
            </w:r>
            <w:r>
              <w:rPr>
                <w:rFonts w:hint="default" w:ascii="Times New Roman" w:hAnsi="Times New Roman" w:eastAsia="宋体" w:cs="Times New Roman"/>
                <w:color w:val="000000" w:themeColor="text1"/>
                <w:kern w:val="0"/>
                <w:sz w:val="24"/>
                <w:szCs w:val="24"/>
                <w:lang w:bidi="ar"/>
                <w14:textFill>
                  <w14:solidFill>
                    <w14:schemeClr w14:val="tx1"/>
                  </w14:solidFill>
                </w14:textFill>
              </w:rPr>
              <w:t>袋式除尘器的滤布用棉、毛、有机纤维、元机纤维织成，滤袋的捕尘主要是通过筛滤机制完成的，在尘粒径大滤料纤维孔隙时，会被滤料拦截，从气流中筛滤出来， 特别是粉尘在滤料沉积到一定厚度后，形成所谓的“粉尘初层”，这种筛滤作用更为显著。袋式除尘器广泛应用于各种工业废气除尘中，它的除尘效率高，可达到95%以上，适应范围广，对细颗粒粉尘也有很强的捕集作用。</w:t>
            </w:r>
          </w:p>
          <w:p>
            <w:pPr>
              <w:spacing w:line="360" w:lineRule="auto"/>
              <w:ind w:firstLine="482" w:firstLineChars="200"/>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湿式除尘器：</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它是使含尘气体与液体（一般为水）密切接触，利用水滴和颗粒的</w: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bidi="ar"/>
                <w14:textFill>
                  <w14:solidFill>
                    <w14:schemeClr w14:val="tx1"/>
                  </w14:solidFill>
                </w14:textFill>
              </w:rPr>
              <w:instrText xml:space="preserve"> HYPERLINK "https://baike.baidu.com/item/%E6%83%AF%E6%80%A7/0?fromModule=lemma_inlink" \t "https://baike.baidu.com/item/%E6%B9%BF%E5%BC%8F%E9%99%A4%E5%B0%98%E5%99%A8/_blank" </w:instrTex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lang w:bidi="ar"/>
                <w14:textFill>
                  <w14:solidFill>
                    <w14:schemeClr w14:val="tx1"/>
                  </w14:solidFill>
                </w14:textFill>
              </w:rPr>
              <w:t>惯性</w: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bidi="ar"/>
                <w14:textFill>
                  <w14:solidFill>
                    <w14:schemeClr w14:val="tx1"/>
                  </w14:solidFill>
                </w14:textFill>
              </w:rPr>
              <w:t>碰撞或者利用水和粉尘的充分混合作用及其他作用捕集颗粒或使颗粒增大或留于固定容器内达到水和粉尘分离效果的装置。生产的湿式除尘器是把</w: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bidi="ar"/>
                <w14:textFill>
                  <w14:solidFill>
                    <w14:schemeClr w14:val="tx1"/>
                  </w14:solidFill>
                </w14:textFill>
              </w:rPr>
              <w:instrText xml:space="preserve"> HYPERLINK "https://baike.baidu.com/item/%E6%B0%B4%E6%B5%B4/0?fromModule=lemma_inlink" \t "https://baike.baidu.com/item/%E6%B9%BF%E5%BC%8F%E9%99%A4%E5%B0%98%E5%99%A8/_blank" </w:instrTex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lang w:bidi="ar"/>
                <w14:textFill>
                  <w14:solidFill>
                    <w14:schemeClr w14:val="tx1"/>
                  </w14:solidFill>
                </w14:textFill>
              </w:rPr>
              <w:t>水浴</w: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bidi="ar"/>
                <w14:textFill>
                  <w14:solidFill>
                    <w14:schemeClr w14:val="tx1"/>
                  </w14:solidFill>
                </w14:textFill>
              </w:rPr>
              <w:t>和喷淋两种形式合二为一。先是利用高压</w: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bidi="ar"/>
                <w14:textFill>
                  <w14:solidFill>
                    <w14:schemeClr w14:val="tx1"/>
                  </w14:solidFill>
                </w14:textFill>
              </w:rPr>
              <w:instrText xml:space="preserve"> HYPERLINK "https://baike.baidu.com/item/%E7%A6%BB%E5%BF%83/18555357?fromModule=lemma_inlink" \t "https://baike.baidu.com/item/%E6%B9%BF%E5%BC%8F%E9%99%A4%E5%B0%98%E5%99%A8/_blank" </w:instrTex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lang w:bidi="ar"/>
                <w14:textFill>
                  <w14:solidFill>
                    <w14:schemeClr w14:val="tx1"/>
                  </w14:solidFill>
                </w14:textFill>
              </w:rPr>
              <w:t>离心</w:t>
            </w:r>
            <w:r>
              <w:rPr>
                <w:rFonts w:hint="default" w:ascii="Times New Roman" w:hAnsi="Times New Roman" w:eastAsia="宋体" w:cs="Times New Roman"/>
                <w:color w:val="000000" w:themeColor="text1"/>
                <w:kern w:val="0"/>
                <w:sz w:val="24"/>
                <w:szCs w:val="24"/>
                <w:lang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bidi="ar"/>
                <w14:textFill>
                  <w14:solidFill>
                    <w14:schemeClr w14:val="tx1"/>
                  </w14:solidFill>
                </w14:textFill>
              </w:rPr>
              <w:t>风机的吸力，把含尘气体压到装有一定高度水的水槽中，水浴会把一部分灰尘吸附在水中。经均布分流后，气体从下往上流动，而高压喷头则由上向下喷洒水雾，捕集剩余部分的尘粒。</w:t>
            </w:r>
          </w:p>
          <w:p>
            <w:pPr>
              <w:spacing w:line="360" w:lineRule="auto"/>
              <w:ind w:firstLine="482" w:firstLineChars="200"/>
              <w:rPr>
                <w:rFonts w:hint="default" w:ascii="Times New Roman" w:hAnsi="Times New Roman" w:cs="Times New Roman"/>
                <w:b/>
                <w:bCs/>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④低氮燃烧器</w:t>
            </w:r>
          </w:p>
          <w:p>
            <w:pPr>
              <w:spacing w:line="360" w:lineRule="auto"/>
              <w:ind w:firstLine="480" w:firstLineChars="200"/>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项目低氮燃烧器采用预燃室低氮燃烧技术，预燃室是近10年来我国开发研究的一种高效率、低NOx分级燃烧技术，一般由一次风和燃料喷射系统等组成，燃料和一次风快速混合，在预燃室内一次燃烧区形成富燃料混合物，由于缺氧，只是部分燃料进行燃烧，燃料在贫氧和</w:t>
            </w:r>
            <w:r>
              <w:rPr>
                <w:rFonts w:hint="default" w:ascii="Times New Roman" w:hAnsi="Times New Roman" w:cs="Times New Roman"/>
                <w:bCs/>
                <w:color w:val="000000" w:themeColor="text1"/>
                <w:sz w:val="24"/>
                <w:szCs w:val="24"/>
                <w14:textFill>
                  <w14:solidFill>
                    <w14:schemeClr w14:val="tx1"/>
                  </w14:solidFill>
                </w14:textFill>
              </w:rPr>
              <w:fldChar w:fldCharType="begin"/>
            </w:r>
            <w:r>
              <w:rPr>
                <w:rFonts w:hint="default" w:ascii="Times New Roman" w:hAnsi="Times New Roman" w:cs="Times New Roman"/>
                <w:bCs/>
                <w:color w:val="000000" w:themeColor="text1"/>
                <w:sz w:val="24"/>
                <w:szCs w:val="24"/>
                <w14:textFill>
                  <w14:solidFill>
                    <w14:schemeClr w14:val="tx1"/>
                  </w14:solidFill>
                </w14:textFill>
              </w:rPr>
              <w:instrText xml:space="preserve"> HYPERLINK "https://baike.baidu.com/item/%E7%81%AB%E7%84%B0/42739" \t "https://baike.baidu.com/item/%E4%BD%8ENOx%E7%87%83%E7%83%A7%E5%99%A8/_blank" </w:instrText>
            </w:r>
            <w:r>
              <w:rPr>
                <w:rFonts w:hint="default" w:ascii="Times New Roman" w:hAnsi="Times New Roman" w:cs="Times New Roman"/>
                <w:bCs/>
                <w:color w:val="000000" w:themeColor="text1"/>
                <w:sz w:val="24"/>
                <w:szCs w:val="24"/>
                <w14:textFill>
                  <w14:solidFill>
                    <w14:schemeClr w14:val="tx1"/>
                  </w14:solidFill>
                </w14:textFill>
              </w:rPr>
              <w:fldChar w:fldCharType="separate"/>
            </w:r>
            <w:r>
              <w:rPr>
                <w:rFonts w:hint="default" w:ascii="Times New Roman" w:hAnsi="Times New Roman" w:cs="Times New Roman"/>
                <w:bCs/>
                <w:color w:val="000000" w:themeColor="text1"/>
                <w:sz w:val="24"/>
                <w:szCs w:val="24"/>
                <w14:textFill>
                  <w14:solidFill>
                    <w14:schemeClr w14:val="tx1"/>
                  </w14:solidFill>
                </w14:textFill>
              </w:rPr>
              <w:t>火焰</w:t>
            </w:r>
            <w:r>
              <w:rPr>
                <w:rFonts w:hint="default" w:ascii="Times New Roman" w:hAnsi="Times New Roman" w:cs="Times New Roman"/>
                <w:bCs/>
                <w:color w:val="000000" w:themeColor="text1"/>
                <w:sz w:val="24"/>
                <w:szCs w:val="24"/>
                <w14:textFill>
                  <w14:solidFill>
                    <w14:schemeClr w14:val="tx1"/>
                  </w14:solidFill>
                </w14:textFill>
              </w:rPr>
              <w:fldChar w:fldCharType="end"/>
            </w:r>
            <w:r>
              <w:rPr>
                <w:rFonts w:hint="default" w:ascii="Times New Roman" w:hAnsi="Times New Roman" w:cs="Times New Roman"/>
                <w:bCs/>
                <w:color w:val="000000" w:themeColor="text1"/>
                <w:sz w:val="24"/>
                <w:szCs w:val="24"/>
                <w14:textFill>
                  <w14:solidFill>
                    <w14:schemeClr w14:val="tx1"/>
                  </w14:solidFill>
                </w14:textFill>
              </w:rPr>
              <w:t>温度较低的一次火焰区内析出挥发分，因此减少了NOx的生成。类比同类项目，该低氮燃烧技术可减少50%的NOx产生量。</w:t>
            </w:r>
          </w:p>
          <w:p>
            <w:pPr>
              <w:spacing w:line="360" w:lineRule="auto"/>
              <w:ind w:firstLine="482" w:firstLineChars="20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⑤静电式油雾净化器</w:t>
            </w:r>
          </w:p>
          <w:p>
            <w:pPr>
              <w:spacing w:line="360" w:lineRule="auto"/>
              <w:ind w:firstLine="482"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静电式油雾净化器</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原理:</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含油雾的废气从吸风口进入复合式迷宫过滤器时，油雾中的大颗粒被分离并落入集液室，其余的细微颗粒进入荷电区被当中存在的大量正负离子着荷，然后在电场力的作用下，荷电油雾会向其极性相反的收集板运动，从而实现了油雾与空气的分离。</w:t>
            </w:r>
          </w:p>
          <w:p>
            <w:pPr>
              <w:spacing w:line="360" w:lineRule="auto"/>
              <w:ind w:firstLine="480" w:firstLineChars="200"/>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4）排气筒高度设计要求</w:t>
            </w:r>
          </w:p>
          <w:p>
            <w:pPr>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①标准中对排气筒高度的规定</w:t>
            </w:r>
          </w:p>
          <w:p>
            <w:pPr>
              <w:keepNext w:val="0"/>
              <w:keepLines w:val="0"/>
              <w:pageBreakBefore w:val="0"/>
              <w:kinsoku/>
              <w:wordWrap/>
              <w:overflowPunct/>
              <w:topLinePunct w:val="0"/>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《大气污染物综合排放标准》（GB16297-1996）中对排气筒高度的规定：“排气筒应高出周边200m半径范围的建筑5m以上”。</w:t>
            </w:r>
          </w:p>
          <w:p>
            <w:pPr>
              <w:keepNext w:val="0"/>
              <w:keepLines w:val="0"/>
              <w:pageBreakBefore w:val="0"/>
              <w:kinsoku/>
              <w:wordWrap/>
              <w:overflowPunct/>
              <w:topLinePunct w:val="0"/>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铸造工业大气污染物排放标准》（GB39726-2020）中对排气筒高度的规定：“除移动式除尘设备外，其他车间或生产设施排气筒高度不低于15m，具体高度以及与周围建筑物的相对高度关系应根据环境影响评价文件确定”。</w:t>
            </w:r>
          </w:p>
          <w:p>
            <w:pPr>
              <w:keepNext w:val="0"/>
              <w:keepLines w:val="0"/>
              <w:pageBreakBefore w:val="0"/>
              <w:kinsoku/>
              <w:wordWrap/>
              <w:overflowPunct/>
              <w:topLinePunct w:val="0"/>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②项目排气筒高度要求</w:t>
            </w:r>
          </w:p>
          <w:p>
            <w:pPr>
              <w:spacing w:line="360" w:lineRule="auto"/>
              <w:ind w:firstLine="480" w:firstLineChars="200"/>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本次评价中排气筒高度按照各标准的最严要求设置，</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项目周边建筑物最高为本项目所在生产厂房，高度为</w:t>
            </w:r>
            <w:r>
              <w:rPr>
                <w:rFonts w:hint="default" w:ascii="Times New Roman" w:hAnsi="Times New Roman" w:cs="Times New Roman"/>
                <w:b w:val="0"/>
                <w:bCs w:val="0"/>
                <w:color w:val="000000" w:themeColor="text1"/>
                <w:spacing w:val="0"/>
                <w:kern w:val="0"/>
                <w:sz w:val="24"/>
                <w:szCs w:val="24"/>
                <w:lang w:val="en-US" w:eastAsia="zh-CN" w:bidi="ar"/>
                <w14:textFill>
                  <w14:solidFill>
                    <w14:schemeClr w14:val="tx1"/>
                  </w14:solidFill>
                </w14:textFill>
              </w:rPr>
              <w:t>9</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m，因此项目排气筒设计高度为</w:t>
            </w:r>
            <w:r>
              <w:rPr>
                <w:rFonts w:hint="default" w:ascii="Times New Roman" w:hAnsi="Times New Roman" w:cs="Times New Roman"/>
                <w:b w:val="0"/>
                <w:bCs w:val="0"/>
                <w:color w:val="000000" w:themeColor="text1"/>
                <w:spacing w:val="0"/>
                <w:kern w:val="0"/>
                <w:sz w:val="24"/>
                <w:szCs w:val="24"/>
                <w:lang w:val="en-US" w:eastAsia="zh-CN" w:bidi="ar"/>
                <w14:textFill>
                  <w14:solidFill>
                    <w14:schemeClr w14:val="tx1"/>
                  </w14:solidFill>
                </w14:textFill>
              </w:rPr>
              <w:t>15</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m，符合要求。</w:t>
            </w:r>
          </w:p>
          <w:p>
            <w:pPr>
              <w:autoSpaceDE w:val="0"/>
              <w:spacing w:line="360" w:lineRule="auto"/>
              <w:ind w:firstLine="482" w:firstLineChars="200"/>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4、环境防护距离分析</w:t>
            </w:r>
          </w:p>
          <w:p>
            <w:pPr>
              <w:spacing w:line="360" w:lineRule="auto"/>
              <w:ind w:firstLine="480" w:firstLineChars="200"/>
              <w:rPr>
                <w:rFonts w:hint="default" w:ascii="Times New Roman" w:hAnsi="Times New Roman" w:eastAsia="宋体" w:cs="Times New Roman"/>
                <w:b w:val="0"/>
                <w:bCs w:val="0"/>
                <w:color w:val="000000" w:themeColor="text1"/>
                <w:spacing w:val="0"/>
                <w:kern w:val="0"/>
                <w:sz w:val="24"/>
                <w:szCs w:val="24"/>
                <w:lang w:val="en-US" w:eastAsia="zh-TW"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根据《环境影响评价技术导则 大气环境》(HJ2.2-2018)，对于项目厂界浓度满足大气污染物厂界浓度限值，但厂界外大气污染物短期浓度贡献值超过环境质量浓度限值的，可以自厂界向外设置一定范围的大气环境防护区域，以确保大气环境防护区域外的污染物贡献浓度满足环境质量标准。建设项目大气污染物浓度贡献值未超过环境质量浓度限值，不需设置大气环境防护距离。本项目各废气污染物均采取有效措施，可以实现达标排放，本项目不需要设置大气防护距离。</w:t>
            </w:r>
          </w:p>
          <w:p>
            <w:pPr>
              <w:autoSpaceDE w:val="0"/>
              <w:spacing w:line="360" w:lineRule="auto"/>
              <w:ind w:firstLine="482" w:firstLineChars="200"/>
              <w:rPr>
                <w:rFonts w:hint="default" w:ascii="Times New Roman" w:hAnsi="Times New Roman" w:cs="Times New Roman" w:eastAsiaTheme="minorEastAsia"/>
                <w:b/>
                <w:bCs/>
                <w:color w:val="000000" w:themeColor="text1"/>
                <w:sz w:val="24"/>
                <w:szCs w:val="24"/>
                <w:lang w:bidi="ar"/>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5、</w:t>
            </w:r>
            <w:r>
              <w:rPr>
                <w:rFonts w:hint="default" w:ascii="Times New Roman" w:hAnsi="Times New Roman" w:cs="Times New Roman" w:eastAsiaTheme="minorEastAsia"/>
                <w:b/>
                <w:bCs/>
                <w:color w:val="000000" w:themeColor="text1"/>
                <w:sz w:val="24"/>
                <w:szCs w:val="24"/>
                <w:lang w:bidi="ar"/>
                <w14:textFill>
                  <w14:solidFill>
                    <w14:schemeClr w14:val="tx1"/>
                  </w14:solidFill>
                </w14:textFill>
              </w:rPr>
              <w:t>废气</w:t>
            </w:r>
            <w:r>
              <w:rPr>
                <w:rFonts w:hint="default" w:ascii="Times New Roman" w:hAnsi="Times New Roman" w:cs="Times New Roman" w:eastAsiaTheme="minorEastAsia"/>
                <w:b/>
                <w:bCs/>
                <w:color w:val="000000" w:themeColor="text1"/>
                <w:kern w:val="0"/>
                <w:sz w:val="24"/>
                <w:szCs w:val="24"/>
                <w14:textFill>
                  <w14:solidFill>
                    <w14:schemeClr w14:val="tx1"/>
                  </w14:solidFill>
                </w14:textFill>
              </w:rPr>
              <w:t>排放监测计划</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根据《固定污染源排污许可分类管理名录（2019年版）》可知，本项目实行排污许可</w:t>
            </w:r>
            <w:r>
              <w:rPr>
                <w:rFonts w:hint="default" w:ascii="Times New Roman" w:hAnsi="Times New Roman" w:cs="Times New Roman"/>
                <w:color w:val="000000" w:themeColor="text1"/>
                <w:sz w:val="24"/>
                <w:lang w:eastAsia="zh-CN"/>
                <w14:textFill>
                  <w14:solidFill>
                    <w14:schemeClr w14:val="tx1"/>
                  </w14:solidFill>
                </w14:textFill>
              </w:rPr>
              <w:t>简化</w:t>
            </w:r>
            <w:r>
              <w:rPr>
                <w:rFonts w:hint="default" w:ascii="Times New Roman" w:hAnsi="Times New Roman" w:eastAsia="宋体" w:cs="Times New Roman"/>
                <w:color w:val="000000" w:themeColor="text1"/>
                <w:sz w:val="24"/>
                <w:lang w:val="en-US" w:eastAsia="zh-CN"/>
                <w14:textFill>
                  <w14:solidFill>
                    <w14:schemeClr w14:val="tx1"/>
                  </w14:solidFill>
                </w14:textFill>
              </w:rPr>
              <w:t>管理</w:t>
            </w:r>
            <w:r>
              <w:rPr>
                <w:rFonts w:hint="default" w:ascii="Times New Roman" w:hAnsi="Times New Roman" w:eastAsia="宋体" w:cs="Times New Roman"/>
                <w:color w:val="000000" w:themeColor="text1"/>
                <w:sz w:val="24"/>
                <w14:textFill>
                  <w14:solidFill>
                    <w14:schemeClr w14:val="tx1"/>
                  </w14:solidFill>
                </w14:textFill>
              </w:rPr>
              <w:t xml:space="preserve">。根据《排污单位自行监测技术指南 </w:t>
            </w:r>
            <w:r>
              <w:rPr>
                <w:rFonts w:hint="default" w:ascii="Times New Roman" w:hAnsi="Times New Roman" w:cs="Times New Roman"/>
                <w:color w:val="000000" w:themeColor="text1"/>
                <w:sz w:val="24"/>
                <w:lang w:val="en-US" w:eastAsia="zh-CN"/>
                <w14:textFill>
                  <w14:solidFill>
                    <w14:schemeClr w14:val="tx1"/>
                  </w14:solidFill>
                </w14:textFill>
              </w:rPr>
              <w:t>总则</w:t>
            </w:r>
            <w:r>
              <w:rPr>
                <w:rFonts w:hint="default" w:ascii="Times New Roman" w:hAnsi="Times New Roman" w:eastAsia="宋体" w:cs="Times New Roman"/>
                <w:color w:val="000000" w:themeColor="text1"/>
                <w:sz w:val="24"/>
                <w14:textFill>
                  <w14:solidFill>
                    <w14:schemeClr w14:val="tx1"/>
                  </w14:solidFill>
                </w14:textFill>
              </w:rPr>
              <w:t>》（HJ</w:t>
            </w:r>
            <w:r>
              <w:rPr>
                <w:rFonts w:hint="default" w:ascii="Times New Roman" w:hAnsi="Times New Roman" w:cs="Times New Roman"/>
                <w:color w:val="000000" w:themeColor="text1"/>
                <w:sz w:val="24"/>
                <w:lang w:val="en-US" w:eastAsia="zh-CN"/>
                <w14:textFill>
                  <w14:solidFill>
                    <w14:schemeClr w14:val="tx1"/>
                  </w14:solidFill>
                </w14:textFill>
              </w:rPr>
              <w:t>819-</w:t>
            </w:r>
            <w:r>
              <w:rPr>
                <w:rFonts w:hint="default" w:ascii="Times New Roman" w:hAnsi="Times New Roman" w:eastAsia="宋体" w:cs="Times New Roman"/>
                <w:color w:val="000000" w:themeColor="text1"/>
                <w:sz w:val="24"/>
                <w14:textFill>
                  <w14:solidFill>
                    <w14:schemeClr w14:val="tx1"/>
                  </w14:solidFill>
                </w14:textFill>
              </w:rPr>
              <w:t>-20</w:t>
            </w:r>
            <w:r>
              <w:rPr>
                <w:rFonts w:hint="default"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《排污单位自行监测技术指南 金属铸造工业》（HJ 1251-2022）</w:t>
            </w:r>
            <w:r>
              <w:rPr>
                <w:rFonts w:hint="default" w:ascii="Times New Roman" w:hAnsi="Times New Roman" w:eastAsia="宋体" w:cs="Times New Roman"/>
                <w:color w:val="000000" w:themeColor="text1"/>
                <w:sz w:val="24"/>
                <w14:textFill>
                  <w14:solidFill>
                    <w14:schemeClr w14:val="tx1"/>
                  </w14:solidFill>
                </w14:textFill>
              </w:rPr>
              <w:t>，项目自行监测计划如下：</w:t>
            </w:r>
          </w:p>
          <w:p>
            <w:pPr>
              <w:widowControl/>
              <w:spacing w:before="240" w:beforeLines="100"/>
              <w:jc w:val="center"/>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表4-</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18</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kern w:val="0"/>
                <w:sz w:val="24"/>
                <w14:textFill>
                  <w14:solidFill>
                    <w14:schemeClr w14:val="tx1"/>
                  </w14:solidFill>
                </w14:textFill>
              </w:rPr>
              <w:t>运营期</w:t>
            </w:r>
            <w:r>
              <w:rPr>
                <w:rFonts w:hint="default" w:ascii="Times New Roman" w:hAnsi="Times New Roman" w:cs="Times New Roman"/>
                <w:b/>
                <w:color w:val="000000" w:themeColor="text1"/>
                <w:kern w:val="0"/>
                <w:sz w:val="24"/>
                <w:lang w:eastAsia="zh-CN"/>
                <w14:textFill>
                  <w14:solidFill>
                    <w14:schemeClr w14:val="tx1"/>
                  </w14:solidFill>
                </w14:textFill>
              </w:rPr>
              <w:t>废气</w:t>
            </w:r>
            <w:r>
              <w:rPr>
                <w:rFonts w:hint="default" w:ascii="Times New Roman" w:hAnsi="Times New Roman" w:cs="Times New Roman"/>
                <w:b/>
                <w:color w:val="000000" w:themeColor="text1"/>
                <w:kern w:val="0"/>
                <w:sz w:val="24"/>
                <w14:textFill>
                  <w14:solidFill>
                    <w14:schemeClr w14:val="tx1"/>
                  </w14:solidFill>
                </w14:textFill>
              </w:rPr>
              <w:t>自行监测方案</w:t>
            </w:r>
          </w:p>
          <w:tbl>
            <w:tblPr>
              <w:tblStyle w:val="31"/>
              <w:tblW w:w="497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54"/>
              <w:gridCol w:w="1991"/>
              <w:gridCol w:w="1043"/>
              <w:gridCol w:w="1073"/>
              <w:gridCol w:w="35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7" w:hRule="atLeast"/>
                <w:jc w:val="center"/>
              </w:trPr>
              <w:tc>
                <w:tcPr>
                  <w:tcW w:w="606"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监测点位</w:t>
                  </w:r>
                </w:p>
              </w:tc>
              <w:tc>
                <w:tcPr>
                  <w:tcW w:w="1145"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监测项目</w:t>
                  </w:r>
                </w:p>
              </w:tc>
              <w:tc>
                <w:tcPr>
                  <w:tcW w:w="600"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频率</w:t>
                  </w:r>
                </w:p>
              </w:tc>
              <w:tc>
                <w:tcPr>
                  <w:tcW w:w="617" w:type="pct"/>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实施单位</w:t>
                  </w:r>
                </w:p>
              </w:tc>
              <w:tc>
                <w:tcPr>
                  <w:tcW w:w="2030" w:type="pct"/>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执行标准（mg/m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06" w:type="pct"/>
                  <w:tcBorders>
                    <w:left w:val="single" w:color="auto" w:sz="6" w:space="0"/>
                    <w:right w:val="single" w:color="auto" w:sz="6" w:space="0"/>
                  </w:tcBorders>
                  <w:vAlign w:val="center"/>
                </w:tcPr>
                <w:p>
                  <w:pPr>
                    <w:spacing w:line="320" w:lineRule="exact"/>
                    <w:jc w:val="center"/>
                    <w:rPr>
                      <w:rStyle w:val="37"/>
                      <w:rFonts w:hint="default" w:ascii="Times New Roman" w:hAnsi="Times New Roman" w:cs="Times New Roman"/>
                      <w:color w:val="000000" w:themeColor="text1"/>
                      <w14:textFill>
                        <w14:solidFill>
                          <w14:schemeClr w14:val="tx1"/>
                        </w14:solidFill>
                      </w14:textFill>
                    </w:rPr>
                  </w:pPr>
                  <w:r>
                    <w:rPr>
                      <w:rStyle w:val="37"/>
                      <w:rFonts w:hint="default" w:ascii="Times New Roman" w:hAnsi="Times New Roman" w:cs="Times New Roman"/>
                      <w:color w:val="000000" w:themeColor="text1"/>
                      <w14:textFill>
                        <w14:solidFill>
                          <w14:schemeClr w14:val="tx1"/>
                        </w14:solidFill>
                      </w14:textFill>
                    </w:rPr>
                    <w:t>DA001</w:t>
                  </w:r>
                </w:p>
              </w:tc>
              <w:tc>
                <w:tcPr>
                  <w:tcW w:w="114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非甲烷总烃</w:t>
                  </w:r>
                </w:p>
              </w:tc>
              <w:tc>
                <w:tcPr>
                  <w:tcW w:w="600"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每</w:t>
                  </w:r>
                  <w:r>
                    <w:rPr>
                      <w:rFonts w:hint="default" w:ascii="Times New Roman" w:hAnsi="Times New Roman" w:cs="Times New Roman"/>
                      <w:bCs/>
                      <w:color w:val="000000" w:themeColor="text1"/>
                      <w:szCs w:val="21"/>
                      <w:lang w:eastAsia="zh-CN"/>
                      <w14:textFill>
                        <w14:solidFill>
                          <w14:schemeClr w14:val="tx1"/>
                        </w14:solidFill>
                      </w14:textFill>
                    </w:rPr>
                    <w:t>半</w:t>
                  </w:r>
                  <w:r>
                    <w:rPr>
                      <w:rFonts w:hint="default" w:ascii="Times New Roman" w:hAnsi="Times New Roman" w:cs="Times New Roman"/>
                      <w:bCs/>
                      <w:color w:val="000000" w:themeColor="text1"/>
                      <w:szCs w:val="21"/>
                      <w14:textFill>
                        <w14:solidFill>
                          <w14:schemeClr w14:val="tx1"/>
                        </w14:solidFill>
                      </w14:textFill>
                    </w:rPr>
                    <w:t>年1次</w:t>
                  </w:r>
                </w:p>
              </w:tc>
              <w:tc>
                <w:tcPr>
                  <w:tcW w:w="61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有资质的监测单位</w:t>
                  </w:r>
                </w:p>
              </w:tc>
              <w:tc>
                <w:tcPr>
                  <w:tcW w:w="2030" w:type="pct"/>
                  <w:vMerge w:val="restart"/>
                  <w:tcBorders>
                    <w:left w:val="single" w:color="auto" w:sz="6" w:space="0"/>
                    <w:right w:val="single" w:color="auto" w:sz="6" w:space="0"/>
                  </w:tcBorders>
                  <w:vAlign w:val="center"/>
                </w:tcPr>
                <w:p>
                  <w:pPr>
                    <w:spacing w:line="320" w:lineRule="exact"/>
                    <w:jc w:val="center"/>
                    <w:rPr>
                      <w:rStyle w:val="37"/>
                      <w:rFonts w:hint="default" w:ascii="Times New Roman" w:hAnsi="Times New Roman" w:eastAsia="宋体" w:cs="Times New Roman"/>
                      <w:color w:val="000000" w:themeColor="text1"/>
                      <w:lang w:val="en-US" w:eastAsia="zh-CN"/>
                      <w14:textFill>
                        <w14:solidFill>
                          <w14:schemeClr w14:val="tx1"/>
                        </w14:solidFill>
                      </w14:textFill>
                    </w:rPr>
                  </w:pPr>
                  <w:r>
                    <w:rPr>
                      <w:rStyle w:val="37"/>
                      <w:rFonts w:hint="default" w:ascii="Times New Roman" w:hAnsi="Times New Roman" w:eastAsia="宋体" w:cs="Times New Roman"/>
                      <w:color w:val="000000" w:themeColor="text1"/>
                      <w:lang w:val="en-US" w:eastAsia="zh-CN"/>
                      <w14:textFill>
                        <w14:solidFill>
                          <w14:schemeClr w14:val="tx1"/>
                        </w14:solidFill>
                      </w14:textFill>
                    </w:rPr>
                    <w:t>《铸造工业大气污染物排放标准》（GB39726—2020）中表1标准限值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5" w:hRule="atLeast"/>
                <w:jc w:val="center"/>
              </w:trPr>
              <w:tc>
                <w:tcPr>
                  <w:tcW w:w="606" w:type="pct"/>
                  <w:tcBorders>
                    <w:left w:val="single" w:color="auto" w:sz="6" w:space="0"/>
                    <w:right w:val="single" w:color="auto" w:sz="6" w:space="0"/>
                  </w:tcBorders>
                  <w:vAlign w:val="center"/>
                </w:tcPr>
                <w:p>
                  <w:pPr>
                    <w:spacing w:line="320" w:lineRule="exact"/>
                    <w:jc w:val="center"/>
                    <w:rPr>
                      <w:rStyle w:val="37"/>
                      <w:rFonts w:hint="default" w:ascii="Times New Roman" w:hAnsi="Times New Roman" w:eastAsia="宋体" w:cs="Times New Roman"/>
                      <w:color w:val="000000" w:themeColor="text1"/>
                      <w:lang w:val="en-US" w:eastAsia="zh-CN"/>
                      <w14:textFill>
                        <w14:solidFill>
                          <w14:schemeClr w14:val="tx1"/>
                        </w14:solidFill>
                      </w14:textFill>
                    </w:rPr>
                  </w:pPr>
                  <w:r>
                    <w:rPr>
                      <w:rStyle w:val="37"/>
                      <w:rFonts w:hint="default" w:ascii="Times New Roman" w:hAnsi="Times New Roman" w:cs="Times New Roman"/>
                      <w:color w:val="000000" w:themeColor="text1"/>
                      <w14:textFill>
                        <w14:solidFill>
                          <w14:schemeClr w14:val="tx1"/>
                        </w14:solidFill>
                      </w14:textFill>
                    </w:rPr>
                    <w:t>DA00</w:t>
                  </w:r>
                  <w:r>
                    <w:rPr>
                      <w:rStyle w:val="37"/>
                      <w:rFonts w:hint="default" w:ascii="Times New Roman" w:hAnsi="Times New Roman" w:cs="Times New Roman"/>
                      <w:color w:val="000000" w:themeColor="text1"/>
                      <w:lang w:val="en-US" w:eastAsia="zh-CN"/>
                      <w14:textFill>
                        <w14:solidFill>
                          <w14:schemeClr w14:val="tx1"/>
                        </w14:solidFill>
                      </w14:textFill>
                    </w:rPr>
                    <w:t>2</w:t>
                  </w:r>
                </w:p>
              </w:tc>
              <w:tc>
                <w:tcPr>
                  <w:tcW w:w="114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颗粒物</w:t>
                  </w:r>
                </w:p>
              </w:tc>
              <w:tc>
                <w:tcPr>
                  <w:tcW w:w="600"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每年1次</w:t>
                  </w:r>
                </w:p>
              </w:tc>
              <w:tc>
                <w:tcPr>
                  <w:tcW w:w="61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有资质的监测单位</w:t>
                  </w:r>
                </w:p>
              </w:tc>
              <w:tc>
                <w:tcPr>
                  <w:tcW w:w="2030" w:type="pct"/>
                  <w:vMerge w:val="continue"/>
                  <w:tcBorders>
                    <w:left w:val="single" w:color="auto" w:sz="6" w:space="0"/>
                    <w:right w:val="single" w:color="auto" w:sz="6" w:space="0"/>
                  </w:tcBorders>
                  <w:vAlign w:val="center"/>
                </w:tcPr>
                <w:p>
                  <w:pPr>
                    <w:spacing w:line="320" w:lineRule="exact"/>
                    <w:jc w:val="center"/>
                    <w:rPr>
                      <w:rStyle w:val="37"/>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5" w:hRule="atLeast"/>
                <w:jc w:val="center"/>
              </w:trPr>
              <w:tc>
                <w:tcPr>
                  <w:tcW w:w="606" w:type="pct"/>
                  <w:tcBorders>
                    <w:left w:val="single" w:color="auto" w:sz="6" w:space="0"/>
                    <w:right w:val="single" w:color="auto" w:sz="6" w:space="0"/>
                  </w:tcBorders>
                  <w:vAlign w:val="center"/>
                </w:tcPr>
                <w:p>
                  <w:pPr>
                    <w:spacing w:line="320" w:lineRule="exac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Style w:val="37"/>
                      <w:rFonts w:hint="default" w:ascii="Times New Roman" w:hAnsi="Times New Roman" w:cs="Times New Roman"/>
                      <w:color w:val="000000" w:themeColor="text1"/>
                      <w14:textFill>
                        <w14:solidFill>
                          <w14:schemeClr w14:val="tx1"/>
                        </w14:solidFill>
                      </w14:textFill>
                    </w:rPr>
                    <w:t>DA00</w:t>
                  </w:r>
                  <w:r>
                    <w:rPr>
                      <w:rStyle w:val="37"/>
                      <w:rFonts w:hint="default" w:ascii="Times New Roman" w:hAnsi="Times New Roman" w:cs="Times New Roman"/>
                      <w:color w:val="000000" w:themeColor="text1"/>
                      <w:lang w:val="en-US" w:eastAsia="zh-CN"/>
                      <w14:textFill>
                        <w14:solidFill>
                          <w14:schemeClr w14:val="tx1"/>
                        </w14:solidFill>
                      </w14:textFill>
                    </w:rPr>
                    <w:t>4</w:t>
                  </w:r>
                </w:p>
              </w:tc>
              <w:tc>
                <w:tcPr>
                  <w:tcW w:w="114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14:textFill>
                        <w14:solidFill>
                          <w14:schemeClr w14:val="tx1"/>
                        </w14:solidFill>
                      </w14:textFill>
                    </w:rPr>
                    <w:t>SO</w:t>
                  </w:r>
                  <w:r>
                    <w:rPr>
                      <w:rFonts w:hint="default" w:ascii="Times New Roman" w:hAnsi="Times New Roman" w:cs="Times New Roman"/>
                      <w:b w:val="0"/>
                      <w:b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pacing w:val="0"/>
                      <w:sz w:val="21"/>
                      <w:szCs w:val="21"/>
                      <w14:textFill>
                        <w14:solidFill>
                          <w14:schemeClr w14:val="tx1"/>
                        </w14:solidFill>
                      </w14:textFill>
                    </w:rPr>
                    <w:t>NOx</w:t>
                  </w: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600"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每年1次</w:t>
                  </w:r>
                </w:p>
              </w:tc>
              <w:tc>
                <w:tcPr>
                  <w:tcW w:w="61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有资质的监测单位</w:t>
                  </w:r>
                </w:p>
              </w:tc>
              <w:tc>
                <w:tcPr>
                  <w:tcW w:w="2030" w:type="pct"/>
                  <w:vMerge w:val="continue"/>
                  <w:tcBorders>
                    <w:left w:val="single" w:color="auto" w:sz="6" w:space="0"/>
                    <w:right w:val="single" w:color="auto" w:sz="6" w:space="0"/>
                  </w:tcBorders>
                  <w:vAlign w:val="center"/>
                </w:tcPr>
                <w:p>
                  <w:pPr>
                    <w:spacing w:line="320" w:lineRule="exact"/>
                    <w:jc w:val="center"/>
                    <w:rPr>
                      <w:rStyle w:val="37"/>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0" w:hRule="atLeast"/>
                <w:jc w:val="center"/>
              </w:trPr>
              <w:tc>
                <w:tcPr>
                  <w:tcW w:w="606" w:type="pct"/>
                  <w:vMerge w:val="restart"/>
                  <w:tcBorders>
                    <w:left w:val="single" w:color="auto" w:sz="6" w:space="0"/>
                    <w:right w:val="single" w:color="auto" w:sz="6" w:space="0"/>
                  </w:tcBorders>
                  <w:vAlign w:val="center"/>
                </w:tcPr>
                <w:p>
                  <w:pPr>
                    <w:spacing w:line="320" w:lineRule="exact"/>
                    <w:jc w:val="center"/>
                    <w:rPr>
                      <w:rStyle w:val="37"/>
                      <w:rFonts w:hint="default" w:ascii="Times New Roman" w:hAnsi="Times New Roman" w:eastAsia="宋体" w:cs="Times New Roman"/>
                      <w:color w:val="000000" w:themeColor="text1"/>
                      <w:lang w:val="en-US" w:eastAsia="zh-CN"/>
                      <w14:textFill>
                        <w14:solidFill>
                          <w14:schemeClr w14:val="tx1"/>
                        </w14:solidFill>
                      </w14:textFill>
                    </w:rPr>
                  </w:pPr>
                  <w:r>
                    <w:rPr>
                      <w:rStyle w:val="37"/>
                      <w:rFonts w:hint="default" w:ascii="Times New Roman" w:hAnsi="Times New Roman" w:eastAsia="宋体" w:cs="Times New Roman"/>
                      <w:color w:val="000000" w:themeColor="text1"/>
                      <w:lang w:val="en-US" w:eastAsia="zh-CN"/>
                      <w14:textFill>
                        <w14:solidFill>
                          <w14:schemeClr w14:val="tx1"/>
                        </w14:solidFill>
                      </w14:textFill>
                    </w:rPr>
                    <w:t>项目区内</w:t>
                  </w:r>
                </w:p>
              </w:tc>
              <w:tc>
                <w:tcPr>
                  <w:tcW w:w="114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颗粒物</w:t>
                  </w:r>
                </w:p>
              </w:tc>
              <w:tc>
                <w:tcPr>
                  <w:tcW w:w="600" w:type="pct"/>
                  <w:vMerge w:val="restart"/>
                  <w:tcBorders>
                    <w:top w:val="single" w:color="auto" w:sz="6" w:space="0"/>
                    <w:left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每年1次</w:t>
                  </w:r>
                </w:p>
              </w:tc>
              <w:tc>
                <w:tcPr>
                  <w:tcW w:w="617" w:type="pct"/>
                  <w:vMerge w:val="restart"/>
                  <w:tcBorders>
                    <w:top w:val="single" w:color="auto" w:sz="6" w:space="0"/>
                    <w:left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有资质的监测单位</w:t>
                  </w:r>
                </w:p>
              </w:tc>
              <w:tc>
                <w:tcPr>
                  <w:tcW w:w="2030" w:type="pct"/>
                  <w:tcBorders>
                    <w:left w:val="single" w:color="auto" w:sz="6" w:space="0"/>
                    <w:right w:val="single" w:color="auto" w:sz="6" w:space="0"/>
                  </w:tcBorders>
                  <w:vAlign w:val="center"/>
                </w:tcPr>
                <w:p>
                  <w:pPr>
                    <w:pStyle w:val="60"/>
                    <w:keepNext w:val="0"/>
                    <w:keepLines w:val="0"/>
                    <w:pageBreakBefore w:val="0"/>
                    <w:kinsoku/>
                    <w:wordWrap/>
                    <w:overflowPunct/>
                    <w:topLinePunct w:val="0"/>
                    <w:autoSpaceDE/>
                    <w:autoSpaceDN/>
                    <w:bidi w:val="0"/>
                    <w:spacing w:before="0" w:beforeLines="0" w:beforeAutospacing="0" w:after="0" w:afterLines="0" w:afterAutospacing="0" w:line="360" w:lineRule="exact"/>
                    <w:textAlignment w:val="auto"/>
                    <w:rPr>
                      <w:rStyle w:val="37"/>
                      <w:rFonts w:hint="default" w:ascii="Times New Roman" w:hAnsi="Times New Roman" w:eastAsia="宋体" w:cs="Times New Roman"/>
                      <w:color w:val="000000" w:themeColor="text1"/>
                      <w:kern w:val="2"/>
                      <w:szCs w:val="24"/>
                      <w:lang w:val="en-US" w:eastAsia="zh-CN" w:bidi="ar-SA"/>
                      <w14:textFill>
                        <w14:solidFill>
                          <w14:schemeClr w14:val="tx1"/>
                        </w14:solidFill>
                      </w14:textFill>
                    </w:rPr>
                  </w:pPr>
                  <w:r>
                    <w:rPr>
                      <w:rStyle w:val="37"/>
                      <w:rFonts w:hint="default" w:ascii="Times New Roman" w:hAnsi="Times New Roman" w:eastAsia="宋体" w:cs="Times New Roman"/>
                      <w:color w:val="000000" w:themeColor="text1"/>
                      <w:kern w:val="2"/>
                      <w:szCs w:val="24"/>
                      <w:lang w:val="en-US" w:eastAsia="zh-CN" w:bidi="ar-SA"/>
                      <w14:textFill>
                        <w14:solidFill>
                          <w14:schemeClr w14:val="tx1"/>
                        </w14:solidFill>
                      </w14:textFill>
                    </w:rPr>
                    <w:t>《铸造工业大气污染物排放标准》（GB39726—2020）附录A表A.1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0" w:hRule="atLeast"/>
                <w:jc w:val="center"/>
              </w:trPr>
              <w:tc>
                <w:tcPr>
                  <w:tcW w:w="606" w:type="pct"/>
                  <w:vMerge w:val="continue"/>
                  <w:tcBorders>
                    <w:left w:val="single" w:color="auto" w:sz="6" w:space="0"/>
                    <w:right w:val="single" w:color="auto" w:sz="6" w:space="0"/>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4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600" w:type="pct"/>
                  <w:vMerge w:val="continue"/>
                  <w:tcBorders>
                    <w:left w:val="single" w:color="auto" w:sz="6" w:space="0"/>
                    <w:right w:val="single" w:color="auto" w:sz="6" w:space="0"/>
                  </w:tcBorders>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617" w:type="pct"/>
                  <w:vMerge w:val="continue"/>
                  <w:tcBorders>
                    <w:left w:val="single" w:color="auto" w:sz="6" w:space="0"/>
                    <w:right w:val="single" w:color="auto" w:sz="6" w:space="0"/>
                  </w:tcBorders>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2030" w:type="pct"/>
                  <w:tcBorders>
                    <w:left w:val="single" w:color="auto" w:sz="6" w:space="0"/>
                    <w:right w:val="single" w:color="auto" w:sz="6" w:space="0"/>
                  </w:tcBorders>
                  <w:vAlign w:val="center"/>
                </w:tcPr>
                <w:p>
                  <w:pPr>
                    <w:pStyle w:val="60"/>
                    <w:keepNext w:val="0"/>
                    <w:keepLines w:val="0"/>
                    <w:pageBreakBefore w:val="0"/>
                    <w:kinsoku/>
                    <w:wordWrap/>
                    <w:overflowPunct/>
                    <w:topLinePunct w:val="0"/>
                    <w:autoSpaceDE/>
                    <w:autoSpaceDN/>
                    <w:bidi w:val="0"/>
                    <w:spacing w:before="0" w:beforeLines="0" w:beforeAutospacing="0" w:after="0" w:afterLines="0" w:afterAutospacing="0" w:line="360" w:lineRule="exact"/>
                    <w:textAlignment w:val="auto"/>
                    <w:rPr>
                      <w:rStyle w:val="37"/>
                      <w:rFonts w:hint="default" w:ascii="Times New Roman" w:hAnsi="Times New Roman" w:eastAsia="宋体" w:cs="Times New Roman"/>
                      <w:color w:val="000000" w:themeColor="text1"/>
                      <w:kern w:val="2"/>
                      <w:szCs w:val="24"/>
                      <w:lang w:val="en-US" w:eastAsia="zh-CN" w:bidi="ar-SA"/>
                      <w14:textFill>
                        <w14:solidFill>
                          <w14:schemeClr w14:val="tx1"/>
                        </w14:solidFill>
                      </w14:textFill>
                    </w:rPr>
                  </w:pPr>
                  <w:r>
                    <w:rPr>
                      <w:rStyle w:val="37"/>
                      <w:rFonts w:hint="default" w:ascii="Times New Roman" w:hAnsi="Times New Roman" w:eastAsia="宋体" w:cs="Times New Roman"/>
                      <w:color w:val="000000" w:themeColor="text1"/>
                      <w:kern w:val="2"/>
                      <w:szCs w:val="24"/>
                      <w:lang w:val="en-US" w:eastAsia="zh-CN" w:bidi="ar-SA"/>
                      <w14:textFill>
                        <w14:solidFill>
                          <w14:schemeClr w14:val="tx1"/>
                        </w14:solidFill>
                      </w14:textFill>
                    </w:rPr>
                    <w:t>执行《挥发性有机物无组织排放控制标准》（GB37822-2019）附录A中NMHC监控浓度特别排放限值要求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0" w:hRule="atLeast"/>
                <w:jc w:val="center"/>
              </w:trPr>
              <w:tc>
                <w:tcPr>
                  <w:tcW w:w="606" w:type="pct"/>
                  <w:tcBorders>
                    <w:left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项目厂界</w:t>
                  </w:r>
                </w:p>
              </w:tc>
              <w:tc>
                <w:tcPr>
                  <w:tcW w:w="1145"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颗粒物、非甲烷总 </w:t>
                  </w:r>
                </w:p>
                <w:p>
                  <w:pPr>
                    <w:snapToGrid w:val="0"/>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烃</w:t>
                  </w:r>
                </w:p>
              </w:tc>
              <w:tc>
                <w:tcPr>
                  <w:tcW w:w="600" w:type="pct"/>
                  <w:tcBorders>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每年 1 次</w:t>
                  </w:r>
                </w:p>
              </w:tc>
              <w:tc>
                <w:tcPr>
                  <w:tcW w:w="617" w:type="pct"/>
                  <w:tcBorders>
                    <w:left w:val="single" w:color="auto" w:sz="6" w:space="0"/>
                    <w:bottom w:val="single" w:color="auto" w:sz="6" w:space="0"/>
                    <w:right w:val="single" w:color="auto" w:sz="6" w:space="0"/>
                  </w:tcBorders>
                  <w:vAlign w:val="center"/>
                </w:tcPr>
                <w:p>
                  <w:pPr>
                    <w:snapToGrid w:val="0"/>
                    <w:spacing w:line="320" w:lineRule="exact"/>
                    <w:jc w:val="left"/>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有资质的监测单位</w:t>
                  </w:r>
                </w:p>
              </w:tc>
              <w:tc>
                <w:tcPr>
                  <w:tcW w:w="2030" w:type="pct"/>
                  <w:tcBorders>
                    <w:left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《大气污染物综合排放标准》 </w:t>
                  </w:r>
                </w:p>
                <w:p>
                  <w:pPr>
                    <w:snapToGrid w:val="0"/>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（GB16297-1996）表 2 无组织排放 </w:t>
                  </w:r>
                </w:p>
                <w:p>
                  <w:pPr>
                    <w:snapToGrid w:val="0"/>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监控浓度限值</w:t>
                  </w:r>
                </w:p>
              </w:tc>
            </w:tr>
          </w:tbl>
          <w:p>
            <w:pPr>
              <w:keepNext w:val="0"/>
              <w:keepLines w:val="0"/>
              <w:pageBreakBefore w:val="0"/>
              <w:widowControl w:val="0"/>
              <w:kinsoku/>
              <w:wordWrap/>
              <w:overflowPunct/>
              <w:topLinePunct w:val="0"/>
              <w:autoSpaceDE w:val="0"/>
              <w:autoSpaceDN/>
              <w:bidi w:val="0"/>
              <w:adjustRightInd/>
              <w:snapToGrid/>
              <w:spacing w:before="313" w:beforeLines="100" w:line="360" w:lineRule="auto"/>
              <w:ind w:firstLine="482" w:firstLineChars="200"/>
              <w:textAlignment w:val="auto"/>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6、大气环境影响分析</w:t>
            </w:r>
          </w:p>
          <w:p>
            <w:pPr>
              <w:spacing w:line="360" w:lineRule="auto"/>
              <w:ind w:firstLine="480" w:firstLineChars="200"/>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w:t>
            </w:r>
            <w:r>
              <w:rPr>
                <w:rFonts w:hint="default" w:ascii="Times New Roman" w:hAnsi="Times New Roman" w:eastAsia="宋体" w:cs="Times New Roman"/>
                <w:color w:val="000000" w:themeColor="text1"/>
                <w:sz w:val="24"/>
                <w:lang w:val="en-US" w:eastAsia="zh-CN"/>
                <w14:textFill>
                  <w14:solidFill>
                    <w14:schemeClr w14:val="tx1"/>
                  </w14:solidFill>
                </w14:textFill>
              </w:rPr>
              <w:t>在区域属于达标区域，距离项目厂界最近居民点为三沟小学（距离项目区厂界为121m）。根据源强计算结果，项目</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eastAsia="宋体" w:cs="Times New Roman"/>
                <w:color w:val="000000" w:themeColor="text1"/>
                <w:sz w:val="24"/>
                <w:lang w:val="en-US" w:eastAsia="zh-CN"/>
                <w14:textFill>
                  <w14:solidFill>
                    <w14:schemeClr w14:val="tx1"/>
                  </w14:solidFill>
                </w14:textFill>
              </w:rPr>
              <w:t>、压铸、</w:t>
            </w:r>
            <w:r>
              <w:rPr>
                <w:rFonts w:hint="default" w:ascii="Times New Roman" w:hAnsi="Times New Roman" w:cs="Times New Roman"/>
                <w:color w:val="000000" w:themeColor="text1"/>
                <w:sz w:val="24"/>
                <w:lang w:val="en-US" w:eastAsia="zh-CN"/>
                <w14:textFill>
                  <w14:solidFill>
                    <w14:schemeClr w14:val="tx1"/>
                  </w14:solidFill>
                </w14:textFill>
              </w:rPr>
              <w:t>脱模、抛丸、抛光</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危废暂存库</w:t>
            </w:r>
            <w:r>
              <w:rPr>
                <w:rFonts w:hint="default" w:ascii="Times New Roman" w:hAnsi="Times New Roman" w:eastAsia="宋体" w:cs="Times New Roman"/>
                <w:color w:val="000000" w:themeColor="text1"/>
                <w:sz w:val="24"/>
                <w:lang w:val="en-US" w:eastAsia="zh-CN"/>
                <w14:textFill>
                  <w14:solidFill>
                    <w14:schemeClr w14:val="tx1"/>
                  </w14:solidFill>
                </w14:textFill>
              </w:rPr>
              <w:t>废气</w:t>
            </w:r>
            <w:r>
              <w:rPr>
                <w:rFonts w:hint="default" w:ascii="Times New Roman" w:hAnsi="Times New Roman" w:cs="Times New Roman"/>
                <w:color w:val="000000" w:themeColor="text1"/>
                <w:sz w:val="24"/>
                <w:lang w:val="en-US" w:eastAsia="zh-CN"/>
                <w14:textFill>
                  <w14:solidFill>
                    <w14:schemeClr w14:val="tx1"/>
                  </w14:solidFill>
                </w14:textFill>
              </w:rPr>
              <w:t>、天然气燃烧废气</w:t>
            </w:r>
            <w:r>
              <w:rPr>
                <w:rFonts w:hint="default" w:ascii="Times New Roman" w:hAnsi="Times New Roman" w:eastAsia="宋体" w:cs="Times New Roman"/>
                <w:color w:val="000000" w:themeColor="text1"/>
                <w:sz w:val="24"/>
                <w:lang w:val="en-US" w:eastAsia="zh-CN"/>
                <w14:textFill>
                  <w14:solidFill>
                    <w14:schemeClr w14:val="tx1"/>
                  </w14:solidFill>
                </w14:textFill>
              </w:rPr>
              <w:t>排放</w:t>
            </w:r>
            <w:r>
              <w:rPr>
                <w:rFonts w:hint="default" w:ascii="Times New Roman" w:hAnsi="Times New Roman" w:cs="Times New Roman"/>
                <w:color w:val="000000" w:themeColor="text1"/>
                <w:sz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lang w:val="en-US" w:eastAsia="zh-CN"/>
                <w14:textFill>
                  <w14:solidFill>
                    <w14:schemeClr w14:val="tx1"/>
                  </w14:solidFill>
                </w14:textFill>
              </w:rPr>
              <w:t>《铸造工业大气污染物排放标准》（GB39726—2020）中表1标准限值</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厂界</w:t>
            </w:r>
            <w:r>
              <w:rPr>
                <w:rFonts w:hint="default" w:ascii="Times New Roman" w:hAnsi="Times New Roman" w:cs="Times New Roman"/>
                <w:color w:val="000000" w:themeColor="text1"/>
                <w:sz w:val="24"/>
                <w:szCs w:val="24"/>
                <w14:textFill>
                  <w14:solidFill>
                    <w14:schemeClr w14:val="tx1"/>
                  </w14:solidFill>
                </w14:textFill>
              </w:rPr>
              <w:t>无组织非甲烷总烃、颗粒物等</w:t>
            </w:r>
            <w:r>
              <w:rPr>
                <w:rFonts w:hint="default" w:ascii="Times New Roman" w:hAnsi="Times New Roman" w:eastAsia="宋体" w:cs="Times New Roman"/>
                <w:color w:val="000000" w:themeColor="text1"/>
                <w:sz w:val="24"/>
                <w:szCs w:val="24"/>
                <w14:textFill>
                  <w14:solidFill>
                    <w14:schemeClr w14:val="tx1"/>
                  </w14:solidFill>
                </w14:textFill>
              </w:rPr>
              <w:t>执行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无组织排放监控浓度限值；</w:t>
            </w:r>
            <w:r>
              <w:rPr>
                <w:rFonts w:hint="default" w:ascii="Times New Roman" w:hAnsi="Times New Roman" w:eastAsia="宋体" w:cs="Times New Roman"/>
                <w:color w:val="000000" w:themeColor="text1"/>
                <w:sz w:val="24"/>
                <w:lang w:val="en-US" w:eastAsia="zh-CN"/>
                <w14:textFill>
                  <w14:solidFill>
                    <w14:schemeClr w14:val="tx1"/>
                  </w14:solidFill>
                </w14:textFill>
              </w:rPr>
              <w:t>厂区内有机废气监控点浓度执行《挥发性有机物无组织排放控制标准》（GB37822-2019）表A.1特别排放限值及《铸造工业大气污染物排放标准》（GB39726-2020）附录A表A.1中厂区内无组织排放限值中的较严值。食堂油烟排放满足《饮食业油烟排放标准（试行）》（GB18483-2001）小型规模。选用污染治理设施属于《排污许可证申请与核发技术规范 金属铸造工业》（HJ 1115-2020）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及《排污许可证申请与核发技术规范工业炉窑》（HJ1121-2020）</w:t>
            </w:r>
            <w:r>
              <w:rPr>
                <w:rFonts w:hint="default" w:ascii="Times New Roman" w:hAnsi="Times New Roman" w:eastAsia="宋体" w:cs="Times New Roman"/>
                <w:color w:val="000000" w:themeColor="text1"/>
                <w:sz w:val="24"/>
                <w:lang w:val="en-US" w:eastAsia="zh-CN"/>
                <w14:textFill>
                  <w14:solidFill>
                    <w14:schemeClr w14:val="tx1"/>
                  </w14:solidFill>
                </w14:textFill>
              </w:rPr>
              <w:t>及《铸造工业大气污染防治可行技术指南》（HJ1292-2023）中可行技术要求；</w:t>
            </w:r>
            <w:r>
              <w:rPr>
                <w:rFonts w:hint="default" w:ascii="Times New Roman" w:hAnsi="Times New Roman" w:eastAsia="宋体" w:cs="Times New Roman"/>
                <w:color w:val="000000" w:themeColor="text1"/>
                <w:sz w:val="24"/>
                <w14:textFill>
                  <w14:solidFill>
                    <w14:schemeClr w14:val="tx1"/>
                  </w14:solidFill>
                </w14:textFill>
              </w:rPr>
              <w:t>中可行</w:t>
            </w:r>
            <w:r>
              <w:rPr>
                <w:rFonts w:hint="default" w:ascii="Times New Roman" w:hAnsi="Times New Roman" w:cs="Times New Roman"/>
                <w:color w:val="000000" w:themeColor="text1"/>
                <w:sz w:val="24"/>
                <w14:textFill>
                  <w14:solidFill>
                    <w14:schemeClr w14:val="tx1"/>
                  </w14:solidFill>
                </w14:textFill>
              </w:rPr>
              <w:t>的废气治理措施处理后，主要污染物排放均能满足相应的排放标准要求，能够有效的减轻对周边大气环境敏感目标的影响，对周边大气环境影响较小</w:t>
            </w:r>
            <w:r>
              <w:rPr>
                <w:rFonts w:hint="default" w:ascii="Times New Roman" w:hAnsi="Times New Roman" w:cs="Times New Roman"/>
                <w:color w:val="000000" w:themeColor="text1"/>
                <w:sz w:val="24"/>
                <w:lang w:eastAsia="zh-CN"/>
                <w14:textFill>
                  <w14:solidFill>
                    <w14:schemeClr w14:val="tx1"/>
                  </w14:solidFill>
                </w14:textFill>
              </w:rPr>
              <w:t>。</w:t>
            </w:r>
          </w:p>
          <w:p>
            <w:pPr>
              <w:tabs>
                <w:tab w:val="left" w:pos="1077"/>
              </w:tabs>
              <w:spacing w:line="360" w:lineRule="auto"/>
              <w:ind w:firstLine="482"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二、废水环境影响和保护措施</w:t>
            </w:r>
          </w:p>
          <w:p>
            <w:pPr>
              <w:autoSpaceDE w:val="0"/>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（1）项目废水源强</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项目脱模剂配比水、切削液配比水蒸发损耗不外排；项目压铸工序采用冷却水进行间接冷却，冷却水循环使用不外排；</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湿式除尘废水经过滤装置过滤后循环使用，</w:t>
            </w:r>
            <w:r>
              <w:rPr>
                <w:rFonts w:hint="default" w:ascii="Times New Roman" w:hAnsi="Times New Roman" w:cs="Times New Roman"/>
                <w:color w:val="000000" w:themeColor="text1"/>
                <w:sz w:val="24"/>
                <w:szCs w:val="24"/>
                <w:lang w:val="en-US" w:eastAsia="zh-CN"/>
                <w14:textFill>
                  <w14:solidFill>
                    <w14:schemeClr w14:val="tx1"/>
                  </w14:solidFill>
                </w14:textFill>
              </w:rPr>
              <w:t>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外排。</w:t>
            </w:r>
          </w:p>
          <w:p>
            <w:pPr>
              <w:spacing w:beforeLines="0" w:afterLines="0" w:line="360" w:lineRule="auto"/>
              <w:ind w:firstLine="480" w:firstLineChars="200"/>
              <w:jc w:val="left"/>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外排</w:t>
            </w:r>
            <w:r>
              <w:rPr>
                <w:rFonts w:hint="default" w:ascii="Times New Roman" w:hAnsi="Times New Roman" w:cs="Times New Roman"/>
                <w:color w:val="000000" w:themeColor="text1"/>
                <w:sz w:val="24"/>
                <w14:textFill>
                  <w14:solidFill>
                    <w14:schemeClr w14:val="tx1"/>
                  </w14:solidFill>
                </w14:textFill>
              </w:rPr>
              <w:t>废水主要为运营期员工的生活污水</w:t>
            </w:r>
            <w:r>
              <w:rPr>
                <w:rFonts w:hint="default" w:ascii="Times New Roman" w:hAnsi="Times New Roman" w:cs="Times New Roman"/>
                <w:color w:val="000000" w:themeColor="text1"/>
                <w:sz w:val="24"/>
                <w:lang w:eastAsia="zh-CN"/>
                <w14:textFill>
                  <w14:solidFill>
                    <w14:schemeClr w14:val="tx1"/>
                  </w14:solidFill>
                </w14:textFill>
              </w:rPr>
              <w:t>和循环冷却水。</w:t>
            </w:r>
            <w:r>
              <w:rPr>
                <w:rFonts w:hint="default" w:ascii="Times New Roman" w:hAnsi="Times New Roman" w:cs="Times New Roman"/>
                <w:color w:val="000000" w:themeColor="text1"/>
                <w:sz w:val="24"/>
                <w14:textFill>
                  <w14:solidFill>
                    <w14:schemeClr w14:val="tx1"/>
                  </w14:solidFill>
                </w14:textFill>
              </w:rPr>
              <w:t>生活污水产生量按其用水量的80%计，</w:t>
            </w:r>
            <w:r>
              <w:rPr>
                <w:rFonts w:hint="default" w:ascii="Times New Roman" w:hAnsi="Times New Roman" w:cs="Times New Roman"/>
                <w:bCs/>
                <w:color w:val="000000" w:themeColor="text1"/>
                <w:sz w:val="24"/>
                <w14:textFill>
                  <w14:solidFill>
                    <w14:schemeClr w14:val="tx1"/>
                  </w14:solidFill>
                </w14:textFill>
              </w:rPr>
              <w:t>则项目污水产生量为</w:t>
            </w:r>
            <w:r>
              <w:rPr>
                <w:rFonts w:hint="default" w:ascii="Times New Roman" w:hAnsi="Times New Roman" w:cs="Times New Roman"/>
                <w:color w:val="000000" w:themeColor="text1"/>
                <w:kern w:val="0"/>
                <w:sz w:val="24"/>
                <w:lang w:val="en-US" w:eastAsia="zh-CN"/>
                <w14:textFill>
                  <w14:solidFill>
                    <w14:schemeClr w14:val="tx1"/>
                  </w14:solidFill>
                </w14:textFill>
              </w:rPr>
              <w:t>0.96</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r>
              <w:rPr>
                <w:rFonts w:hint="default" w:ascii="Times New Roman" w:hAnsi="Times New Roman" w:cs="Times New Roman"/>
                <w:color w:val="000000" w:themeColor="text1"/>
                <w:kern w:val="0"/>
                <w:sz w:val="24"/>
                <w:lang w:val="en-US" w:eastAsia="zh-CN"/>
                <w14:textFill>
                  <w14:solidFill>
                    <w14:schemeClr w14:val="tx1"/>
                  </w14:solidFill>
                </w14:textFill>
              </w:rPr>
              <w:t>288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其主要水污染因子为COD、BOD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、SS、氨氮、TP</w:t>
            </w:r>
            <w:r>
              <w:rPr>
                <w:rFonts w:hint="default" w:ascii="Times New Roman" w:hAnsi="Times New Roman" w:cs="Times New Roman"/>
                <w:color w:val="000000" w:themeColor="text1"/>
                <w:sz w:val="24"/>
                <w:szCs w:val="24"/>
                <w14:textFill>
                  <w14:solidFill>
                    <w14:schemeClr w14:val="tx1"/>
                  </w14:solidFill>
                </w14:textFill>
              </w:rPr>
              <w:t>、动植物油</w:t>
            </w:r>
            <w:r>
              <w:rPr>
                <w:rFonts w:hint="default" w:ascii="Times New Roman" w:hAnsi="Times New Roman" w:cs="Times New Roman"/>
                <w:color w:val="000000" w:themeColor="text1"/>
                <w:sz w:val="24"/>
                <w14:textFill>
                  <w14:solidFill>
                    <w14:schemeClr w14:val="tx1"/>
                  </w14:solidFill>
                </w14:textFill>
              </w:rPr>
              <w:t>，污染物浓度参照《排放源统计调查产排污核算方法和系数手册》中生活源产排污核算系数手册数据及生活废水浓度调查数据，确定为：COD：340mg/L、BOD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：180mg/L、SS：200mg/L、NH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-N：30mg/L、TP：4.0mg/L</w:t>
            </w:r>
            <w:r>
              <w:rPr>
                <w:rFonts w:hint="default" w:ascii="Times New Roman" w:hAnsi="Times New Roman" w:cs="Times New Roman"/>
                <w:color w:val="000000" w:themeColor="text1"/>
                <w:sz w:val="24"/>
                <w:szCs w:val="24"/>
                <w14:textFill>
                  <w14:solidFill>
                    <w14:schemeClr w14:val="tx1"/>
                  </w14:solidFill>
                </w14:textFill>
              </w:rPr>
              <w:t>、动植物油：50mg/L。</w:t>
            </w:r>
            <w:r>
              <w:rPr>
                <w:rFonts w:hint="default" w:ascii="Times New Roman" w:hAnsi="Times New Roman" w:cs="Times New Roman"/>
                <w:color w:val="000000" w:themeColor="text1"/>
                <w:sz w:val="24"/>
                <w:szCs w:val="24"/>
                <w:lang w:eastAsia="zh-CN"/>
                <w14:textFill>
                  <w14:solidFill>
                    <w14:schemeClr w14:val="tx1"/>
                  </w14:solidFill>
                </w14:textFill>
              </w:rPr>
              <w:t>生活污水经隔油池、化粪池预处理，</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隔油池对</w:t>
            </w:r>
            <w:r>
              <w:rPr>
                <w:rFonts w:hint="default" w:ascii="Times New Roman" w:hAnsi="Times New Roman" w:cs="Times New Roman"/>
                <w:b w:val="0"/>
                <w:bCs w:val="0"/>
                <w:color w:val="000000" w:themeColor="text1"/>
                <w:sz w:val="24"/>
                <w:szCs w:val="24"/>
                <w14:textFill>
                  <w14:solidFill>
                    <w14:schemeClr w14:val="tx1"/>
                  </w14:solidFill>
                </w14:textFill>
              </w:rPr>
              <w:t>动植物油</w:t>
            </w:r>
            <w:r>
              <w:rPr>
                <w:rFonts w:hint="default" w:ascii="Times New Roman" w:hAnsi="Times New Roman" w:cs="Times New Roman"/>
                <w:b w:val="0"/>
                <w:bCs w:val="0"/>
                <w:color w:val="000000" w:themeColor="text1"/>
                <w:sz w:val="24"/>
                <w14:textFill>
                  <w14:solidFill>
                    <w14:schemeClr w14:val="tx1"/>
                  </w14:solidFill>
                </w14:textFill>
              </w:rPr>
              <w:t>的去除率</w:t>
            </w:r>
            <w:r>
              <w:rPr>
                <w:rFonts w:hint="default" w:ascii="Times New Roman" w:hAnsi="Times New Roman" w:cs="Times New Roman"/>
                <w:b w:val="0"/>
                <w:bCs w:val="0"/>
                <w:color w:val="000000" w:themeColor="text1"/>
                <w:sz w:val="24"/>
                <w:lang w:val="en-US" w:eastAsia="zh-CN"/>
                <w14:textFill>
                  <w14:solidFill>
                    <w14:schemeClr w14:val="tx1"/>
                  </w14:solidFill>
                </w14:textFill>
              </w:rPr>
              <w:t>为80%</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化粪池对COD、BOD</w:t>
            </w:r>
            <w:r>
              <w:rPr>
                <w:rFonts w:hint="default" w:ascii="Times New Roman" w:hAnsi="Times New Roman" w:cs="Times New Roman"/>
                <w:b w:val="0"/>
                <w:bCs w:val="0"/>
                <w:color w:val="000000" w:themeColor="text1"/>
                <w:sz w:val="24"/>
                <w:vertAlign w:val="subscript"/>
                <w14:textFill>
                  <w14:solidFill>
                    <w14:schemeClr w14:val="tx1"/>
                  </w14:solidFill>
                </w14:textFill>
              </w:rPr>
              <w:t>5</w:t>
            </w:r>
            <w:r>
              <w:rPr>
                <w:rFonts w:hint="default" w:ascii="Times New Roman" w:hAnsi="Times New Roman" w:cs="Times New Roman"/>
                <w:b w:val="0"/>
                <w:bCs w:val="0"/>
                <w:color w:val="000000" w:themeColor="text1"/>
                <w:sz w:val="24"/>
                <w14:textFill>
                  <w14:solidFill>
                    <w14:schemeClr w14:val="tx1"/>
                  </w14:solidFill>
                </w14:textFill>
              </w:rPr>
              <w:t>、SS、NH</w:t>
            </w:r>
            <w:r>
              <w:rPr>
                <w:rFonts w:hint="default" w:ascii="Times New Roman" w:hAnsi="Times New Roman" w:cs="Times New Roman"/>
                <w:b w:val="0"/>
                <w:bCs w:val="0"/>
                <w:color w:val="000000" w:themeColor="text1"/>
                <w:sz w:val="24"/>
                <w:vertAlign w:val="sub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-N的去除率分别为15%、12%、30%、3%，对TP基本无去除效果</w:t>
            </w:r>
            <w:r>
              <w:rPr>
                <w:rFonts w:hint="default" w:ascii="Times New Roman" w:hAnsi="Times New Roman" w:cs="Times New Roman"/>
                <w:b w:val="0"/>
                <w:bCs w:val="0"/>
                <w:color w:val="000000" w:themeColor="text1"/>
                <w:sz w:val="24"/>
                <w:lang w:eastAsia="zh-CN"/>
                <w14:textFill>
                  <w14:solidFill>
                    <w14:schemeClr w14:val="tx1"/>
                  </w14:solidFill>
                </w14:textFill>
              </w:rPr>
              <w:t>；循环冷却水排水产生量为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，0.012t/d</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其主要水污染因子为COD</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SS、氨氮，</w:t>
            </w:r>
            <w:r>
              <w:rPr>
                <w:rFonts w:hint="default" w:ascii="Times New Roman" w:hAnsi="Times New Roman" w:cs="Times New Roman"/>
                <w:color w:val="000000" w:themeColor="text1"/>
                <w:sz w:val="24"/>
                <w:szCs w:val="24"/>
                <w:lang w:val="en-US" w:eastAsia="zh-CN"/>
                <w14:textFill>
                  <w14:solidFill>
                    <w14:schemeClr w14:val="tx1"/>
                  </w14:solidFill>
                </w14:textFill>
              </w:rPr>
              <w:t>循环冷却水循环使用，定期补充，每三个月排放一次，循环冷却水排水接管龙津大道市政污水管网进入舒城经济开发区污水处理厂，处理达标后排入三里河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循环冷却水</w:t>
            </w:r>
            <w:r>
              <w:rPr>
                <w:rFonts w:hint="default" w:ascii="Times New Roman" w:hAnsi="Times New Roman" w:cs="Times New Roman"/>
                <w:color w:val="000000" w:themeColor="text1"/>
                <w:sz w:val="24"/>
                <w:szCs w:val="24"/>
                <w:lang w:val="en-US" w:eastAsia="zh-CN"/>
                <w14:textFill>
                  <w14:solidFill>
                    <w14:schemeClr w14:val="tx1"/>
                  </w14:solidFill>
                </w14:textFill>
              </w:rPr>
              <w:t>中各污染物浓度分别为</w:t>
            </w:r>
            <w:r>
              <w:rPr>
                <w:rFonts w:hint="default" w:ascii="Times New Roman" w:hAnsi="Times New Roman" w:cs="Times New Roman"/>
                <w:color w:val="000000" w:themeColor="text1"/>
                <w:sz w:val="24"/>
                <w14:textFill>
                  <w14:solidFill>
                    <w14:schemeClr w14:val="tx1"/>
                  </w14:solidFill>
                </w14:textFill>
              </w:rPr>
              <w:t>COD：</w:t>
            </w:r>
            <w:r>
              <w:rPr>
                <w:rFonts w:hint="default" w:ascii="Times New Roman" w:hAnsi="Times New Roman" w:cs="Times New Roman"/>
                <w:color w:val="000000" w:themeColor="text1"/>
                <w:sz w:val="24"/>
                <w:lang w:val="en-US" w:eastAsia="zh-CN"/>
                <w14:textFill>
                  <w14:solidFill>
                    <w14:schemeClr w14:val="tx1"/>
                  </w14:solidFill>
                </w14:textFill>
              </w:rPr>
              <w:t>150</w:t>
            </w:r>
            <w:r>
              <w:rPr>
                <w:rFonts w:hint="default" w:ascii="Times New Roman" w:hAnsi="Times New Roman" w:cs="Times New Roman"/>
                <w:color w:val="000000" w:themeColor="text1"/>
                <w:sz w:val="24"/>
                <w14:textFill>
                  <w14:solidFill>
                    <w14:schemeClr w14:val="tx1"/>
                  </w14:solidFill>
                </w14:textFill>
              </w:rPr>
              <w:t>mg/L、SS：</w:t>
            </w:r>
            <w:r>
              <w:rPr>
                <w:rFonts w:hint="default"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NH</w:t>
            </w:r>
            <w:r>
              <w:rPr>
                <w:rFonts w:hint="default" w:ascii="Times New Roman" w:hAnsi="Times New Roman" w:cs="Times New Roman"/>
                <w:b w:val="0"/>
                <w:bCs w:val="0"/>
                <w:color w:val="000000" w:themeColor="text1"/>
                <w:sz w:val="24"/>
                <w:vertAlign w:val="sub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-N</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自建污水处理设施</w:t>
            </w:r>
            <w:r>
              <w:rPr>
                <w:rFonts w:hint="default" w:ascii="Times New Roman" w:hAnsi="Times New Roman" w:cs="Times New Roman"/>
                <w:b w:val="0"/>
                <w:bCs w:val="0"/>
                <w:color w:val="000000" w:themeColor="text1"/>
                <w:sz w:val="24"/>
                <w:lang w:val="en-US" w:eastAsia="zh-CN"/>
                <w14:textFill>
                  <w14:solidFill>
                    <w14:schemeClr w14:val="tx1"/>
                  </w14:solidFill>
                </w14:textFill>
              </w:rPr>
              <w:t>对COD、SS、</w:t>
            </w:r>
            <w:r>
              <w:rPr>
                <w:rFonts w:hint="default" w:ascii="Times New Roman" w:hAnsi="Times New Roman" w:cs="Times New Roman"/>
                <w:b w:val="0"/>
                <w:bCs w:val="0"/>
                <w:color w:val="000000" w:themeColor="text1"/>
                <w:sz w:val="24"/>
                <w14:textFill>
                  <w14:solidFill>
                    <w14:schemeClr w14:val="tx1"/>
                  </w14:solidFill>
                </w14:textFill>
              </w:rPr>
              <w:t>NH</w:t>
            </w:r>
            <w:r>
              <w:rPr>
                <w:rFonts w:hint="default" w:ascii="Times New Roman" w:hAnsi="Times New Roman" w:cs="Times New Roman"/>
                <w:b w:val="0"/>
                <w:bCs w:val="0"/>
                <w:color w:val="000000" w:themeColor="text1"/>
                <w:sz w:val="24"/>
                <w:vertAlign w:val="sub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-N</w:t>
            </w:r>
            <w:r>
              <w:rPr>
                <w:rFonts w:hint="default" w:ascii="Times New Roman" w:hAnsi="Times New Roman" w:cs="Times New Roman"/>
                <w:b w:val="0"/>
                <w:bCs w:val="0"/>
                <w:color w:val="000000" w:themeColor="text1"/>
                <w:sz w:val="24"/>
                <w:lang w:val="en-US" w:eastAsia="zh-CN"/>
                <w14:textFill>
                  <w14:solidFill>
                    <w14:schemeClr w14:val="tx1"/>
                  </w14:solidFill>
                </w14:textFill>
              </w:rPr>
              <w:t>的去除率分别为80%</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95</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80%</w:t>
            </w:r>
            <w:r>
              <w:rPr>
                <w:rFonts w:hint="default" w:ascii="Times New Roman" w:hAnsi="Times New Roman" w:cs="Times New Roman"/>
                <w:b w:val="0"/>
                <w:bCs w:val="0"/>
                <w:color w:val="000000" w:themeColor="text1"/>
                <w:sz w:val="24"/>
                <w:lang w:eastAsia="zh-CN"/>
                <w14:textFill>
                  <w14:solidFill>
                    <w14:schemeClr w14:val="tx1"/>
                  </w14:solidFill>
                </w14:textFill>
              </w:rPr>
              <w:t>。</w:t>
            </w:r>
          </w:p>
          <w:p>
            <w:pPr>
              <w:spacing w:beforeLines="0" w:afterLines="0" w:line="360" w:lineRule="auto"/>
              <w:ind w:firstLine="480" w:firstLineChars="200"/>
              <w:jc w:val="left"/>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项目生产废水主要为湿式除尘废水和光饰废水，湿式除尘废水产生量为</w:t>
            </w:r>
            <w:r>
              <w:rPr>
                <w:rFonts w:hint="default" w:ascii="Times New Roman" w:hAnsi="Times New Roman" w:cs="Times New Roman"/>
                <w:b w:val="0"/>
                <w:bCs w:val="0"/>
                <w:color w:val="000000" w:themeColor="text1"/>
                <w:sz w:val="24"/>
                <w:lang w:val="en-US" w:eastAsia="zh-CN"/>
                <w14:textFill>
                  <w14:solidFill>
                    <w14:schemeClr w14:val="tx1"/>
                  </w14:solidFill>
                </w14:textFill>
              </w:rPr>
              <w:t>4.08</w:t>
            </w:r>
            <w:r>
              <w:rPr>
                <w:rFonts w:hint="default" w:ascii="Times New Roman" w:hAnsi="Times New Roman" w:cs="Times New Roman"/>
                <w:b w:val="0"/>
                <w:bCs/>
                <w:color w:val="000000" w:themeColor="text1"/>
                <w:sz w:val="24"/>
                <w14:textFill>
                  <w14:solidFill>
                    <w14:schemeClr w14:val="tx1"/>
                  </w14:solidFill>
                </w14:textFill>
              </w:rPr>
              <w:t>m</w:t>
            </w:r>
            <w:r>
              <w:rPr>
                <w:rFonts w:hint="default" w:ascii="Times New Roman" w:hAnsi="Times New Roman" w:cs="Times New Roman"/>
                <w:b w:val="0"/>
                <w:bCs/>
                <w:color w:val="000000" w:themeColor="text1"/>
                <w:sz w:val="24"/>
                <w:vertAlign w:val="superscript"/>
                <w14:textFill>
                  <w14:solidFill>
                    <w14:schemeClr w14:val="tx1"/>
                  </w14:solidFill>
                </w14:textFill>
              </w:rPr>
              <w:t>3</w:t>
            </w:r>
            <w:r>
              <w:rPr>
                <w:rFonts w:hint="default" w:ascii="Times New Roman" w:hAnsi="Times New Roman" w:cs="Times New Roman"/>
                <w:b w:val="0"/>
                <w:bCs/>
                <w:color w:val="000000" w:themeColor="text1"/>
                <w:sz w:val="24"/>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d，</w:t>
            </w:r>
            <w:r>
              <w:rPr>
                <w:rFonts w:hint="default" w:ascii="Times New Roman" w:hAnsi="Times New Roman" w:cs="Times New Roman"/>
                <w:b w:val="0"/>
                <w:bCs w:val="0"/>
                <w:color w:val="000000" w:themeColor="text1"/>
                <w:sz w:val="24"/>
                <w:lang w:val="en-US" w:eastAsia="zh-CN"/>
                <w14:textFill>
                  <w14:solidFill>
                    <w14:schemeClr w14:val="tx1"/>
                  </w14:solidFill>
                </w14:textFill>
              </w:rPr>
              <w:t>1224</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/a</w:t>
            </w:r>
            <w:r>
              <w:rPr>
                <w:rFonts w:hint="default" w:ascii="Times New Roman" w:hAnsi="Times New Roman" w:cs="Times New Roman"/>
                <w:color w:val="000000" w:themeColor="text1"/>
                <w:sz w:val="24"/>
                <w:szCs w:val="24"/>
                <w:highlight w:val="none"/>
                <w:lang w:eastAsia="zh-CN"/>
                <w14:textFill>
                  <w14:solidFill>
                    <w14:schemeClr w14:val="tx1"/>
                  </w14:solidFill>
                </w14:textFill>
              </w:rPr>
              <w:t>。其主要水污染因子</w:t>
            </w:r>
            <w:r>
              <w:rPr>
                <w:rFonts w:hint="default" w:ascii="Times New Roman" w:hAnsi="Times New Roman" w:cs="Times New Roman"/>
                <w:color w:val="000000" w:themeColor="text1"/>
                <w:sz w:val="24"/>
                <w:lang w:val="en-US" w:eastAsia="zh-CN"/>
                <w14:textFill>
                  <w14:solidFill>
                    <w14:schemeClr w14:val="tx1"/>
                  </w14:solidFill>
                </w14:textFill>
              </w:rPr>
              <w:t>为SS，</w:t>
            </w:r>
            <w:r>
              <w:rPr>
                <w:rFonts w:hint="default" w:ascii="Times New Roman" w:hAnsi="Times New Roman" w:cs="Times New Roman"/>
                <w:color w:val="000000" w:themeColor="text1"/>
                <w:sz w:val="24"/>
                <w:szCs w:val="24"/>
                <w:highlight w:val="none"/>
                <w:lang w:eastAsia="zh-CN"/>
                <w14:textFill>
                  <w14:solidFill>
                    <w14:schemeClr w14:val="tx1"/>
                  </w14:solidFill>
                </w14:textFill>
              </w:rPr>
              <w:t>湿式除尘废水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经过滤装置过滤后循环使用，不外排，</w:t>
            </w:r>
            <w:r>
              <w:rPr>
                <w:rFonts w:hint="default" w:ascii="Times New Roman" w:hAnsi="Times New Roman" w:cs="Times New Roman"/>
                <w:color w:val="000000" w:themeColor="text1"/>
                <w:sz w:val="24"/>
                <w:lang w:val="en-US" w:eastAsia="zh-CN"/>
                <w14:textFill>
                  <w14:solidFill>
                    <w14:schemeClr w14:val="tx1"/>
                  </w14:solidFill>
                </w14:textFill>
              </w:rPr>
              <w:t>根</w:t>
            </w:r>
            <w:r>
              <w:rPr>
                <w:rFonts w:hint="default" w:ascii="Times New Roman" w:hAnsi="Times New Roman" w:eastAsia="宋体" w:cs="Times New Roman"/>
                <w:color w:val="000000" w:themeColor="text1"/>
                <w:sz w:val="24"/>
                <w:szCs w:val="24"/>
                <w:lang w:eastAsia="zh-CN"/>
                <w14:textFill>
                  <w14:solidFill>
                    <w14:schemeClr w14:val="tx1"/>
                  </w14:solidFill>
                </w14:textFill>
              </w:rPr>
              <w:t>据同行业类比分析，湿式除尘废水主要水污染因子：</w:t>
            </w:r>
            <w:r>
              <w:rPr>
                <w:rFonts w:hint="default" w:ascii="Times New Roman" w:hAnsi="Times New Roman" w:cs="Times New Roman"/>
                <w:color w:val="000000" w:themeColor="text1"/>
                <w:sz w:val="24"/>
                <w14:textFill>
                  <w14:solidFill>
                    <w14:schemeClr w14:val="tx1"/>
                  </w14:solidFill>
                </w14:textFill>
              </w:rPr>
              <w:t>SS：</w:t>
            </w:r>
            <w:r>
              <w:rPr>
                <w:rFonts w:hint="default" w:ascii="Times New Roman" w:hAnsi="Times New Roman" w:cs="Times New Roman"/>
                <w:color w:val="000000" w:themeColor="text1"/>
                <w:sz w:val="24"/>
                <w:lang w:val="en-US" w:eastAsia="zh-CN"/>
                <w14:textFill>
                  <w14:solidFill>
                    <w14:schemeClr w14:val="tx1"/>
                  </w14:solidFill>
                </w14:textFill>
              </w:rPr>
              <w:t>500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，湿式除尘器过滤装置对</w:t>
            </w:r>
            <w:r>
              <w:rPr>
                <w:rFonts w:hint="default" w:ascii="Times New Roman" w:hAnsi="Times New Roman" w:cs="Times New Roman"/>
                <w:b w:val="0"/>
                <w:bCs w:val="0"/>
                <w:color w:val="000000" w:themeColor="text1"/>
                <w:sz w:val="24"/>
                <w14:textFill>
                  <w14:solidFill>
                    <w14:schemeClr w14:val="tx1"/>
                  </w14:solidFill>
                </w14:textFill>
              </w:rPr>
              <w:t>SS的去除率为</w:t>
            </w:r>
            <w:r>
              <w:rPr>
                <w:rFonts w:hint="default" w:ascii="Times New Roman" w:hAnsi="Times New Roman" w:cs="Times New Roman"/>
                <w:b w:val="0"/>
                <w:bCs w:val="0"/>
                <w:color w:val="000000" w:themeColor="text1"/>
                <w:sz w:val="24"/>
                <w:lang w:val="en-US" w:eastAsia="zh-CN"/>
                <w14:textFill>
                  <w14:solidFill>
                    <w14:schemeClr w14:val="tx1"/>
                  </w14:solidFill>
                </w14:textFill>
              </w:rPr>
              <w:t>95</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；光饰废水产生量为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0.11t/d，32.8t/a，</w:t>
            </w:r>
            <w:r>
              <w:rPr>
                <w:rFonts w:hint="default" w:ascii="Times New Roman" w:hAnsi="Times New Roman" w:cs="Times New Roman"/>
                <w:color w:val="000000" w:themeColor="text1"/>
                <w:sz w:val="24"/>
                <w:szCs w:val="24"/>
                <w:highlight w:val="none"/>
                <w:lang w:eastAsia="zh-CN"/>
                <w14:textFill>
                  <w14:solidFill>
                    <w14:schemeClr w14:val="tx1"/>
                  </w14:solidFill>
                </w14:textFill>
              </w:rPr>
              <w:t>其主要水污染因子</w:t>
            </w:r>
            <w:r>
              <w:rPr>
                <w:rFonts w:hint="default" w:ascii="Times New Roman" w:hAnsi="Times New Roman" w:cs="Times New Roman"/>
                <w:b w:val="0"/>
                <w:bCs w:val="0"/>
                <w:color w:val="000000" w:themeColor="text1"/>
                <w:sz w:val="24"/>
                <w:lang w:val="en-US" w:eastAsia="zh-CN"/>
                <w14:textFill>
                  <w14:solidFill>
                    <w14:schemeClr w14:val="tx1"/>
                  </w14:solidFill>
                </w14:textFill>
              </w:rPr>
              <w:t>为COD、SS、石油类，</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cs="Times New Roman"/>
                <w:b w:val="0"/>
                <w:bCs w:val="0"/>
                <w:color w:val="000000" w:themeColor="text1"/>
                <w:sz w:val="24"/>
                <w:lang w:val="en-US" w:eastAsia="zh-CN"/>
                <w14:textFill>
                  <w14:solidFill>
                    <w14:schemeClr w14:val="tx1"/>
                  </w14:solidFill>
                </w14:textFill>
              </w:rPr>
              <w:t>根据类比《海门市市沪晟机械制造科技有限公司年产1000万套汽车零部件新建项目环境影响报告表》可知，光</w:t>
            </w:r>
            <w:r>
              <w:rPr>
                <w:rFonts w:hint="default" w:ascii="Times New Roman" w:hAnsi="Times New Roman" w:cs="Times New Roman"/>
                <w:color w:val="000000" w:themeColor="text1"/>
                <w:sz w:val="24"/>
                <w:szCs w:val="24"/>
                <w:lang w:val="en-US" w:eastAsia="zh-CN"/>
                <w14:textFill>
                  <w14:solidFill>
                    <w14:schemeClr w14:val="tx1"/>
                  </w14:solidFill>
                </w14:textFill>
              </w:rPr>
              <w:t>饰废水中各污染物浓度分别为</w:t>
            </w:r>
            <w:r>
              <w:rPr>
                <w:rFonts w:hint="default" w:ascii="Times New Roman" w:hAnsi="Times New Roman" w:cs="Times New Roman"/>
                <w:color w:val="000000" w:themeColor="text1"/>
                <w:sz w:val="24"/>
                <w14:textFill>
                  <w14:solidFill>
                    <w14:schemeClr w14:val="tx1"/>
                  </w14:solidFill>
                </w14:textFill>
              </w:rPr>
              <w:t>COD：</w:t>
            </w:r>
            <w:r>
              <w:rPr>
                <w:rFonts w:hint="default" w:ascii="Times New Roman" w:hAnsi="Times New Roman" w:cs="Times New Roman"/>
                <w:color w:val="000000" w:themeColor="text1"/>
                <w:sz w:val="24"/>
                <w:lang w:val="en-US" w:eastAsia="zh-CN"/>
                <w14:textFill>
                  <w14:solidFill>
                    <w14:schemeClr w14:val="tx1"/>
                  </w14:solidFill>
                </w14:textFill>
              </w:rPr>
              <w:t>600</w:t>
            </w:r>
            <w:r>
              <w:rPr>
                <w:rFonts w:hint="default" w:ascii="Times New Roman" w:hAnsi="Times New Roman" w:cs="Times New Roman"/>
                <w:color w:val="000000" w:themeColor="text1"/>
                <w:sz w:val="24"/>
                <w14:textFill>
                  <w14:solidFill>
                    <w14:schemeClr w14:val="tx1"/>
                  </w14:solidFill>
                </w14:textFill>
              </w:rPr>
              <w:t>mg/L、SS：</w:t>
            </w:r>
            <w:r>
              <w:rPr>
                <w:rFonts w:hint="default" w:ascii="Times New Roman" w:hAnsi="Times New Roman" w:cs="Times New Roman"/>
                <w:color w:val="000000" w:themeColor="text1"/>
                <w:sz w:val="24"/>
                <w:lang w:val="en-US" w:eastAsia="zh-CN"/>
                <w14:textFill>
                  <w14:solidFill>
                    <w14:schemeClr w14:val="tx1"/>
                  </w14:solidFill>
                </w14:textFill>
              </w:rPr>
              <w:t>400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、石油类：</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自建污水处理设施</w:t>
            </w:r>
            <w:r>
              <w:rPr>
                <w:rFonts w:hint="default" w:ascii="Times New Roman" w:hAnsi="Times New Roman" w:cs="Times New Roman"/>
                <w:b w:val="0"/>
                <w:bCs w:val="0"/>
                <w:color w:val="000000" w:themeColor="text1"/>
                <w:sz w:val="24"/>
                <w:lang w:val="en-US" w:eastAsia="zh-CN"/>
                <w14:textFill>
                  <w14:solidFill>
                    <w14:schemeClr w14:val="tx1"/>
                  </w14:solidFill>
                </w14:textFill>
              </w:rPr>
              <w:t>对COD、SS、</w:t>
            </w:r>
            <w:r>
              <w:rPr>
                <w:rFonts w:hint="default" w:ascii="Times New Roman" w:hAnsi="Times New Roman" w:cs="Times New Roman"/>
                <w:color w:val="000000" w:themeColor="text1"/>
                <w:sz w:val="24"/>
                <w:lang w:eastAsia="zh-CN"/>
                <w14:textFill>
                  <w14:solidFill>
                    <w14:schemeClr w14:val="tx1"/>
                  </w14:solidFill>
                </w14:textFill>
              </w:rPr>
              <w:t>石油类</w:t>
            </w:r>
            <w:r>
              <w:rPr>
                <w:rFonts w:hint="default" w:ascii="Times New Roman" w:hAnsi="Times New Roman" w:cs="Times New Roman"/>
                <w:b w:val="0"/>
                <w:bCs w:val="0"/>
                <w:color w:val="000000" w:themeColor="text1"/>
                <w:sz w:val="24"/>
                <w:lang w:val="en-US" w:eastAsia="zh-CN"/>
                <w14:textFill>
                  <w14:solidFill>
                    <w14:schemeClr w14:val="tx1"/>
                  </w14:solidFill>
                </w14:textFill>
              </w:rPr>
              <w:t>的去除率分别为80%</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95</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90%。</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u w:val="none"/>
                <w:lang w:eastAsia="zh-CN"/>
                <w14:textFill>
                  <w14:solidFill>
                    <w14:schemeClr w14:val="tx1"/>
                  </w14:solidFill>
                </w14:textFill>
              </w:rPr>
              <w:t>安徽省六安市舒城县龙津大道光世集团院内</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项目所在地属于</w:t>
            </w:r>
            <w:r>
              <w:rPr>
                <w:rFonts w:hint="default" w:ascii="Times New Roman" w:hAnsi="Times New Roman" w:cs="Times New Roman"/>
                <w:color w:val="000000" w:themeColor="text1"/>
                <w:sz w:val="24"/>
                <w:lang w:eastAsia="zh-CN"/>
                <w14:textFill>
                  <w14:solidFill>
                    <w14:schemeClr w14:val="tx1"/>
                  </w14:solidFill>
                </w14:textFill>
              </w:rPr>
              <w:t>舒城经济开发区</w:t>
            </w:r>
            <w:r>
              <w:rPr>
                <w:rFonts w:hint="default" w:ascii="Times New Roman" w:hAnsi="Times New Roman" w:cs="Times New Roman"/>
                <w:color w:val="000000" w:themeColor="text1"/>
                <w:sz w:val="24"/>
                <w14:textFill>
                  <w14:solidFill>
                    <w14:schemeClr w14:val="tx1"/>
                  </w14:solidFill>
                </w14:textFill>
              </w:rPr>
              <w:t>污水处理厂受纳范围，且</w:t>
            </w:r>
            <w:r>
              <w:rPr>
                <w:rFonts w:hint="default" w:ascii="Times New Roman" w:hAnsi="Times New Roman" w:cs="Times New Roman"/>
                <w:color w:val="000000" w:themeColor="text1"/>
                <w:sz w:val="24"/>
                <w:lang w:eastAsia="zh-CN"/>
                <w14:textFill>
                  <w14:solidFill>
                    <w14:schemeClr w14:val="tx1"/>
                  </w14:solidFill>
                </w14:textFill>
              </w:rPr>
              <w:t>舒城经济开发区污水处理厂</w:t>
            </w:r>
            <w:r>
              <w:rPr>
                <w:rFonts w:hint="default" w:ascii="Times New Roman" w:hAnsi="Times New Roman" w:cs="Times New Roman"/>
                <w:color w:val="000000" w:themeColor="text1"/>
                <w:sz w:val="24"/>
                <w14:textFill>
                  <w14:solidFill>
                    <w14:schemeClr w14:val="tx1"/>
                  </w14:solidFill>
                </w14:textFill>
              </w:rPr>
              <w:t>已投入运行。</w:t>
            </w:r>
            <w:r>
              <w:rPr>
                <w:rFonts w:hint="default" w:ascii="Times New Roman" w:hAnsi="Times New Roman" w:cs="Times New Roman"/>
                <w:color w:val="000000" w:themeColor="text1"/>
                <w:sz w:val="24"/>
                <w:szCs w:val="24"/>
                <w:lang w:val="en-US" w:eastAsia="zh-CN"/>
                <w14:textFill>
                  <w14:solidFill>
                    <w14:schemeClr w14:val="tx1"/>
                  </w14:solidFill>
                </w14:textFill>
              </w:rPr>
              <w:t>项目外排废水主要为员工生活污水和循环冷却水，由于项目周边市政污水管网正在铺设过程中，因此在市政污水管网接通前，①循环冷却水循环使用，定期补充，每三个月排放一次，循环冷却水进入厂区暂存池暂存，定期委托罐车外运至舒城经济开发区污水处理厂，处理达标后排入三里河；②生活污水经隔油池、化粪池处理后定期清掏；市政污水管网接管后，①循环冷却水循环使用，定期补充，每三个月排放一次，循环冷却水排水接管龙津大道市政污水管网进入舒城经济开发区污水处理厂，处理达标后排入三里河；②生活污水经隔油池、化粪池处理达到《污水综合排放标准》(GB8978-1996)表4中三级排放标准及舒城经济开发区污水处理厂接管要求后，接管龙津大道市政污水管网进入舒城经济开发区污水处理厂，处理达标后排入三里河，废水排放满足相应标准要求。</w:t>
            </w:r>
          </w:p>
          <w:p>
            <w:pPr>
              <w:pStyle w:val="8"/>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 w:val="24"/>
                <w14:textFill>
                  <w14:solidFill>
                    <w14:schemeClr w14:val="tx1"/>
                  </w14:solidFill>
                </w14:textFill>
              </w:rPr>
              <w:t>项目运营期废水产排情况详见</w:t>
            </w:r>
            <w:r>
              <w:rPr>
                <w:rFonts w:hint="default" w:ascii="Times New Roman" w:hAnsi="Times New Roman" w:cs="Times New Roman"/>
                <w:bCs/>
                <w:color w:val="000000" w:themeColor="text1"/>
                <w:kern w:val="0"/>
                <w:sz w:val="24"/>
                <w:lang w:eastAsia="zh-CN"/>
                <w14:textFill>
                  <w14:solidFill>
                    <w14:schemeClr w14:val="tx1"/>
                  </w14:solidFill>
                </w14:textFill>
              </w:rPr>
              <w:t>下</w:t>
            </w:r>
            <w:r>
              <w:rPr>
                <w:rFonts w:hint="default" w:ascii="Times New Roman" w:hAnsi="Times New Roman" w:cs="Times New Roman"/>
                <w:bCs/>
                <w:color w:val="000000" w:themeColor="text1"/>
                <w:kern w:val="0"/>
                <w:sz w:val="24"/>
                <w14:textFill>
                  <w14:solidFill>
                    <w14:schemeClr w14:val="tx1"/>
                  </w14:solidFill>
                </w14:textFill>
              </w:rPr>
              <w:t>表</w:t>
            </w:r>
            <w:r>
              <w:rPr>
                <w:rFonts w:hint="default" w:ascii="Times New Roman" w:hAnsi="Times New Roman" w:cs="Times New Roman"/>
                <w:bCs/>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 xml:space="preserve">  </w:t>
            </w:r>
          </w:p>
          <w:p>
            <w:pPr>
              <w:widowControl/>
              <w:spacing w:before="100" w:beforeAutospacing="1"/>
              <w:jc w:val="cente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表</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19</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 xml:space="preserve"> 项目</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市政</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污水管网接管前废水产生及排放情况一览表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936"/>
              <w:gridCol w:w="981"/>
              <w:gridCol w:w="850"/>
              <w:gridCol w:w="942"/>
              <w:gridCol w:w="647"/>
              <w:gridCol w:w="881"/>
              <w:gridCol w:w="1007"/>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废水种类</w:t>
                  </w:r>
                </w:p>
              </w:tc>
              <w:tc>
                <w:tcPr>
                  <w:tcW w:w="535"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污水量（t/a）</w:t>
                  </w:r>
                </w:p>
              </w:tc>
              <w:tc>
                <w:tcPr>
                  <w:tcW w:w="561"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污染物</w:t>
                  </w:r>
                </w:p>
              </w:tc>
              <w:tc>
                <w:tcPr>
                  <w:tcW w:w="1025"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处理前</w:t>
                  </w:r>
                </w:p>
              </w:tc>
              <w:tc>
                <w:tcPr>
                  <w:tcW w:w="370"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处理</w:t>
                  </w:r>
                </w:p>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措施</w:t>
                  </w:r>
                </w:p>
              </w:tc>
              <w:tc>
                <w:tcPr>
                  <w:tcW w:w="1080"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初步处理后</w:t>
                  </w:r>
                </w:p>
              </w:tc>
              <w:tc>
                <w:tcPr>
                  <w:tcW w:w="996" w:type="pct"/>
                  <w:vMerge w:val="restart"/>
                  <w:noWrap w:val="0"/>
                  <w:vAlign w:val="center"/>
                </w:tcPr>
                <w:p>
                  <w:pPr>
                    <w:widowControl/>
                    <w:spacing w:line="320" w:lineRule="exact"/>
                    <w:jc w:val="center"/>
                    <w:rPr>
                      <w:rFonts w:hint="default" w:ascii="Times New Roman" w:hAnsi="Times New Roman" w:eastAsia="宋体" w:cs="Times New Roman"/>
                      <w:b/>
                      <w:bCs/>
                      <w:color w:val="000000" w:themeColor="text1"/>
                      <w:kern w:val="0"/>
                      <w:szCs w:val="21"/>
                      <w:lang w:eastAsia="zh-CN"/>
                      <w14:textFill>
                        <w14:solidFill>
                          <w14:schemeClr w14:val="tx1"/>
                        </w14:solidFill>
                      </w14:textFill>
                    </w:rPr>
                  </w:pPr>
                  <w:r>
                    <w:rPr>
                      <w:rFonts w:hint="default" w:ascii="Times New Roman" w:hAnsi="Times New Roman" w:cs="Times New Roman"/>
                      <w:b/>
                      <w:bCs/>
                      <w:color w:val="000000" w:themeColor="text1"/>
                      <w:kern w:val="0"/>
                      <w:szCs w:val="21"/>
                      <w:lang w:eastAsia="zh-CN"/>
                      <w14:textFill>
                        <w14:solidFill>
                          <w14:schemeClr w14:val="tx1"/>
                        </w14:solidFill>
                      </w14:textFill>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61"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486"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39"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37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996" w:type="pct"/>
                  <w:vMerge w:val="continue"/>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61"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486"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39"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37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996" w:type="pct"/>
                  <w:vMerge w:val="restart"/>
                  <w:noWrap w:val="0"/>
                  <w:vAlign w:val="center"/>
                </w:tcPr>
                <w:p>
                  <w:pPr>
                    <w:widowControl/>
                    <w:spacing w:line="320" w:lineRule="exact"/>
                    <w:jc w:val="center"/>
                    <w:rPr>
                      <w:rFonts w:hint="default" w:ascii="Times New Roman" w:hAnsi="Times New Roman" w:eastAsia="宋体" w:cs="Times New Roman"/>
                      <w:b/>
                      <w:bCs/>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废水经隔油池化粪池处理后定期清掏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30"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p>
              </w:tc>
              <w:tc>
                <w:tcPr>
                  <w:tcW w:w="53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288</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0.098 </w:t>
                  </w:r>
                </w:p>
              </w:tc>
              <w:tc>
                <w:tcPr>
                  <w:tcW w:w="37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隔油池、</w:t>
                  </w:r>
                  <w:r>
                    <w:rPr>
                      <w:rFonts w:hint="default" w:ascii="Times New Roman" w:hAnsi="Times New Roman" w:eastAsia="宋体" w:cs="Times New Roman"/>
                      <w:color w:val="000000" w:themeColor="text1"/>
                      <w:szCs w:val="21"/>
                      <w14:textFill>
                        <w14:solidFill>
                          <w14:schemeClr w14:val="tx1"/>
                        </w14:solidFill>
                      </w14:textFill>
                    </w:rPr>
                    <w:t>化粪池</w:t>
                  </w: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289</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0.083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0.052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158.4</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0.046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0.058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0.040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0.009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29.1</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0.008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TP</w:t>
                  </w:r>
                </w:p>
              </w:tc>
              <w:tc>
                <w:tcPr>
                  <w:tcW w:w="486" w:type="pct"/>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动植物油</w:t>
                  </w:r>
                </w:p>
              </w:tc>
              <w:tc>
                <w:tcPr>
                  <w:tcW w:w="486" w:type="pct"/>
                  <w:noWrap w:val="0"/>
                  <w:vAlign w:val="center"/>
                </w:tcPr>
                <w:p>
                  <w:pPr>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0.014 </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0.003 </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循环冷却水排水</w:t>
                  </w:r>
                </w:p>
              </w:tc>
              <w:tc>
                <w:tcPr>
                  <w:tcW w:w="535"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486"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0.0005</w:t>
                  </w:r>
                </w:p>
              </w:tc>
              <w:tc>
                <w:tcPr>
                  <w:tcW w:w="37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5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w:t>
                  </w:r>
                </w:p>
              </w:tc>
              <w:tc>
                <w:tcPr>
                  <w:tcW w:w="99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废水进入厂区暂存池暂存，定期委托罐车外运至舒城经济开发区污水处理厂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486"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0.00004</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0.000007</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486"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5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w:t>
                  </w:r>
                </w:p>
              </w:tc>
              <w:tc>
                <w:tcPr>
                  <w:tcW w:w="370"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57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0.000009</w:t>
                  </w:r>
                </w:p>
              </w:tc>
              <w:tc>
                <w:tcPr>
                  <w:tcW w:w="996"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湿式除尘废水</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1224</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48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0.612</w:t>
                  </w:r>
                </w:p>
              </w:tc>
              <w:tc>
                <w:tcPr>
                  <w:tcW w:w="370"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滤芯过滤装置</w:t>
                  </w: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0.031</w:t>
                  </w:r>
                </w:p>
              </w:tc>
              <w:tc>
                <w:tcPr>
                  <w:tcW w:w="99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废水经湿式除尘器配套的过滤装置过滤后</w:t>
                  </w:r>
                  <w:r>
                    <w:rPr>
                      <w:rFonts w:hint="default" w:ascii="Times New Roman" w:hAnsi="Times New Roman" w:cs="Times New Roman"/>
                      <w:color w:val="000000" w:themeColor="text1"/>
                      <w:szCs w:val="21"/>
                      <w:lang w:val="en-US" w:eastAsia="zh-CN"/>
                      <w14:textFill>
                        <w14:solidFill>
                          <w14:schemeClr w14:val="tx1"/>
                        </w14:solidFill>
                      </w14:textFill>
                    </w:rPr>
                    <w:t>循环使用</w:t>
                  </w:r>
                  <w:r>
                    <w:rPr>
                      <w:rFonts w:hint="default" w:ascii="Times New Roman" w:hAnsi="Times New Roman" w:eastAsia="宋体" w:cs="Times New Roman"/>
                      <w:color w:val="000000" w:themeColor="text1"/>
                      <w:szCs w:val="21"/>
                      <w:lang w:val="en-US" w:eastAsia="zh-CN"/>
                      <w14:textFill>
                        <w14:solidFill>
                          <w14:schemeClr w14:val="tx1"/>
                        </w14:solidFill>
                      </w14:textFill>
                    </w:rPr>
                    <w:t>，不外排</w:t>
                  </w: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光饰废水</w:t>
                  </w:r>
                </w:p>
              </w:tc>
              <w:tc>
                <w:tcPr>
                  <w:tcW w:w="53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32.8</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48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0.02</w:t>
                  </w:r>
                </w:p>
              </w:tc>
              <w:tc>
                <w:tcPr>
                  <w:tcW w:w="37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自建污水处理设施</w:t>
                  </w: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0.004</w:t>
                  </w:r>
                </w:p>
              </w:tc>
              <w:tc>
                <w:tcPr>
                  <w:tcW w:w="99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48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400</w:t>
                  </w:r>
                </w:p>
              </w:tc>
              <w:tc>
                <w:tcPr>
                  <w:tcW w:w="539"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0.013</w:t>
                  </w:r>
                </w:p>
              </w:tc>
              <w:tc>
                <w:tcPr>
                  <w:tcW w:w="370"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996" w:type="pct"/>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5"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石油类</w:t>
                  </w:r>
                </w:p>
              </w:tc>
              <w:tc>
                <w:tcPr>
                  <w:tcW w:w="48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39"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370"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0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57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0.0001</w:t>
                  </w:r>
                </w:p>
              </w:tc>
              <w:tc>
                <w:tcPr>
                  <w:tcW w:w="996" w:type="pct"/>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bl>
          <w:p>
            <w:pPr>
              <w:widowControl/>
              <w:spacing w:before="100" w:beforeAutospacing="1"/>
              <w:jc w:val="cente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表</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20</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 xml:space="preserve"> 项目</w:t>
            </w: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市政</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污水管网接管</w:t>
            </w:r>
            <w:r>
              <w:rPr>
                <w:rFonts w:hint="default" w:ascii="Times New Roman" w:hAnsi="Times New Roman" w:cs="Times New Roman"/>
                <w:b/>
                <w:color w:val="000000" w:themeColor="text1"/>
                <w:kern w:val="0"/>
                <w:sz w:val="24"/>
                <w:szCs w:val="20"/>
                <w:lang w:eastAsia="zh-CN"/>
                <w14:textFill>
                  <w14:solidFill>
                    <w14:schemeClr w14:val="tx1"/>
                  </w14:solidFill>
                </w14:textFill>
              </w:rPr>
              <w:t>后</w:t>
            </w:r>
            <w:r>
              <w:rPr>
                <w:rFonts w:hint="default" w:ascii="Times New Roman" w:hAnsi="Times New Roman" w:eastAsia="宋体" w:cs="Times New Roman"/>
                <w:b/>
                <w:color w:val="000000" w:themeColor="text1"/>
                <w:kern w:val="0"/>
                <w:sz w:val="24"/>
                <w:szCs w:val="20"/>
                <w:lang w:eastAsia="zh-CN"/>
                <w14:textFill>
                  <w14:solidFill>
                    <w14:schemeClr w14:val="tx1"/>
                  </w14:solidFill>
                </w14:textFill>
              </w:rPr>
              <w:t>废水产生及排放情况一览表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927"/>
              <w:gridCol w:w="972"/>
              <w:gridCol w:w="899"/>
              <w:gridCol w:w="936"/>
              <w:gridCol w:w="638"/>
              <w:gridCol w:w="899"/>
              <w:gridCol w:w="981"/>
              <w:gridCol w:w="736"/>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废水种类</w:t>
                  </w:r>
                </w:p>
              </w:tc>
              <w:tc>
                <w:tcPr>
                  <w:tcW w:w="530"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污水量（t/a）</w:t>
                  </w:r>
                </w:p>
              </w:tc>
              <w:tc>
                <w:tcPr>
                  <w:tcW w:w="556"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污染物</w:t>
                  </w:r>
                </w:p>
              </w:tc>
              <w:tc>
                <w:tcPr>
                  <w:tcW w:w="1049"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处理前</w:t>
                  </w:r>
                </w:p>
              </w:tc>
              <w:tc>
                <w:tcPr>
                  <w:tcW w:w="365" w:type="pct"/>
                  <w:vMerge w:val="restar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处理</w:t>
                  </w:r>
                </w:p>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措施</w:t>
                  </w:r>
                </w:p>
              </w:tc>
              <w:tc>
                <w:tcPr>
                  <w:tcW w:w="1075" w:type="pct"/>
                  <w:gridSpan w:val="2"/>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初步处理后</w:t>
                  </w:r>
                </w:p>
              </w:tc>
              <w:tc>
                <w:tcPr>
                  <w:tcW w:w="996" w:type="pct"/>
                  <w:gridSpan w:val="2"/>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污水处理厂</w:t>
                  </w:r>
                </w:p>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5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3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365"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6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c>
                <w:tcPr>
                  <w:tcW w:w="421"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浓度</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56"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35"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365" w:type="pct"/>
                  <w:vMerge w:val="continue"/>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61" w:type="pct"/>
                  <w:noWrap w:val="0"/>
                  <w:vAlign w:val="center"/>
                </w:tcPr>
                <w:p>
                  <w:pPr>
                    <w:widowControl/>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c>
                <w:tcPr>
                  <w:tcW w:w="421"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mg/L</w:t>
                  </w:r>
                </w:p>
              </w:tc>
              <w:tc>
                <w:tcPr>
                  <w:tcW w:w="575" w:type="pct"/>
                  <w:noWrap w:val="0"/>
                  <w:vAlign w:val="center"/>
                </w:tcPr>
                <w:p>
                  <w:pPr>
                    <w:widowControl/>
                    <w:spacing w:line="320" w:lineRule="exact"/>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6" w:type="pct"/>
                  <w:vMerge w:val="restar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288</w:t>
                  </w: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0.098 </w:t>
                  </w:r>
                </w:p>
              </w:tc>
              <w:tc>
                <w:tcPr>
                  <w:tcW w:w="36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隔油池、</w:t>
                  </w:r>
                  <w:r>
                    <w:rPr>
                      <w:rFonts w:hint="default" w:ascii="Times New Roman" w:hAnsi="Times New Roman" w:eastAsia="宋体" w:cs="Times New Roman"/>
                      <w:color w:val="000000" w:themeColor="text1"/>
                      <w:szCs w:val="21"/>
                      <w14:textFill>
                        <w14:solidFill>
                          <w14:schemeClr w14:val="tx1"/>
                        </w14:solidFill>
                      </w14:textFill>
                    </w:rPr>
                    <w:t>化粪池</w:t>
                  </w: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289</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0.083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0.052 </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158.4</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0.046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0.058 </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0.040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0.009 </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29.1</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0.008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TP</w:t>
                  </w:r>
                </w:p>
              </w:tc>
              <w:tc>
                <w:tcPr>
                  <w:tcW w:w="514" w:type="pct"/>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0.001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动植物油</w:t>
                  </w:r>
                </w:p>
              </w:tc>
              <w:tc>
                <w:tcPr>
                  <w:tcW w:w="514" w:type="pct"/>
                  <w:noWrap w:val="0"/>
                  <w:vAlign w:val="center"/>
                </w:tcPr>
                <w:p>
                  <w:pPr>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0.014 </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0.003 </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循环冷却水排水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w:t>
                  </w: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14"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0.0005</w:t>
                  </w:r>
                </w:p>
              </w:tc>
              <w:tc>
                <w:tcPr>
                  <w:tcW w:w="36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14"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0.0005</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514"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0.0000</w:t>
                  </w: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0.0000</w:t>
                  </w: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14"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w:t>
                  </w: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365" w:type="pct"/>
                  <w:vMerge w:val="continue"/>
                  <w:noWrap w:val="0"/>
                  <w:vAlign w:val="center"/>
                </w:tcPr>
                <w:p>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56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0.000</w:t>
                  </w: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421"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综合废水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291.6</w:t>
                  </w: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14"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337.791 </w:t>
                  </w:r>
                </w:p>
              </w:tc>
              <w:tc>
                <w:tcPr>
                  <w:tcW w:w="53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0.099 </w:t>
                  </w:r>
                </w:p>
              </w:tc>
              <w:tc>
                <w:tcPr>
                  <w:tcW w:w="365" w:type="pct"/>
                  <w:vMerge w:val="restar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286.351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0.084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40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514"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178.326 </w:t>
                  </w:r>
                </w:p>
              </w:tc>
              <w:tc>
                <w:tcPr>
                  <w:tcW w:w="53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0.052 </w:t>
                  </w:r>
                </w:p>
              </w:tc>
              <w:tc>
                <w:tcPr>
                  <w:tcW w:w="365"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157.750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0.046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14"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199.588 </w:t>
                  </w:r>
                </w:p>
              </w:tc>
              <w:tc>
                <w:tcPr>
                  <w:tcW w:w="53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0.058 </w:t>
                  </w:r>
                </w:p>
              </w:tc>
              <w:tc>
                <w:tcPr>
                  <w:tcW w:w="365"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137.860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0.040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p>
              </w:tc>
              <w:tc>
                <w:tcPr>
                  <w:tcW w:w="514"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31.001 </w:t>
                  </w:r>
                </w:p>
              </w:tc>
              <w:tc>
                <w:tcPr>
                  <w:tcW w:w="53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0.009 </w:t>
                  </w:r>
                </w:p>
              </w:tc>
              <w:tc>
                <w:tcPr>
                  <w:tcW w:w="365"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27.572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0.008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TP</w:t>
                  </w:r>
                </w:p>
              </w:tc>
              <w:tc>
                <w:tcPr>
                  <w:tcW w:w="514"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3.429 </w:t>
                  </w:r>
                </w:p>
              </w:tc>
              <w:tc>
                <w:tcPr>
                  <w:tcW w:w="53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c>
                <w:tcPr>
                  <w:tcW w:w="365"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3.429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c>
                <w:tcPr>
                  <w:tcW w:w="421" w:type="pct"/>
                  <w:noWrap w:val="0"/>
                  <w:vAlign w:val="center"/>
                </w:tcPr>
                <w:p>
                  <w:pPr>
                    <w:widowControl/>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动植物油</w:t>
                  </w:r>
                </w:p>
              </w:tc>
              <w:tc>
                <w:tcPr>
                  <w:tcW w:w="514"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48.011 </w:t>
                  </w:r>
                </w:p>
              </w:tc>
              <w:tc>
                <w:tcPr>
                  <w:tcW w:w="53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0.014 </w:t>
                  </w:r>
                </w:p>
              </w:tc>
              <w:tc>
                <w:tcPr>
                  <w:tcW w:w="365" w:type="pct"/>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514"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10.288 </w:t>
                  </w:r>
                </w:p>
              </w:tc>
              <w:tc>
                <w:tcPr>
                  <w:tcW w:w="561"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c>
                <w:tcPr>
                  <w:tcW w:w="421" w:type="pct"/>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 </w:t>
                  </w:r>
                </w:p>
              </w:tc>
              <w:tc>
                <w:tcPr>
                  <w:tcW w:w="575" w:type="pct"/>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湿式除尘废水</w:t>
                  </w:r>
                </w:p>
              </w:tc>
              <w:tc>
                <w:tcPr>
                  <w:tcW w:w="530"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1224</w:t>
                  </w: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0.612</w:t>
                  </w:r>
                </w:p>
              </w:tc>
              <w:tc>
                <w:tcPr>
                  <w:tcW w:w="36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滤芯过滤装置</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0.031</w:t>
                  </w:r>
                </w:p>
              </w:tc>
              <w:tc>
                <w:tcPr>
                  <w:tcW w:w="996" w:type="pct"/>
                  <w:gridSpan w:val="2"/>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废水经湿式除尘器配套的过滤装置过滤后</w:t>
                  </w:r>
                  <w:r>
                    <w:rPr>
                      <w:rFonts w:hint="default" w:ascii="Times New Roman" w:hAnsi="Times New Roman" w:cs="Times New Roman"/>
                      <w:color w:val="000000" w:themeColor="text1"/>
                      <w:szCs w:val="21"/>
                      <w:lang w:val="en-US" w:eastAsia="zh-CN"/>
                      <w14:textFill>
                        <w14:solidFill>
                          <w14:schemeClr w14:val="tx1"/>
                        </w14:solidFill>
                      </w14:textFill>
                    </w:rPr>
                    <w:t>循环使用</w:t>
                  </w:r>
                  <w:r>
                    <w:rPr>
                      <w:rFonts w:hint="default" w:ascii="Times New Roman" w:hAnsi="Times New Roman" w:eastAsia="宋体" w:cs="Times New Roman"/>
                      <w:color w:val="000000" w:themeColor="text1"/>
                      <w:szCs w:val="21"/>
                      <w:lang w:val="en-US" w:eastAsia="zh-CN"/>
                      <w14:textFill>
                        <w14:solidFill>
                          <w14:schemeClr w14:val="tx1"/>
                        </w14:solidFill>
                      </w14:textFill>
                    </w:rPr>
                    <w:t>，不外排</w:t>
                  </w: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光饰废水</w:t>
                  </w:r>
                </w:p>
              </w:tc>
              <w:tc>
                <w:tcPr>
                  <w:tcW w:w="530"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32.8</w:t>
                  </w: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0.02</w:t>
                  </w:r>
                </w:p>
              </w:tc>
              <w:tc>
                <w:tcPr>
                  <w:tcW w:w="365" w:type="pct"/>
                  <w:vMerge w:val="restart"/>
                  <w:noWrap w:val="0"/>
                  <w:vAlign w:val="center"/>
                </w:tcPr>
                <w:p>
                  <w:pPr>
                    <w:widowControl/>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自建污水处理设施</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120</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0.004</w:t>
                  </w:r>
                </w:p>
              </w:tc>
              <w:tc>
                <w:tcPr>
                  <w:tcW w:w="996" w:type="pct"/>
                  <w:gridSpan w:val="2"/>
                  <w:vMerge w:val="restar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514"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400</w:t>
                  </w:r>
                </w:p>
              </w:tc>
              <w:tc>
                <w:tcPr>
                  <w:tcW w:w="535" w:type="pct"/>
                  <w:noWrap w:val="0"/>
                  <w:vAlign w:val="center"/>
                </w:tcPr>
                <w:p>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0.013</w:t>
                  </w:r>
                </w:p>
              </w:tc>
              <w:tc>
                <w:tcPr>
                  <w:tcW w:w="365"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996" w:type="pct"/>
                  <w:gridSpan w:val="2"/>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6"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530" w:type="pct"/>
                  <w:vMerge w:val="continue"/>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556"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石油类</w:t>
                  </w: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535"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365" w:type="pct"/>
                  <w:vMerge w:val="continue"/>
                  <w:noWrap w:val="0"/>
                  <w:vAlign w:val="center"/>
                </w:tcPr>
                <w:p>
                  <w:pPr>
                    <w:widowControl/>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514"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561" w:type="pct"/>
                  <w:noWrap w:val="0"/>
                  <w:vAlign w:val="center"/>
                </w:tcPr>
                <w:p>
                  <w:pPr>
                    <w:widowControl/>
                    <w:spacing w:line="32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0.0001</w:t>
                  </w:r>
                </w:p>
              </w:tc>
              <w:tc>
                <w:tcPr>
                  <w:tcW w:w="996" w:type="pct"/>
                  <w:gridSpan w:val="2"/>
                  <w:vMerge w:val="continue"/>
                  <w:noWrap w:val="0"/>
                  <w:vAlign w:val="center"/>
                </w:tcPr>
                <w:p>
                  <w:pPr>
                    <w:widowControl/>
                    <w:spacing w:line="320" w:lineRule="exact"/>
                    <w:jc w:val="left"/>
                    <w:rPr>
                      <w:rFonts w:hint="default" w:ascii="Times New Roman" w:hAnsi="Times New Roman" w:cs="Times New Roman"/>
                      <w:color w:val="000000" w:themeColor="text1"/>
                      <w:szCs w:val="21"/>
                      <w:lang w:val="en-US" w:eastAsia="zh-CN"/>
                      <w14:textFill>
                        <w14:solidFill>
                          <w14:schemeClr w14:val="tx1"/>
                        </w14:solidFill>
                      </w14:textFill>
                    </w:rPr>
                  </w:pPr>
                </w:p>
              </w:tc>
            </w:tr>
          </w:tbl>
          <w:p>
            <w:pPr>
              <w:tabs>
                <w:tab w:val="left" w:pos="1077"/>
              </w:tabs>
              <w:spacing w:line="360" w:lineRule="auto"/>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 w:val="24"/>
                <w:lang w:bidi="ar"/>
                <w14:textFill>
                  <w14:solidFill>
                    <w14:schemeClr w14:val="tx1"/>
                  </w14:solidFill>
                </w14:textFill>
              </w:rPr>
              <w:t>（2）达标分析</w:t>
            </w:r>
          </w:p>
          <w:p>
            <w:pPr>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项目运营期废水达标分析详见下表。</w:t>
            </w:r>
          </w:p>
          <w:p>
            <w:pPr>
              <w:jc w:val="center"/>
              <w:rPr>
                <w:rFonts w:hint="default" w:ascii="Times New Roman" w:hAnsi="Times New Roman" w:cs="Times New Roman"/>
                <w:b/>
                <w:bCs/>
                <w:color w:val="000000" w:themeColor="text1"/>
                <w:sz w:val="24"/>
                <w:lang w:bidi="ar"/>
                <w14:textFill>
                  <w14:solidFill>
                    <w14:schemeClr w14:val="tx1"/>
                  </w14:solidFill>
                </w14:textFill>
              </w:rPr>
            </w:pPr>
          </w:p>
          <w:p>
            <w:pPr>
              <w:jc w:val="center"/>
              <w:rPr>
                <w:rFonts w:hint="default" w:ascii="Times New Roman" w:hAnsi="Times New Roman" w:cs="Times New Roman"/>
                <w:b/>
                <w:color w:val="000000" w:themeColor="text1"/>
                <w:sz w:val="24"/>
                <w:lang w:bidi="ar"/>
                <w14:textFill>
                  <w14:solidFill>
                    <w14:schemeClr w14:val="tx1"/>
                  </w14:solidFill>
                </w14:textFill>
              </w:rPr>
            </w:pPr>
            <w:r>
              <w:rPr>
                <w:rFonts w:hint="default" w:ascii="Times New Roman" w:hAnsi="Times New Roman" w:cs="Times New Roman"/>
                <w:b/>
                <w:bCs/>
                <w:color w:val="000000" w:themeColor="text1"/>
                <w:sz w:val="24"/>
                <w:lang w:bidi="ar"/>
                <w14:textFill>
                  <w14:solidFill>
                    <w14:schemeClr w14:val="tx1"/>
                  </w14:solidFill>
                </w14:textFill>
              </w:rPr>
              <w:t>表4-</w:t>
            </w:r>
            <w:r>
              <w:rPr>
                <w:rFonts w:hint="default" w:ascii="Times New Roman" w:hAnsi="Times New Roman" w:cs="Times New Roman"/>
                <w:b/>
                <w:bCs/>
                <w:color w:val="000000" w:themeColor="text1"/>
                <w:sz w:val="24"/>
                <w:lang w:val="en-US" w:eastAsia="zh-CN" w:bidi="ar"/>
                <w14:textFill>
                  <w14:solidFill>
                    <w14:schemeClr w14:val="tx1"/>
                  </w14:solidFill>
                </w14:textFill>
              </w:rPr>
              <w:t>21</w:t>
            </w:r>
            <w:r>
              <w:rPr>
                <w:rFonts w:hint="default" w:ascii="Times New Roman" w:hAnsi="Times New Roman" w:cs="Times New Roman"/>
                <w:b/>
                <w:bCs/>
                <w:color w:val="000000" w:themeColor="text1"/>
                <w:sz w:val="24"/>
                <w:lang w:bidi="ar"/>
                <w14:textFill>
                  <w14:solidFill>
                    <w14:schemeClr w14:val="tx1"/>
                  </w14:solidFill>
                </w14:textFill>
              </w:rPr>
              <w:t xml:space="preserve"> </w:t>
            </w:r>
            <w:r>
              <w:rPr>
                <w:rFonts w:hint="default" w:ascii="Times New Roman" w:hAnsi="Times New Roman" w:cs="Times New Roman"/>
                <w:b/>
                <w:bCs/>
                <w:color w:val="000000" w:themeColor="text1"/>
                <w:sz w:val="24"/>
                <w:lang w:val="en-US" w:eastAsia="zh-CN" w:bidi="ar"/>
                <w14:textFill>
                  <w14:solidFill>
                    <w14:schemeClr w14:val="tx1"/>
                  </w14:solidFill>
                </w14:textFill>
              </w:rPr>
              <w:t xml:space="preserve"> </w:t>
            </w:r>
            <w:r>
              <w:rPr>
                <w:rFonts w:hint="default" w:ascii="Times New Roman" w:hAnsi="Times New Roman" w:cs="Times New Roman"/>
                <w:b/>
                <w:bCs/>
                <w:color w:val="000000" w:themeColor="text1"/>
                <w:sz w:val="24"/>
                <w:lang w:bidi="ar"/>
                <w14:textFill>
                  <w14:solidFill>
                    <w14:schemeClr w14:val="tx1"/>
                  </w14:solidFill>
                </w14:textFill>
              </w:rPr>
              <w:t>废水排放达标分析表  单位：</w:t>
            </w:r>
            <w:r>
              <w:rPr>
                <w:rFonts w:hint="default" w:ascii="Times New Roman" w:hAnsi="Times New Roman" w:cs="Times New Roman"/>
                <w:b/>
                <w:color w:val="000000" w:themeColor="text1"/>
                <w:sz w:val="24"/>
                <w:lang w:bidi="ar"/>
                <w14:textFill>
                  <w14:solidFill>
                    <w14:schemeClr w14:val="tx1"/>
                  </w14:solidFill>
                </w14:textFill>
              </w:rPr>
              <w:t>mg/m</w:t>
            </w:r>
            <w:r>
              <w:rPr>
                <w:rFonts w:hint="default" w:ascii="Times New Roman" w:hAnsi="Times New Roman" w:cs="Times New Roman"/>
                <w:b/>
                <w:color w:val="000000" w:themeColor="text1"/>
                <w:sz w:val="24"/>
                <w:vertAlign w:val="superscript"/>
                <w:lang w:bidi="ar"/>
                <w14:textFill>
                  <w14:solidFill>
                    <w14:schemeClr w14:val="tx1"/>
                  </w14:solidFill>
                </w14:textFill>
              </w:rPr>
              <w:t>3</w:t>
            </w:r>
          </w:p>
          <w:tbl>
            <w:tblPr>
              <w:tblStyle w:val="31"/>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336"/>
              <w:gridCol w:w="1162"/>
              <w:gridCol w:w="3542"/>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68" w:type="pct"/>
                  <w:noWrap w:val="0"/>
                  <w:vAlign w:val="center"/>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排放口</w:t>
                  </w:r>
                </w:p>
              </w:tc>
              <w:tc>
                <w:tcPr>
                  <w:tcW w:w="790" w:type="pct"/>
                  <w:noWrap w:val="0"/>
                  <w:vAlign w:val="center"/>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污染物</w:t>
                  </w:r>
                </w:p>
              </w:tc>
              <w:tc>
                <w:tcPr>
                  <w:tcW w:w="687" w:type="pct"/>
                  <w:noWrap w:val="0"/>
                  <w:vAlign w:val="center"/>
                </w:tcPr>
                <w:p>
                  <w:pPr>
                    <w:spacing w:line="360" w:lineRule="exact"/>
                    <w:jc w:val="center"/>
                    <w:rPr>
                      <w:rFonts w:hint="default" w:ascii="Times New Roman" w:hAnsi="Times New Roman" w:cs="Times New Roman"/>
                      <w:b/>
                      <w:color w:val="000000" w:themeColor="text1"/>
                      <w:szCs w:val="21"/>
                      <w:lang w:bidi="ar"/>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预测排放浓度</w:t>
                  </w:r>
                </w:p>
              </w:tc>
              <w:tc>
                <w:tcPr>
                  <w:tcW w:w="2094" w:type="pct"/>
                  <w:noWrap w:val="0"/>
                  <w:vAlign w:val="center"/>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《污水综合排放标准》(GB8978-1996)表4中三级排放标准及</w:t>
                  </w:r>
                  <w:r>
                    <w:rPr>
                      <w:rFonts w:hint="default" w:ascii="Times New Roman" w:hAnsi="Times New Roman" w:cs="Times New Roman"/>
                      <w:b/>
                      <w:color w:val="000000" w:themeColor="text1"/>
                      <w:szCs w:val="21"/>
                      <w:lang w:eastAsia="zh-CN"/>
                      <w14:textFill>
                        <w14:solidFill>
                          <w14:schemeClr w14:val="tx1"/>
                        </w14:solidFill>
                      </w14:textFill>
                    </w:rPr>
                    <w:t>舒城经济开发区污水处理厂</w:t>
                  </w:r>
                  <w:r>
                    <w:rPr>
                      <w:rFonts w:hint="default" w:ascii="Times New Roman" w:hAnsi="Times New Roman" w:cs="Times New Roman"/>
                      <w:b/>
                      <w:color w:val="000000" w:themeColor="text1"/>
                      <w:szCs w:val="21"/>
                      <w14:textFill>
                        <w14:solidFill>
                          <w14:schemeClr w14:val="tx1"/>
                        </w14:solidFill>
                      </w14:textFill>
                    </w:rPr>
                    <w:t>接管要求</w:t>
                  </w:r>
                </w:p>
              </w:tc>
              <w:tc>
                <w:tcPr>
                  <w:tcW w:w="759" w:type="pct"/>
                  <w:noWrap w:val="0"/>
                  <w:vAlign w:val="center"/>
                </w:tcPr>
                <w:p>
                  <w:pPr>
                    <w:spacing w:line="360" w:lineRule="exact"/>
                    <w:jc w:val="center"/>
                    <w:rPr>
                      <w:rFonts w:hint="default" w:ascii="Times New Roman" w:hAnsi="Times New Roman" w:cs="Times New Roman"/>
                      <w:b/>
                      <w:color w:val="000000" w:themeColor="text1"/>
                      <w:szCs w:val="21"/>
                      <w:lang w:bidi="ar"/>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达标</w:t>
                  </w:r>
                </w:p>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restart"/>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DW001</w:t>
                  </w:r>
                </w:p>
              </w:tc>
              <w:tc>
                <w:tcPr>
                  <w:tcW w:w="790" w:type="pct"/>
                  <w:noWrap w:val="0"/>
                  <w:vAlign w:val="center"/>
                </w:tcPr>
                <w:p>
                  <w:pPr>
                    <w:pStyle w:val="29"/>
                    <w:widowControl w:val="0"/>
                    <w:spacing w:before="0" w:beforeAutospacing="0" w:after="0" w:afterAutospacing="0" w:line="360" w:lineRule="exact"/>
                    <w:jc w:val="center"/>
                    <w:rPr>
                      <w:rFonts w:hint="default" w:ascii="Times New Roman" w:hAnsi="Times New Roman" w:cs="Times New Roman"/>
                      <w:bCs/>
                      <w:color w:val="000000" w:themeColor="text1"/>
                      <w:kern w:val="2"/>
                      <w:sz w:val="21"/>
                      <w:szCs w:val="21"/>
                      <w:lang w:bidi="ar"/>
                      <w14:textFill>
                        <w14:solidFill>
                          <w14:schemeClr w14:val="tx1"/>
                        </w14:solidFill>
                      </w14:textFill>
                    </w:rPr>
                  </w:pPr>
                  <w:r>
                    <w:rPr>
                      <w:rFonts w:hint="default" w:ascii="Times New Roman" w:hAnsi="Times New Roman" w:cs="Times New Roman"/>
                      <w:bCs/>
                      <w:color w:val="000000" w:themeColor="text1"/>
                      <w:kern w:val="2"/>
                      <w:sz w:val="21"/>
                      <w:szCs w:val="21"/>
                      <w:lang w:bidi="ar"/>
                      <w14:textFill>
                        <w14:solidFill>
                          <w14:schemeClr w14:val="tx1"/>
                        </w14:solidFill>
                      </w14:textFill>
                    </w:rPr>
                    <w:t>pH</w:t>
                  </w:r>
                </w:p>
              </w:tc>
              <w:tc>
                <w:tcPr>
                  <w:tcW w:w="687" w:type="pct"/>
                  <w:noWrap w:val="0"/>
                  <w:vAlign w:val="center"/>
                </w:tcPr>
                <w:p>
                  <w:pPr>
                    <w:widowControl/>
                    <w:spacing w:line="360" w:lineRule="exact"/>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6~9</w:t>
                  </w:r>
                </w:p>
              </w:tc>
              <w:tc>
                <w:tcPr>
                  <w:tcW w:w="2094" w:type="pct"/>
                  <w:noWrap w:val="0"/>
                  <w:vAlign w:val="center"/>
                </w:tcPr>
                <w:p>
                  <w:pPr>
                    <w:autoSpaceDE w:val="0"/>
                    <w:spacing w:line="360" w:lineRule="exact"/>
                    <w:jc w:val="center"/>
                    <w:rPr>
                      <w:rFonts w:hint="default" w:ascii="Times New Roman" w:hAnsi="Times New Roman" w:cs="Times New Roman"/>
                      <w:bCs/>
                      <w:color w:val="000000" w:themeColor="text1"/>
                      <w:szCs w:val="21"/>
                      <w:lang w:bidi="ar"/>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≤6~9</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continue"/>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790" w:type="pct"/>
                  <w:noWrap w:val="0"/>
                  <w:vAlign w:val="center"/>
                </w:tcPr>
                <w:p>
                  <w:pPr>
                    <w:pStyle w:val="29"/>
                    <w:widowControl w:val="0"/>
                    <w:spacing w:before="0" w:beforeAutospacing="0" w:after="0" w:afterAutospacing="0" w:line="360" w:lineRule="exact"/>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kern w:val="2"/>
                      <w:sz w:val="21"/>
                      <w:szCs w:val="21"/>
                      <w:lang w:bidi="ar"/>
                      <w14:textFill>
                        <w14:solidFill>
                          <w14:schemeClr w14:val="tx1"/>
                        </w14:solidFill>
                      </w14:textFill>
                    </w:rPr>
                    <w:t>COD</w:t>
                  </w:r>
                </w:p>
              </w:tc>
              <w:tc>
                <w:tcPr>
                  <w:tcW w:w="687"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286.351 </w:t>
                  </w:r>
                </w:p>
              </w:tc>
              <w:tc>
                <w:tcPr>
                  <w:tcW w:w="2094" w:type="pct"/>
                  <w:noWrap w:val="0"/>
                  <w:vAlign w:val="center"/>
                </w:tcPr>
                <w:p>
                  <w:pPr>
                    <w:autoSpaceDE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≤3</w:t>
                  </w:r>
                  <w:r>
                    <w:rPr>
                      <w:rFonts w:hint="default" w:ascii="Times New Roman" w:hAnsi="Times New Roman" w:cs="Times New Roman"/>
                      <w:bCs/>
                      <w:color w:val="000000" w:themeColor="text1"/>
                      <w:szCs w:val="21"/>
                      <w:lang w:val="en-US" w:eastAsia="zh-CN" w:bidi="ar"/>
                      <w14:textFill>
                        <w14:solidFill>
                          <w14:schemeClr w14:val="tx1"/>
                        </w14:solidFill>
                      </w14:textFill>
                    </w:rPr>
                    <w:t>50</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continue"/>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790" w:type="pct"/>
                  <w:noWrap w:val="0"/>
                  <w:vAlign w:val="center"/>
                </w:tcPr>
                <w:p>
                  <w:pPr>
                    <w:adjustRightInd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BOD</w:t>
                  </w:r>
                  <w:r>
                    <w:rPr>
                      <w:rFonts w:hint="default" w:ascii="Times New Roman" w:hAnsi="Times New Roman" w:cs="Times New Roman"/>
                      <w:bCs/>
                      <w:color w:val="000000" w:themeColor="text1"/>
                      <w:szCs w:val="21"/>
                      <w:vertAlign w:val="subscript"/>
                      <w:lang w:bidi="ar"/>
                      <w14:textFill>
                        <w14:solidFill>
                          <w14:schemeClr w14:val="tx1"/>
                        </w14:solidFill>
                      </w14:textFill>
                    </w:rPr>
                    <w:t>5</w:t>
                  </w:r>
                </w:p>
              </w:tc>
              <w:tc>
                <w:tcPr>
                  <w:tcW w:w="687"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157.750 </w:t>
                  </w:r>
                </w:p>
              </w:tc>
              <w:tc>
                <w:tcPr>
                  <w:tcW w:w="2094" w:type="pct"/>
                  <w:noWrap w:val="0"/>
                  <w:vAlign w:val="center"/>
                </w:tcPr>
                <w:p>
                  <w:pPr>
                    <w:autoSpaceDE w:val="0"/>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180</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continue"/>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790" w:type="pct"/>
                  <w:noWrap w:val="0"/>
                  <w:vAlign w:val="center"/>
                </w:tcPr>
                <w:p>
                  <w:pPr>
                    <w:adjustRightInd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SS</w:t>
                  </w:r>
                </w:p>
              </w:tc>
              <w:tc>
                <w:tcPr>
                  <w:tcW w:w="687"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137.860 </w:t>
                  </w:r>
                </w:p>
              </w:tc>
              <w:tc>
                <w:tcPr>
                  <w:tcW w:w="2094" w:type="pct"/>
                  <w:noWrap w:val="0"/>
                  <w:vAlign w:val="center"/>
                </w:tcPr>
                <w:p>
                  <w:pPr>
                    <w:autoSpaceDE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w:t>
                  </w:r>
                  <w:r>
                    <w:rPr>
                      <w:rFonts w:hint="default" w:ascii="Times New Roman" w:hAnsi="Times New Roman" w:cs="Times New Roman"/>
                      <w:bCs/>
                      <w:color w:val="000000" w:themeColor="text1"/>
                      <w:szCs w:val="21"/>
                      <w:lang w:val="en-US" w:eastAsia="zh-CN" w:bidi="ar"/>
                      <w14:textFill>
                        <w14:solidFill>
                          <w14:schemeClr w14:val="tx1"/>
                        </w14:solidFill>
                      </w14:textFill>
                    </w:rPr>
                    <w:t>220</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continue"/>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790" w:type="pct"/>
                  <w:noWrap w:val="0"/>
                  <w:vAlign w:val="center"/>
                </w:tcPr>
                <w:p>
                  <w:pPr>
                    <w:pStyle w:val="29"/>
                    <w:widowControl w:val="0"/>
                    <w:spacing w:before="0" w:beforeAutospacing="0" w:after="0" w:afterAutospacing="0" w:line="360" w:lineRule="exact"/>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kern w:val="2"/>
                      <w:sz w:val="21"/>
                      <w:szCs w:val="21"/>
                      <w:lang w:bidi="ar"/>
                      <w14:textFill>
                        <w14:solidFill>
                          <w14:schemeClr w14:val="tx1"/>
                        </w14:solidFill>
                      </w14:textFill>
                    </w:rPr>
                    <w:t>NH</w:t>
                  </w:r>
                  <w:r>
                    <w:rPr>
                      <w:rFonts w:hint="default" w:ascii="Times New Roman" w:hAnsi="Times New Roman" w:cs="Times New Roman"/>
                      <w:bCs/>
                      <w:color w:val="000000" w:themeColor="text1"/>
                      <w:kern w:val="2"/>
                      <w:sz w:val="21"/>
                      <w:szCs w:val="21"/>
                      <w:vertAlign w:val="subscript"/>
                      <w:lang w:bidi="ar"/>
                      <w14:textFill>
                        <w14:solidFill>
                          <w14:schemeClr w14:val="tx1"/>
                        </w14:solidFill>
                      </w14:textFill>
                    </w:rPr>
                    <w:t>3</w:t>
                  </w:r>
                  <w:r>
                    <w:rPr>
                      <w:rFonts w:hint="default" w:ascii="Times New Roman" w:hAnsi="Times New Roman" w:cs="Times New Roman"/>
                      <w:bCs/>
                      <w:color w:val="000000" w:themeColor="text1"/>
                      <w:kern w:val="2"/>
                      <w:sz w:val="21"/>
                      <w:szCs w:val="21"/>
                      <w:lang w:bidi="ar"/>
                      <w14:textFill>
                        <w14:solidFill>
                          <w14:schemeClr w14:val="tx1"/>
                        </w14:solidFill>
                      </w14:textFill>
                    </w:rPr>
                    <w:t>-N</w:t>
                  </w:r>
                </w:p>
              </w:tc>
              <w:tc>
                <w:tcPr>
                  <w:tcW w:w="687"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27.572 </w:t>
                  </w:r>
                </w:p>
              </w:tc>
              <w:tc>
                <w:tcPr>
                  <w:tcW w:w="2094" w:type="pct"/>
                  <w:noWrap w:val="0"/>
                  <w:vAlign w:val="center"/>
                </w:tcPr>
                <w:p>
                  <w:pPr>
                    <w:autoSpaceDE w:val="0"/>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≤30</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continue"/>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790" w:type="pct"/>
                  <w:noWrap w:val="0"/>
                  <w:vAlign w:val="center"/>
                </w:tcPr>
                <w:p>
                  <w:pPr>
                    <w:pStyle w:val="29"/>
                    <w:widowControl w:val="0"/>
                    <w:spacing w:before="0" w:beforeAutospacing="0" w:after="0" w:afterAutospacing="0" w:line="360" w:lineRule="exact"/>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kern w:val="2"/>
                      <w:sz w:val="21"/>
                      <w:szCs w:val="21"/>
                      <w:lang w:bidi="ar"/>
                      <w14:textFill>
                        <w14:solidFill>
                          <w14:schemeClr w14:val="tx1"/>
                        </w14:solidFill>
                      </w14:textFill>
                    </w:rPr>
                    <w:t>TP</w:t>
                  </w:r>
                </w:p>
              </w:tc>
              <w:tc>
                <w:tcPr>
                  <w:tcW w:w="687"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3.429 </w:t>
                  </w:r>
                </w:p>
              </w:tc>
              <w:tc>
                <w:tcPr>
                  <w:tcW w:w="2094" w:type="pct"/>
                  <w:noWrap w:val="0"/>
                  <w:vAlign w:val="center"/>
                </w:tcPr>
                <w:p>
                  <w:pPr>
                    <w:autoSpaceDE w:val="0"/>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≤4.0</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8" w:type="pct"/>
                  <w:vMerge w:val="continue"/>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790" w:type="pct"/>
                  <w:noWrap w:val="0"/>
                  <w:vAlign w:val="center"/>
                </w:tcPr>
                <w:p>
                  <w:pPr>
                    <w:pStyle w:val="29"/>
                    <w:widowControl w:val="0"/>
                    <w:spacing w:before="0" w:beforeAutospacing="0" w:after="0" w:afterAutospacing="0" w:line="360" w:lineRule="exact"/>
                    <w:jc w:val="center"/>
                    <w:rPr>
                      <w:rFonts w:hint="default" w:ascii="Times New Roman" w:hAnsi="Times New Roman" w:cs="Times New Roman"/>
                      <w:bCs/>
                      <w:color w:val="000000" w:themeColor="text1"/>
                      <w:kern w:val="2"/>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动植物油</w:t>
                  </w:r>
                </w:p>
              </w:tc>
              <w:tc>
                <w:tcPr>
                  <w:tcW w:w="687" w:type="pct"/>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10.288 </w:t>
                  </w:r>
                </w:p>
              </w:tc>
              <w:tc>
                <w:tcPr>
                  <w:tcW w:w="2094" w:type="pct"/>
                  <w:noWrap w:val="0"/>
                  <w:vAlign w:val="center"/>
                </w:tcPr>
                <w:p>
                  <w:pPr>
                    <w:autoSpaceDE w:val="0"/>
                    <w:spacing w:line="360" w:lineRule="exact"/>
                    <w:jc w:val="center"/>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100</w:t>
                  </w:r>
                </w:p>
              </w:tc>
              <w:tc>
                <w:tcPr>
                  <w:tcW w:w="759" w:type="pct"/>
                  <w:noWrap w:val="0"/>
                  <w:vAlign w:val="center"/>
                </w:tcPr>
                <w:p>
                  <w:pPr>
                    <w:autoSpaceDE w:val="0"/>
                    <w:spacing w:line="36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达标</w:t>
                  </w: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由上表可知：项目</w:t>
            </w:r>
            <w:r>
              <w:rPr>
                <w:rFonts w:hint="default" w:ascii="Times New Roman" w:hAnsi="Times New Roman" w:cs="Times New Roman"/>
                <w:color w:val="000000" w:themeColor="text1"/>
                <w:sz w:val="24"/>
                <w:lang w:val="en-US" w:eastAsia="zh-CN"/>
                <w14:textFill>
                  <w14:solidFill>
                    <w14:schemeClr w14:val="tx1"/>
                  </w14:solidFill>
                </w14:textFill>
              </w:rPr>
              <w:t>市政</w:t>
            </w:r>
            <w:r>
              <w:rPr>
                <w:rFonts w:hint="default" w:ascii="Times New Roman" w:hAnsi="Times New Roman" w:cs="Times New Roman"/>
                <w:color w:val="000000" w:themeColor="text1"/>
                <w:sz w:val="24"/>
                <w:lang w:eastAsia="zh-CN"/>
                <w14:textFill>
                  <w14:solidFill>
                    <w14:schemeClr w14:val="tx1"/>
                  </w14:solidFill>
                </w14:textFill>
              </w:rPr>
              <w:t>污水管网接管后，</w:t>
            </w:r>
            <w:r>
              <w:rPr>
                <w:rFonts w:hint="default" w:ascii="Times New Roman" w:hAnsi="Times New Roman" w:cs="Times New Roman"/>
                <w:color w:val="000000" w:themeColor="text1"/>
                <w:sz w:val="24"/>
                <w14:textFill>
                  <w14:solidFill>
                    <w14:schemeClr w14:val="tx1"/>
                  </w14:solidFill>
                </w14:textFill>
              </w:rPr>
              <w:t>外排废水水质能满足</w:t>
            </w:r>
            <w:r>
              <w:rPr>
                <w:rFonts w:hint="default" w:ascii="Times New Roman" w:hAnsi="Times New Roman" w:cs="Times New Roman"/>
                <w:bCs/>
                <w:color w:val="000000" w:themeColor="text1"/>
                <w:sz w:val="24"/>
                <w:lang w:bidi="ar"/>
                <w14:textFill>
                  <w14:solidFill>
                    <w14:schemeClr w14:val="tx1"/>
                  </w14:solidFill>
                </w14:textFill>
              </w:rPr>
              <w:t>《污水综合排放标准》（GB8978-1996）表4中三级标准及</w:t>
            </w:r>
            <w:r>
              <w:rPr>
                <w:rFonts w:hint="default" w:ascii="Times New Roman" w:hAnsi="Times New Roman" w:cs="Times New Roman"/>
                <w:bCs/>
                <w:color w:val="000000" w:themeColor="text1"/>
                <w:sz w:val="24"/>
                <w:lang w:eastAsia="zh-CN"/>
                <w14:textFill>
                  <w14:solidFill>
                    <w14:schemeClr w14:val="tx1"/>
                  </w14:solidFill>
                </w14:textFill>
              </w:rPr>
              <w:t>舒城经济开发区污水处理厂</w:t>
            </w:r>
            <w:r>
              <w:rPr>
                <w:rFonts w:hint="default" w:ascii="Times New Roman" w:hAnsi="Times New Roman" w:cs="Times New Roman"/>
                <w:color w:val="000000" w:themeColor="text1"/>
                <w:sz w:val="24"/>
                <w14:textFill>
                  <w14:solidFill>
                    <w14:schemeClr w14:val="tx1"/>
                  </w14:solidFill>
                </w14:textFill>
              </w:rPr>
              <w:t>接管</w:t>
            </w:r>
            <w:r>
              <w:rPr>
                <w:rFonts w:hint="default" w:ascii="Times New Roman" w:hAnsi="Times New Roman" w:cs="Times New Roman"/>
                <w:bCs/>
                <w:color w:val="000000" w:themeColor="text1"/>
                <w:sz w:val="24"/>
                <w:lang w:bidi="ar"/>
                <w14:textFill>
                  <w14:solidFill>
                    <w14:schemeClr w14:val="tx1"/>
                  </w14:solidFill>
                </w14:textFill>
              </w:rPr>
              <w:t>要求</w:t>
            </w:r>
            <w:r>
              <w:rPr>
                <w:rFonts w:hint="default" w:ascii="Times New Roman" w:hAnsi="Times New Roman" w:cs="Times New Roman"/>
                <w:color w:val="000000" w:themeColor="text1"/>
                <w:sz w:val="24"/>
                <w14:textFill>
                  <w14:solidFill>
                    <w14:schemeClr w14:val="tx1"/>
                  </w14:solidFill>
                </w14:textFill>
              </w:rPr>
              <w:t>。</w:t>
            </w:r>
          </w:p>
          <w:p>
            <w:pPr>
              <w:autoSpaceDE w:val="0"/>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（3）污染防治措施可行性分析</w:t>
            </w:r>
          </w:p>
          <w:p>
            <w:pPr>
              <w:autoSpaceDE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1）生产废水处理设施工艺及可行性分析</w:t>
            </w:r>
          </w:p>
          <w:p>
            <w:pPr>
              <w:autoSpaceDE w:val="0"/>
              <w:spacing w:line="360" w:lineRule="auto"/>
              <w:ind w:firstLine="480" w:firstLineChars="200"/>
              <w:rPr>
                <w:rFonts w:hint="default" w:ascii="Times New Roman" w:hAnsi="Times New Roman"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湿式除尘废水：</w:t>
            </w: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cs="Times New Roman"/>
                <w:color w:val="000000" w:themeColor="text1"/>
                <w:sz w:val="24"/>
                <w:szCs w:val="24"/>
                <w:highlight w:val="none"/>
                <w14:textFill>
                  <w14:solidFill>
                    <w14:schemeClr w14:val="tx1"/>
                  </w14:solidFill>
                </w14:textFill>
              </w:rPr>
              <w:t>企业提供的</w:t>
            </w:r>
            <w:r>
              <w:rPr>
                <w:rFonts w:hint="default" w:ascii="Times New Roman" w:hAnsi="Times New Roman" w:eastAsia="宋体" w:cs="Times New Roman"/>
                <w:color w:val="000000" w:themeColor="text1"/>
                <w:sz w:val="24"/>
                <w:szCs w:val="24"/>
                <w:highlight w:val="none"/>
                <w14:textFill>
                  <w14:solidFill>
                    <w14:schemeClr w14:val="tx1"/>
                  </w14:solidFill>
                </w14:textFill>
              </w:rPr>
              <w:t>资料</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项目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拟设</w:t>
            </w:r>
            <w:r>
              <w:rPr>
                <w:rFonts w:hint="default" w:ascii="Times New Roman" w:hAnsi="Times New Roman" w:cs="Times New Roman"/>
                <w:bCs/>
                <w:color w:val="000000" w:themeColor="text1"/>
                <w:sz w:val="24"/>
                <w:highlight w:val="none"/>
                <w:lang w:val="en-US" w:eastAsia="zh-CN"/>
                <w14:textFill>
                  <w14:solidFill>
                    <w14:schemeClr w14:val="tx1"/>
                  </w14:solidFill>
                </w14:textFill>
              </w:rPr>
              <w:t>湿式除尘器</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1台</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湿式除尘器</w:t>
            </w:r>
            <w:r>
              <w:rPr>
                <w:rFonts w:hint="default" w:ascii="Times New Roman" w:hAnsi="Times New Roman" w:cs="Times New Roman"/>
                <w:color w:val="000000" w:themeColor="text1"/>
                <w:sz w:val="24"/>
                <w:szCs w:val="24"/>
                <w:highlight w:val="none"/>
                <w14:textFill>
                  <w14:solidFill>
                    <w14:schemeClr w14:val="tx1"/>
                  </w14:solidFill>
                </w14:textFill>
              </w:rPr>
              <w:t>循环水量约为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0.25</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/h</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即4</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湿式打磨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废水中主要污染物为SS，浓度约为500mg/L，废</w:t>
            </w:r>
            <w:r>
              <w:rPr>
                <w:rFonts w:hint="default" w:ascii="Times New Roman" w:hAnsi="Times New Roman" w:cs="Times New Roman"/>
                <w:color w:val="000000" w:themeColor="text1"/>
                <w:sz w:val="24"/>
                <w:szCs w:val="24"/>
                <w:highlight w:val="none"/>
                <w14:textFill>
                  <w14:solidFill>
                    <w14:schemeClr w14:val="tx1"/>
                  </w14:solidFill>
                </w14:textFill>
              </w:rPr>
              <w:t>水由</w:t>
            </w:r>
            <w:r>
              <w:rPr>
                <w:rFonts w:hint="default" w:ascii="Times New Roman" w:hAnsi="Times New Roman" w:cs="Times New Roman"/>
                <w:bCs/>
                <w:color w:val="000000" w:themeColor="text1"/>
                <w:sz w:val="24"/>
                <w:highlight w:val="none"/>
                <w:lang w:val="en-US" w:eastAsia="zh-CN"/>
                <w14:textFill>
                  <w14:solidFill>
                    <w14:schemeClr w14:val="tx1"/>
                  </w14:solidFill>
                </w14:textFill>
              </w:rPr>
              <w:t>湿式除尘器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配套的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过滤装置</w:t>
            </w:r>
            <w:r>
              <w:rPr>
                <w:rFonts w:hint="default" w:ascii="Times New Roman" w:hAnsi="Times New Roman" w:cs="Times New Roman"/>
                <w:color w:val="000000" w:themeColor="text1"/>
                <w:sz w:val="24"/>
                <w:szCs w:val="24"/>
                <w:highlight w:val="none"/>
                <w14:textFill>
                  <w14:solidFill>
                    <w14:schemeClr w14:val="tx1"/>
                  </w14:solidFill>
                </w14:textFill>
              </w:rPr>
              <w:t>进行过滤处理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后SS浓度为</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25mg/L，回用于</w:t>
            </w:r>
            <w:r>
              <w:rPr>
                <w:rFonts w:hint="default" w:ascii="Times New Roman" w:hAnsi="Times New Roman" w:cs="Times New Roman"/>
                <w:color w:val="000000" w:themeColor="text1"/>
                <w:sz w:val="24"/>
                <w:lang w:val="en-US" w:eastAsia="zh-CN"/>
                <w14:textFill>
                  <w14:solidFill>
                    <w14:schemeClr w14:val="tx1"/>
                  </w14:solidFill>
                </w14:textFill>
              </w:rPr>
              <w:t>抛光</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工序，</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能够满足要求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，属于</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可行技术。</w:t>
            </w:r>
          </w:p>
          <w:p>
            <w:pPr>
              <w:autoSpaceDE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光饰废水：</w:t>
            </w: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cs="Times New Roman"/>
                <w:color w:val="000000" w:themeColor="text1"/>
                <w:sz w:val="24"/>
                <w:szCs w:val="24"/>
                <w:highlight w:val="none"/>
                <w14:textFill>
                  <w14:solidFill>
                    <w14:schemeClr w14:val="tx1"/>
                  </w14:solidFill>
                </w14:textFill>
              </w:rPr>
              <w:t>企业提供的</w:t>
            </w:r>
            <w:r>
              <w:rPr>
                <w:rFonts w:hint="default" w:ascii="Times New Roman" w:hAnsi="Times New Roman" w:eastAsia="宋体" w:cs="Times New Roman"/>
                <w:color w:val="000000" w:themeColor="text1"/>
                <w:sz w:val="24"/>
                <w:szCs w:val="24"/>
                <w:highlight w:val="none"/>
                <w14:textFill>
                  <w14:solidFill>
                    <w14:schemeClr w14:val="tx1"/>
                  </w14:solidFill>
                </w14:textFill>
              </w:rPr>
              <w:t>资料</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项目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光饰工序采用湿式加工</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光饰</w:t>
            </w:r>
            <w:r>
              <w:rPr>
                <w:rFonts w:hint="default" w:ascii="Times New Roman" w:hAnsi="Times New Roman" w:cs="Times New Roman"/>
                <w:color w:val="000000" w:themeColor="text1"/>
                <w:sz w:val="24"/>
                <w:szCs w:val="24"/>
                <w:highlight w:val="none"/>
                <w:lang w:eastAsia="zh-CN"/>
                <w14:textFill>
                  <w14:solidFill>
                    <w14:schemeClr w14:val="tx1"/>
                  </w14:solidFill>
                </w14:textFill>
              </w:rPr>
              <w:t>废水量</w:t>
            </w:r>
            <w:r>
              <w:rPr>
                <w:rFonts w:hint="default" w:ascii="Times New Roman" w:hAnsi="Times New Roman" w:cs="Times New Roman"/>
                <w:color w:val="000000" w:themeColor="text1"/>
                <w:sz w:val="24"/>
                <w:szCs w:val="24"/>
                <w:highlight w:val="none"/>
                <w14:textFill>
                  <w14:solidFill>
                    <w14:schemeClr w14:val="tx1"/>
                  </w14:solidFill>
                </w14:textFill>
              </w:rPr>
              <w:t>约为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0.11t/d，32.8t/a。光饰废水中主要污染物为COD、SS、石油类，各污染物浓度分别为600mg/L、400mg/L、20mg/L，废</w:t>
            </w:r>
            <w:r>
              <w:rPr>
                <w:rFonts w:hint="default" w:ascii="Times New Roman" w:hAnsi="Times New Roman" w:cs="Times New Roman"/>
                <w:color w:val="000000" w:themeColor="text1"/>
                <w:sz w:val="24"/>
                <w:szCs w:val="24"/>
                <w:highlight w:val="none"/>
                <w14:textFill>
                  <w14:solidFill>
                    <w14:schemeClr w14:val="tx1"/>
                  </w14:solidFill>
                </w14:textFill>
              </w:rPr>
              <w:t>水由</w:t>
            </w:r>
            <w:r>
              <w:rPr>
                <w:rFonts w:hint="default" w:ascii="Times New Roman" w:hAnsi="Times New Roman" w:cs="Times New Roman"/>
                <w:bCs/>
                <w:color w:val="000000" w:themeColor="text1"/>
                <w:sz w:val="24"/>
                <w:highlight w:val="none"/>
                <w:lang w:val="en-US" w:eastAsia="zh-CN"/>
                <w14:textFill>
                  <w14:solidFill>
                    <w14:schemeClr w14:val="tx1"/>
                  </w14:solidFill>
                </w14:textFill>
              </w:rPr>
              <w:t>自建污水处理设施</w:t>
            </w:r>
            <w:r>
              <w:rPr>
                <w:rFonts w:hint="default" w:ascii="Times New Roman" w:hAnsi="Times New Roman" w:cs="Times New Roman"/>
                <w:color w:val="000000" w:themeColor="text1"/>
                <w:sz w:val="24"/>
                <w:szCs w:val="24"/>
                <w14:textFill>
                  <w14:solidFill>
                    <w14:schemeClr w14:val="tx1"/>
                  </w14:solidFill>
                </w14:textFill>
              </w:rPr>
              <w:t>（处理工艺为</w:t>
            </w:r>
            <w:r>
              <w:rPr>
                <w:rFonts w:hint="default" w:ascii="Times New Roman" w:hAnsi="Times New Roman" w:cs="Times New Roman"/>
                <w:color w:val="000000" w:themeColor="text1"/>
                <w:sz w:val="24"/>
                <w:szCs w:val="24"/>
                <w:lang w:eastAsia="zh-CN"/>
                <w14:textFill>
                  <w14:solidFill>
                    <w14:schemeClr w14:val="tx1"/>
                  </w14:solidFill>
                </w14:textFill>
              </w:rPr>
              <w:t>混</w:t>
            </w:r>
            <w:r>
              <w:rPr>
                <w:rFonts w:hint="default" w:ascii="Times New Roman" w:hAnsi="Times New Roman" w:cs="Times New Roman"/>
                <w:color w:val="000000" w:themeColor="text1"/>
                <w:sz w:val="24"/>
                <w:szCs w:val="24"/>
                <w14:textFill>
                  <w14:solidFill>
                    <w14:schemeClr w14:val="tx1"/>
                  </w14:solidFill>
                </w14:textFill>
              </w:rPr>
              <w:t>凝沉淀，处理能力为</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t/d）</w:t>
            </w:r>
            <w:r>
              <w:rPr>
                <w:rFonts w:hint="default" w:ascii="Times New Roman" w:hAnsi="Times New Roman" w:cs="Times New Roman"/>
                <w:color w:val="000000" w:themeColor="text1"/>
                <w:sz w:val="24"/>
                <w:szCs w:val="24"/>
                <w:highlight w:val="none"/>
                <w14:textFill>
                  <w14:solidFill>
                    <w14:schemeClr w14:val="tx1"/>
                  </w14:solidFill>
                </w14:textFill>
              </w:rPr>
              <w:t>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w:t>
            </w:r>
            <w:r>
              <w:rPr>
                <w:rFonts w:hint="default" w:ascii="Times New Roman" w:hAnsi="Times New Roman" w:cs="Times New Roman"/>
                <w:b w:val="0"/>
                <w:bCs w:val="0"/>
                <w:color w:val="000000" w:themeColor="text1"/>
                <w:sz w:val="24"/>
                <w:lang w:val="en-US" w:eastAsia="zh-CN"/>
                <w14:textFill>
                  <w14:solidFill>
                    <w14:schemeClr w14:val="tx1"/>
                  </w14:solidFill>
                </w14:textFill>
              </w:rPr>
              <w:t>COD、SS、</w:t>
            </w:r>
            <w:r>
              <w:rPr>
                <w:rFonts w:hint="default" w:ascii="Times New Roman" w:hAnsi="Times New Roman" w:cs="Times New Roman"/>
                <w:color w:val="000000" w:themeColor="text1"/>
                <w:sz w:val="24"/>
                <w:lang w:eastAsia="zh-CN"/>
                <w14:textFill>
                  <w14:solidFill>
                    <w14:schemeClr w14:val="tx1"/>
                  </w14:solidFill>
                </w14:textFill>
              </w:rPr>
              <w:t>石油类</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浓度分别为12</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0mg/L、</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0mg/L、2mg/L，回用于</w:t>
            </w:r>
            <w:r>
              <w:rPr>
                <w:rFonts w:hint="default" w:ascii="Times New Roman" w:hAnsi="Times New Roman" w:cs="Times New Roman"/>
                <w:color w:val="000000" w:themeColor="text1"/>
                <w:sz w:val="24"/>
                <w:highlight w:val="none"/>
                <w:lang w:val="en-US" w:eastAsia="zh-CN"/>
                <w14:textFill>
                  <w14:solidFill>
                    <w14:schemeClr w14:val="tx1"/>
                  </w14:solidFill>
                </w14:textFill>
              </w:rPr>
              <w:t>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饰</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工序，</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能够满足要求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，属于</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可行技术。</w:t>
            </w:r>
          </w:p>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混凝沉淀：在废水中投入混凝剂，使废水中的胶体和细微悬浮物凝聚成絮凝体，然后予以分离除去的水处理法。混凝沉淀法在水处理中的应用是非常广泛的，它既可以降低原水的浊度、色度等水质的感观指标，又可以去除多种有毒有害污染物。</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处理能力：</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eastAsia="zh-CN"/>
                <w14:textFill>
                  <w14:solidFill>
                    <w14:schemeClr w14:val="tx1"/>
                  </w14:solidFill>
                </w14:textFill>
              </w:rPr>
              <w:t>拟自建污水处理设施</w:t>
            </w:r>
            <w:r>
              <w:rPr>
                <w:rFonts w:hint="default" w:ascii="Times New Roman" w:hAnsi="Times New Roman" w:cs="Times New Roman"/>
                <w:color w:val="000000" w:themeColor="text1"/>
                <w:sz w:val="24"/>
                <w:szCs w:val="24"/>
                <w14:textFill>
                  <w14:solidFill>
                    <w14:schemeClr w14:val="tx1"/>
                  </w14:solidFill>
                </w14:textFill>
              </w:rPr>
              <w:t>，废水量共计</w:t>
            </w:r>
            <w:r>
              <w:rPr>
                <w:rFonts w:hint="default" w:ascii="Times New Roman" w:hAnsi="Times New Roman" w:cs="Times New Roman"/>
                <w:color w:val="000000" w:themeColor="text1"/>
                <w:sz w:val="24"/>
                <w:szCs w:val="24"/>
                <w:lang w:val="en-US" w:eastAsia="zh-CN"/>
                <w14:textFill>
                  <w14:solidFill>
                    <w14:schemeClr w14:val="tx1"/>
                  </w14:solidFill>
                </w14:textFill>
              </w:rPr>
              <w:t>0.11</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经</w:t>
            </w:r>
            <w:r>
              <w:rPr>
                <w:rFonts w:hint="default" w:ascii="Times New Roman" w:hAnsi="Times New Roman" w:cs="Times New Roman"/>
                <w:color w:val="000000" w:themeColor="text1"/>
                <w:sz w:val="24"/>
                <w:szCs w:val="24"/>
                <w:lang w:val="en-US" w:eastAsia="zh-CN"/>
                <w14:textFill>
                  <w14:solidFill>
                    <w14:schemeClr w14:val="tx1"/>
                  </w14:solidFill>
                </w14:textFill>
              </w:rPr>
              <w:t>混凝</w:t>
            </w:r>
            <w:r>
              <w:rPr>
                <w:rFonts w:hint="default" w:ascii="Times New Roman" w:hAnsi="Times New Roman" w:cs="Times New Roman"/>
                <w:color w:val="000000" w:themeColor="text1"/>
                <w:sz w:val="24"/>
                <w:szCs w:val="24"/>
                <w:lang w:eastAsia="zh-CN"/>
                <w14:textFill>
                  <w14:solidFill>
                    <w14:schemeClr w14:val="tx1"/>
                  </w14:solidFill>
                </w14:textFill>
              </w:rPr>
              <w:t>沉淀处理后回用，不外排，</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eastAsia="zh-CN"/>
                <w14:textFill>
                  <w14:solidFill>
                    <w14:schemeClr w14:val="tx1"/>
                  </w14:solidFill>
                </w14:textFill>
              </w:rPr>
              <w:t>光饰</w:t>
            </w:r>
            <w:r>
              <w:rPr>
                <w:rFonts w:hint="default" w:ascii="Times New Roman" w:hAnsi="Times New Roman" w:cs="Times New Roman"/>
                <w:color w:val="000000" w:themeColor="text1"/>
                <w:sz w:val="24"/>
                <w:szCs w:val="24"/>
                <w14:textFill>
                  <w14:solidFill>
                    <w14:schemeClr w14:val="tx1"/>
                  </w14:solidFill>
                </w14:textFill>
              </w:rPr>
              <w:t>废水处理设备设计处理量为</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p>
          <w:p>
            <w:pPr>
              <w:spacing w:line="360" w:lineRule="auto"/>
              <w:ind w:firstLine="480" w:firstLineChars="200"/>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综上所述，</w:t>
            </w:r>
            <w:r>
              <w:rPr>
                <w:rFonts w:hint="default" w:ascii="Times New Roman" w:hAnsi="Times New Roman" w:cs="Times New Roman"/>
                <w:color w:val="000000" w:themeColor="text1"/>
                <w:kern w:val="0"/>
                <w:sz w:val="24"/>
                <w:szCs w:val="24"/>
                <w:lang w:eastAsia="zh-CN" w:bidi="ar"/>
                <w14:textFill>
                  <w14:solidFill>
                    <w14:schemeClr w14:val="tx1"/>
                  </w14:solidFill>
                </w14:textFill>
              </w:rPr>
              <w:t>湿式除尘</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废水经</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湿式除尘器</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配套的过滤装置过滤</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后回用，不外排</w:t>
            </w:r>
            <w:r>
              <w:rPr>
                <w:rFonts w:hint="default" w:ascii="Times New Roman" w:hAnsi="Times New Roman" w:cs="Times New Roman"/>
                <w:b w:val="0"/>
                <w:bCs/>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光饰废水经自建污水处理设施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 w:val="24"/>
                <w:szCs w:val="24"/>
                <w:lang w:val="en-US" w:eastAsia="zh-CN"/>
                <w14:textFill>
                  <w14:solidFill>
                    <w14:schemeClr w14:val="tx1"/>
                  </w14:solidFill>
                </w14:textFill>
              </w:rPr>
              <w:t>理后回用，不外排</w:t>
            </w:r>
            <w:r>
              <w:rPr>
                <w:rFonts w:hint="default" w:ascii="Times New Roman" w:hAnsi="Times New Roman" w:cs="Times New Roman"/>
                <w:b w:val="0"/>
                <w:bCs/>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lang w:bidi="ar"/>
                <w14:textFill>
                  <w14:solidFill>
                    <w14:schemeClr w14:val="tx1"/>
                  </w14:solidFill>
                </w14:textFill>
              </w:rPr>
              <w:t>具有可行性。</w:t>
            </w:r>
          </w:p>
          <w:p>
            <w:pPr>
              <w:autoSpaceDE w:val="0"/>
              <w:spacing w:line="360" w:lineRule="auto"/>
              <w:ind w:firstLine="480" w:firstLineChars="200"/>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b w:val="0"/>
                <w:bCs w:val="0"/>
                <w:color w:val="000000" w:themeColor="text1"/>
                <w:spacing w:val="0"/>
                <w:sz w:val="24"/>
                <w:szCs w:val="24"/>
                <w:lang w:val="en-US" w:eastAsia="zh-CN"/>
                <w14:textFill>
                  <w14:solidFill>
                    <w14:schemeClr w14:val="tx1"/>
                  </w14:solidFill>
                </w14:textFill>
              </w:rPr>
              <w:t>2）厂区</w:t>
            </w:r>
            <w:r>
              <w:rPr>
                <w:rFonts w:hint="default" w:ascii="Times New Roman" w:hAnsi="Times New Roman" w:cs="Times New Roman"/>
                <w:color w:val="000000" w:themeColor="text1"/>
                <w:sz w:val="24"/>
                <w14:textFill>
                  <w14:solidFill>
                    <w14:schemeClr w14:val="tx1"/>
                  </w14:solidFill>
                </w14:textFill>
              </w:rPr>
              <w:t>生活污水处理工艺及可行性分析</w:t>
            </w:r>
          </w:p>
          <w:p>
            <w:pPr>
              <w:spacing w:line="360" w:lineRule="auto"/>
              <w:ind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1"/>
                <w:sz w:val="24"/>
                <w:szCs w:val="24"/>
                <w:highlight w:val="none"/>
                <w:lang w:val="en-US" w:eastAsia="zh-CN" w:bidi="ar"/>
                <w14:textFill>
                  <w14:solidFill>
                    <w14:schemeClr w14:val="tx1"/>
                  </w14:solidFill>
                </w14:textFill>
              </w:rPr>
              <w:t>市政</w:t>
            </w:r>
            <w:r>
              <w:rPr>
                <w:rFonts w:hint="default" w:ascii="Times New Roman" w:hAnsi="Times New Roman" w:cs="Times New Roman"/>
                <w:b w:val="0"/>
                <w:bCs w:val="0"/>
                <w:color w:val="000000" w:themeColor="text1"/>
                <w:spacing w:val="0"/>
                <w:kern w:val="0"/>
                <w:sz w:val="24"/>
                <w:szCs w:val="24"/>
                <w:lang w:val="en-US" w:eastAsia="zh-CN" w:bidi="ar"/>
                <w14:textFill>
                  <w14:solidFill>
                    <w14:schemeClr w14:val="tx1"/>
                  </w14:solidFill>
                </w14:textFill>
              </w:rPr>
              <w:t>污水管网接管后：</w:t>
            </w:r>
            <w:r>
              <w:rPr>
                <w:rFonts w:hint="default" w:ascii="Times New Roman" w:hAnsi="Times New Roman" w:eastAsia="宋体" w:cs="Times New Roman"/>
                <w:b w:val="0"/>
                <w:bCs w:val="0"/>
                <w:color w:val="000000" w:themeColor="text1"/>
                <w:spacing w:val="0"/>
                <w:kern w:val="0"/>
                <w:sz w:val="24"/>
                <w:szCs w:val="24"/>
                <w:lang w:val="en-US" w:eastAsia="zh-CN" w:bidi="ar"/>
                <w14:textFill>
                  <w14:solidFill>
                    <w14:schemeClr w14:val="tx1"/>
                  </w14:solidFill>
                </w14:textFill>
              </w:rPr>
              <w:t>根据《排污许可证申请与核发技术规范 总则》（HJ942—2018）</w:t>
            </w:r>
            <w:r>
              <w:rPr>
                <w:rFonts w:hint="default" w:ascii="Times New Roman" w:hAnsi="Times New Roman" w:cs="Times New Roman"/>
                <w:color w:val="000000" w:themeColor="text1"/>
                <w:kern w:val="0"/>
                <w:sz w:val="24"/>
                <w:lang w:bidi="ar"/>
                <w14:textFill>
                  <w14:solidFill>
                    <w14:schemeClr w14:val="tx1"/>
                  </w14:solidFill>
                </w14:textFill>
              </w:rPr>
              <w:t>，生活污水治理可行技术为“隔油池、化粪池、调节池、厌氧-好氧、兼性-好氧、好氧生物处理”。</w:t>
            </w:r>
          </w:p>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本项目生活污水采用隔油池、化粪池处理，属于可行技术。</w:t>
            </w:r>
            <w:r>
              <w:rPr>
                <w:rFonts w:hint="default" w:ascii="Times New Roman" w:hAnsi="Times New Roman" w:cs="Times New Roman"/>
                <w:color w:val="000000" w:themeColor="text1"/>
                <w:sz w:val="24"/>
                <w14:textFill>
                  <w14:solidFill>
                    <w14:schemeClr w14:val="tx1"/>
                  </w14:solidFill>
                </w14:textFill>
              </w:rPr>
              <w:t>本项目生活污水产生量为</w:t>
            </w:r>
            <w:r>
              <w:rPr>
                <w:rFonts w:hint="default" w:ascii="Times New Roman" w:hAnsi="Times New Roman" w:cs="Times New Roman"/>
                <w:color w:val="000000" w:themeColor="text1"/>
                <w:sz w:val="24"/>
                <w:lang w:val="en-US" w:eastAsia="zh-CN"/>
                <w14:textFill>
                  <w14:solidFill>
                    <w14:schemeClr w14:val="tx1"/>
                  </w14:solidFill>
                </w14:textFill>
              </w:rPr>
              <w:t>0.96</w:t>
            </w:r>
            <w:r>
              <w:rPr>
                <w:rFonts w:hint="default" w:ascii="Times New Roman" w:hAnsi="Times New Roman" w:cs="Times New Roman"/>
                <w:color w:val="000000" w:themeColor="text1"/>
                <w:sz w:val="24"/>
                <w:lang w:eastAsia="zh-CN"/>
                <w14:textFill>
                  <w14:solidFill>
                    <w14:schemeClr w14:val="tx1"/>
                  </w14:solidFill>
                </w14:textFill>
              </w:rPr>
              <w:t>m</w:t>
            </w:r>
            <w:r>
              <w:rPr>
                <w:rFonts w:hint="default" w:ascii="Times New Roman" w:hAnsi="Times New Roman" w:cs="Times New Roman"/>
                <w:color w:val="000000" w:themeColor="text1"/>
                <w:sz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/d</w:t>
            </w:r>
            <w:r>
              <w:rPr>
                <w:rFonts w:hint="default" w:ascii="Times New Roman" w:hAnsi="Times New Roman" w:cs="Times New Roman"/>
                <w:color w:val="000000" w:themeColor="text1"/>
                <w:sz w:val="24"/>
                <w14:textFill>
                  <w14:solidFill>
                    <w14:schemeClr w14:val="tx1"/>
                  </w14:solidFill>
                </w14:textFill>
              </w:rPr>
              <w:t>，外排废水量较小，</w:t>
            </w:r>
            <w:r>
              <w:rPr>
                <w:rFonts w:hint="default" w:ascii="Times New Roman" w:hAnsi="Times New Roman" w:cs="Times New Roman"/>
                <w:color w:val="000000" w:themeColor="text1"/>
                <w:sz w:val="24"/>
                <w:lang w:eastAsia="zh-CN"/>
                <w14:textFill>
                  <w14:solidFill>
                    <w14:schemeClr w14:val="tx1"/>
                  </w14:solidFill>
                </w14:textFill>
              </w:rPr>
              <w:t>生活污水依托租赁厂房</w:t>
            </w:r>
            <w:r>
              <w:rPr>
                <w:rFonts w:hint="default" w:ascii="Times New Roman" w:hAnsi="Times New Roman" w:cs="Times New Roman"/>
                <w:color w:val="000000" w:themeColor="text1"/>
                <w:sz w:val="24"/>
                <w:lang w:val="en-US" w:eastAsia="zh-CN"/>
                <w14:textFill>
                  <w14:solidFill>
                    <w14:schemeClr w14:val="tx1"/>
                  </w14:solidFill>
                </w14:textFill>
              </w:rPr>
              <w:t>的</w:t>
            </w:r>
            <w:r>
              <w:rPr>
                <w:rFonts w:hint="default" w:ascii="Times New Roman" w:hAnsi="Times New Roman" w:cs="Times New Roman"/>
                <w:color w:val="000000" w:themeColor="text1"/>
                <w:sz w:val="24"/>
                <w:lang w:eastAsia="zh-CN"/>
                <w14:textFill>
                  <w14:solidFill>
                    <w14:schemeClr w14:val="tx1"/>
                  </w14:solidFill>
                </w14:textFill>
              </w:rPr>
              <w:t>隔油池、化粪池</w:t>
            </w:r>
            <w:r>
              <w:rPr>
                <w:rFonts w:hint="default" w:ascii="Times New Roman" w:hAnsi="Times New Roman" w:cs="Times New Roman"/>
                <w:color w:val="000000" w:themeColor="text1"/>
                <w:sz w:val="24"/>
                <w14:textFill>
                  <w14:solidFill>
                    <w14:schemeClr w14:val="tx1"/>
                  </w14:solidFill>
                </w14:textFill>
              </w:rPr>
              <w:t>预处理，</w:t>
            </w:r>
            <w:r>
              <w:rPr>
                <w:rFonts w:hint="default" w:ascii="Times New Roman" w:hAnsi="Times New Roman" w:cs="Times New Roman"/>
                <w:color w:val="000000" w:themeColor="text1"/>
                <w:sz w:val="24"/>
                <w:lang w:val="en-US" w:eastAsia="zh-CN"/>
                <w14:textFill>
                  <w14:solidFill>
                    <w14:schemeClr w14:val="tx1"/>
                  </w14:solidFill>
                </w14:textFill>
              </w:rPr>
              <w:t>根据建设单位提供资料，项目</w:t>
            </w:r>
            <w:r>
              <w:rPr>
                <w:rFonts w:hint="default" w:ascii="Times New Roman" w:hAnsi="Times New Roman" w:cs="Times New Roman"/>
                <w:color w:val="000000" w:themeColor="text1"/>
                <w:sz w:val="24"/>
                <w:lang w:eastAsia="zh-CN"/>
                <w14:textFill>
                  <w14:solidFill>
                    <w14:schemeClr w14:val="tx1"/>
                  </w14:solidFill>
                </w14:textFill>
              </w:rPr>
              <w:t>依托租赁厂房的隔油池</w:t>
            </w:r>
            <w:r>
              <w:rPr>
                <w:rFonts w:hint="default" w:ascii="Times New Roman" w:hAnsi="Times New Roman" w:cs="Times New Roman"/>
                <w:color w:val="000000" w:themeColor="text1"/>
                <w:sz w:val="24"/>
                <w14:textFill>
                  <w14:solidFill>
                    <w14:schemeClr w14:val="tx1"/>
                  </w14:solidFill>
                </w14:textFill>
              </w:rPr>
              <w:t>容积为</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化粪池</w:t>
            </w:r>
            <w:r>
              <w:rPr>
                <w:rFonts w:hint="default" w:ascii="Times New Roman" w:hAnsi="Times New Roman" w:cs="Times New Roman"/>
                <w:color w:val="000000" w:themeColor="text1"/>
                <w:sz w:val="24"/>
                <w14:textFill>
                  <w14:solidFill>
                    <w14:schemeClr w14:val="tx1"/>
                  </w14:solidFill>
                </w14:textFill>
              </w:rPr>
              <w:t>容积为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，设计之初已充分考虑</w:t>
            </w:r>
            <w:r>
              <w:rPr>
                <w:rFonts w:hint="default" w:ascii="Times New Roman" w:hAnsi="Times New Roman"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废水量及停留时间24h要求，完全可以接纳本项目产生的生活污水。</w:t>
            </w:r>
          </w:p>
          <w:p>
            <w:pPr>
              <w:autoSpaceDE w:val="0"/>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bidi="ar"/>
                <w14:textFill>
                  <w14:solidFill>
                    <w14:schemeClr w14:val="tx1"/>
                  </w14:solidFill>
                </w14:textFill>
              </w:rPr>
              <w:t>3</w:t>
            </w:r>
            <w:r>
              <w:rPr>
                <w:rFonts w:hint="default" w:ascii="Times New Roman" w:hAnsi="Times New Roman" w:cs="Times New Roman"/>
                <w:color w:val="000000" w:themeColor="text1"/>
                <w:sz w:val="24"/>
                <w:lang w:bidi="ar"/>
                <w14:textFill>
                  <w14:solidFill>
                    <w14:schemeClr w14:val="tx1"/>
                  </w14:solidFill>
                </w14:textFill>
              </w:rPr>
              <w:t>）依托区域污水处理设施的可行性分析</w:t>
            </w:r>
          </w:p>
          <w:p>
            <w:pPr>
              <w:spacing w:line="360" w:lineRule="auto"/>
              <w:ind w:firstLine="482"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Ⅰ、舒城经济技术开发区污水处理厂处理工艺</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舒城经济技术开发区污水处理厂的进厂污水主要为经开区的工业废水和生活污水，根据污水源水性质和出水要求，污水厂的设计采用了预处理、改良型氧化沟、混凝和过滤。设计规模：1万m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/d（分两期实施）；其中：一期工程规模0.5万m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/d，二期工程建设规模0.5万m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处理工艺：选用改良型氧化沟生物处理工艺。</w:t>
            </w:r>
          </w:p>
          <w:p>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zh-CN"/>
                <w14:textFill>
                  <w14:solidFill>
                    <w14:schemeClr w14:val="tx1"/>
                  </w14:solidFill>
                </w14:textFill>
              </w:rPr>
              <w:drawing>
                <wp:inline distT="0" distB="0" distL="114300" distR="114300">
                  <wp:extent cx="4784725" cy="2388870"/>
                  <wp:effectExtent l="9525" t="9525" r="19050" b="14605"/>
                  <wp:docPr id="2"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图片2"/>
                          <pic:cNvPicPr>
                            <a:picLocks noChangeAspect="1"/>
                          </pic:cNvPicPr>
                        </pic:nvPicPr>
                        <pic:blipFill>
                          <a:blip r:embed="rId19"/>
                          <a:srcRect t="6068"/>
                          <a:stretch>
                            <a:fillRect/>
                          </a:stretch>
                        </pic:blipFill>
                        <pic:spPr>
                          <a:xfrm>
                            <a:off x="0" y="0"/>
                            <a:ext cx="4784725" cy="23888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jc w:val="center"/>
              <w:rPr>
                <w:rFonts w:hint="default" w:ascii="Times New Roman" w:hAnsi="Times New Roman" w:cs="Times New Roman"/>
                <w:color w:val="000000" w:themeColor="text1"/>
                <w:sz w:val="24"/>
                <w:szCs w:val="24"/>
                <w:highlight w:val="yellow"/>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图4-</w:t>
            </w:r>
            <w:r>
              <w:rPr>
                <w:rFonts w:hint="default"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 xml:space="preserve"> 舒城经济技术开发区污水处理厂废水处理工艺流程图</w:t>
            </w:r>
          </w:p>
          <w:p>
            <w:pPr>
              <w:spacing w:line="360" w:lineRule="auto"/>
              <w:ind w:firstLine="482"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Ⅱ、接管可行性分析</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接管水质：本项目外排废水主要污染物为COD、BOD</w:t>
            </w:r>
            <w:r>
              <w:rPr>
                <w:rFonts w:hint="default" w:ascii="Times New Roman" w:hAnsi="Times New Roman" w:cs="Times New Roman"/>
                <w:color w:val="000000" w:themeColor="text1"/>
                <w:sz w:val="24"/>
                <w:szCs w:val="24"/>
                <w:vertAlign w:val="subscript"/>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、SS、NH</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-N、</w:t>
            </w:r>
            <w:r>
              <w:rPr>
                <w:rFonts w:hint="default" w:ascii="Times New Roman" w:hAnsi="Times New Roman" w:cs="Times New Roman"/>
                <w:color w:val="000000" w:themeColor="text1"/>
                <w:sz w:val="24"/>
                <w:szCs w:val="24"/>
                <w:lang w:val="en-US" w:eastAsia="zh-CN"/>
                <w14:textFill>
                  <w14:solidFill>
                    <w14:schemeClr w14:val="tx1"/>
                  </w14:solidFill>
                </w14:textFill>
              </w:rPr>
              <w:t>TP、动植物油</w:t>
            </w:r>
            <w:r>
              <w:rPr>
                <w:rFonts w:hint="default" w:ascii="Times New Roman" w:hAnsi="Times New Roman" w:cs="Times New Roman"/>
                <w:color w:val="000000" w:themeColor="text1"/>
                <w:sz w:val="24"/>
                <w:szCs w:val="24"/>
                <w14:textFill>
                  <w14:solidFill>
                    <w14:schemeClr w14:val="tx1"/>
                  </w14:solidFill>
                </w14:textFill>
              </w:rPr>
              <w:t>等，废水经预处理后，废水排放满足</w:t>
            </w:r>
            <w:r>
              <w:rPr>
                <w:rFonts w:hint="default" w:ascii="Times New Roman" w:hAnsi="Times New Roman" w:cs="Times New Roman"/>
                <w:color w:val="000000" w:themeColor="text1"/>
                <w:sz w:val="24"/>
                <w:szCs w:val="24"/>
                <w:lang w:bidi="ar"/>
                <w14:textFill>
                  <w14:solidFill>
                    <w14:schemeClr w14:val="tx1"/>
                  </w14:solidFill>
                </w14:textFill>
              </w:rPr>
              <w:t>《污水综合排放标准》（GB8978-1996）表4中三级标准及</w:t>
            </w:r>
            <w:r>
              <w:rPr>
                <w:rFonts w:hint="default" w:ascii="Times New Roman" w:hAnsi="Times New Roman" w:cs="Times New Roman"/>
                <w:color w:val="000000" w:themeColor="text1"/>
                <w:sz w:val="24"/>
                <w:szCs w:val="24"/>
                <w14:textFill>
                  <w14:solidFill>
                    <w14:schemeClr w14:val="tx1"/>
                  </w14:solidFill>
                </w14:textFill>
              </w:rPr>
              <w:t>舒城经济开发区污水处理厂接管</w:t>
            </w:r>
            <w:r>
              <w:rPr>
                <w:rFonts w:hint="default" w:ascii="Times New Roman" w:hAnsi="Times New Roman" w:cs="Times New Roman"/>
                <w:color w:val="000000" w:themeColor="text1"/>
                <w:sz w:val="24"/>
                <w:szCs w:val="24"/>
                <w:lang w:bidi="ar"/>
                <w14:textFill>
                  <w14:solidFill>
                    <w14:schemeClr w14:val="tx1"/>
                  </w14:solidFill>
                </w14:textFill>
              </w:rPr>
              <w:t>要求</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接管水量：本项目建成正常运行后的废水量为</w:t>
            </w:r>
            <w:r>
              <w:rPr>
                <w:rFonts w:hint="default" w:ascii="Times New Roman" w:hAnsi="Times New Roman" w:cs="Times New Roman"/>
                <w:color w:val="000000" w:themeColor="text1"/>
                <w:sz w:val="24"/>
                <w:szCs w:val="24"/>
                <w:lang w:val="en-US" w:eastAsia="zh-CN"/>
                <w14:textFill>
                  <w14:solidFill>
                    <w14:schemeClr w14:val="tx1"/>
                  </w14:solidFill>
                </w14:textFill>
              </w:rPr>
              <w:t>0.972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/d，废水排放量很小，舒城经济开发区污水处理厂污水处理量为1.0万t/d，其水量已考虑到项目区收水范围，不会对其处理能力造成较大的冲击，因在其设计考虑处理范围内，因此接管水量是可行的。</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接管路径：本项目位于</w:t>
            </w:r>
            <w:r>
              <w:rPr>
                <w:rFonts w:hint="default" w:ascii="Times New Roman" w:hAnsi="Times New Roman" w:cs="Times New Roman"/>
                <w:color w:val="000000" w:themeColor="text1"/>
                <w:sz w:val="24"/>
                <w:szCs w:val="24"/>
                <w:lang w:eastAsia="zh-CN"/>
                <w14:textFill>
                  <w14:solidFill>
                    <w14:schemeClr w14:val="tx1"/>
                  </w14:solidFill>
                </w14:textFill>
              </w:rPr>
              <w:t>安徽省六安市舒城县龙津大道光世集团院内</w:t>
            </w:r>
            <w:r>
              <w:rPr>
                <w:rFonts w:hint="default" w:ascii="Times New Roman" w:hAnsi="Times New Roman" w:cs="Times New Roman"/>
                <w:color w:val="000000" w:themeColor="text1"/>
                <w:sz w:val="24"/>
                <w:szCs w:val="24"/>
                <w14:textFill>
                  <w14:solidFill>
                    <w14:schemeClr w14:val="tx1"/>
                  </w14:solidFill>
                </w14:textFill>
              </w:rPr>
              <w:t>，项目区域属于舒城经济开发区污水处理厂收水范围，项目运营产生的废水经预处理达标后由厂区污水管网收集接入</w:t>
            </w:r>
            <w:r>
              <w:rPr>
                <w:rFonts w:hint="default" w:ascii="Times New Roman" w:hAnsi="Times New Roman" w:eastAsia="宋体" w:cs="Times New Roman"/>
                <w:color w:val="000000" w:themeColor="text1"/>
                <w:sz w:val="24"/>
                <w:lang w:val="en-US" w:eastAsia="zh-CN"/>
                <w14:textFill>
                  <w14:solidFill>
                    <w14:schemeClr w14:val="tx1"/>
                  </w14:solidFill>
                </w14:textFill>
              </w:rPr>
              <w:t>龙津大道</w:t>
            </w:r>
            <w:r>
              <w:rPr>
                <w:rFonts w:hint="default" w:ascii="Times New Roman" w:hAnsi="Times New Roman" w:cs="Times New Roman"/>
                <w:color w:val="000000" w:themeColor="text1"/>
                <w:sz w:val="24"/>
                <w:szCs w:val="24"/>
                <w14:textFill>
                  <w14:solidFill>
                    <w14:schemeClr w14:val="tx1"/>
                  </w14:solidFill>
                </w14:textFill>
              </w:rPr>
              <w:t>市政污水管网，最终纳入舒城经济开发区污水处理厂处理达标后排放。</w:t>
            </w:r>
          </w:p>
          <w:p>
            <w:pPr>
              <w:spacing w:line="460" w:lineRule="exact"/>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3、废水自行监测要求</w:t>
            </w:r>
          </w:p>
          <w:p>
            <w:pPr>
              <w:spacing w:line="460" w:lineRule="exact"/>
              <w:ind w:firstLine="480"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根据《固定污染源排污许可分类管理名录（2019年版）》，本项目排污许可分类为</w:t>
            </w:r>
            <w:r>
              <w:rPr>
                <w:rFonts w:hint="default" w:ascii="Times New Roman" w:hAnsi="Times New Roman" w:cs="Times New Roman"/>
                <w:color w:val="000000" w:themeColor="text1"/>
                <w:sz w:val="24"/>
                <w:lang w:val="en-US" w:eastAsia="zh-CN"/>
                <w14:textFill>
                  <w14:solidFill>
                    <w14:schemeClr w14:val="tx1"/>
                  </w14:solidFill>
                </w14:textFill>
              </w:rPr>
              <w:t>简化</w:t>
            </w:r>
            <w:r>
              <w:rPr>
                <w:rFonts w:hint="default" w:ascii="Times New Roman" w:hAnsi="Times New Roman" w:cs="Times New Roman"/>
                <w:color w:val="000000" w:themeColor="text1"/>
                <w:sz w:val="24"/>
                <w14:textFill>
                  <w14:solidFill>
                    <w14:schemeClr w14:val="tx1"/>
                  </w14:solidFill>
                </w14:textFill>
              </w:rPr>
              <w:t>管理。</w:t>
            </w:r>
            <w:r>
              <w:rPr>
                <w:rFonts w:hint="default" w:ascii="Times New Roman" w:hAnsi="Times New Roman" w:cs="Times New Roman"/>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《排污单位自行监测技术指南 总则》（HJ 819—2017）、《排污单位自行监测技术指南 金属铸造工业》（HJ 1251-2022），</w:t>
            </w:r>
            <w:r>
              <w:rPr>
                <w:rFonts w:hint="default" w:ascii="Times New Roman" w:hAnsi="Times New Roman" w:cs="Times New Roman"/>
                <w:color w:val="000000" w:themeColor="text1"/>
                <w:sz w:val="24"/>
                <w14:textFill>
                  <w14:solidFill>
                    <w14:schemeClr w14:val="tx1"/>
                  </w14:solidFill>
                </w14:textFill>
              </w:rPr>
              <w:t>项目废水自行监测方案见表4-</w:t>
            </w:r>
            <w:r>
              <w:rPr>
                <w:rFonts w:hint="default" w:ascii="Times New Roman" w:hAnsi="Times New Roman" w:cs="Times New Roman"/>
                <w:color w:val="000000" w:themeColor="text1"/>
                <w:sz w:val="24"/>
                <w:lang w:val="en-US" w:eastAsia="zh-CN"/>
                <w14:textFill>
                  <w14:solidFill>
                    <w14:schemeClr w14:val="tx1"/>
                  </w14:solidFill>
                </w14:textFill>
              </w:rPr>
              <w:t>22</w:t>
            </w:r>
            <w:r>
              <w:rPr>
                <w:rFonts w:hint="default" w:ascii="Times New Roman" w:hAnsi="Times New Roman" w:cs="Times New Roman"/>
                <w:color w:val="000000" w:themeColor="text1"/>
                <w:sz w:val="24"/>
                <w14:textFill>
                  <w14:solidFill>
                    <w14:schemeClr w14:val="tx1"/>
                  </w14:solidFill>
                </w14:textFill>
              </w:rPr>
              <w:t>。</w:t>
            </w:r>
          </w:p>
          <w:p>
            <w:pPr>
              <w:widowControl/>
              <w:spacing w:before="100" w:beforeAutospacing="1"/>
              <w:ind w:left="-105" w:leftChars="-5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22</w:t>
            </w:r>
            <w:r>
              <w:rPr>
                <w:rFonts w:hint="default" w:ascii="Times New Roman" w:hAnsi="Times New Roman" w:cs="Times New Roman"/>
                <w:b/>
                <w:color w:val="000000" w:themeColor="text1"/>
                <w:sz w:val="24"/>
                <w14:textFill>
                  <w14:solidFill>
                    <w14:schemeClr w14:val="tx1"/>
                  </w14:solidFill>
                </w14:textFill>
              </w:rPr>
              <w:t xml:space="preserve"> 营运期废水自行监测方案</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73"/>
              <w:gridCol w:w="1640"/>
              <w:gridCol w:w="1846"/>
              <w:gridCol w:w="572"/>
              <w:gridCol w:w="764"/>
              <w:gridCol w:w="34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7" w:hRule="atLeast"/>
                <w:jc w:val="center"/>
              </w:trPr>
              <w:tc>
                <w:tcPr>
                  <w:tcW w:w="271"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序号</w:t>
                  </w:r>
                </w:p>
              </w:tc>
              <w:tc>
                <w:tcPr>
                  <w:tcW w:w="938"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监测点位</w:t>
                  </w:r>
                </w:p>
              </w:tc>
              <w:tc>
                <w:tcPr>
                  <w:tcW w:w="1056"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监测项目</w:t>
                  </w:r>
                </w:p>
              </w:tc>
              <w:tc>
                <w:tcPr>
                  <w:tcW w:w="32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频率</w:t>
                  </w:r>
                </w:p>
              </w:tc>
              <w:tc>
                <w:tcPr>
                  <w:tcW w:w="437" w:type="pct"/>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实施单位</w:t>
                  </w:r>
                </w:p>
              </w:tc>
              <w:tc>
                <w:tcPr>
                  <w:tcW w:w="1968" w:type="pct"/>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执行标准（mg/m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80" w:hRule="atLeast"/>
                <w:jc w:val="center"/>
              </w:trPr>
              <w:tc>
                <w:tcPr>
                  <w:tcW w:w="271"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938"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Style w:val="37"/>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生活污水排放口</w:t>
                  </w:r>
                  <w:r>
                    <w:rPr>
                      <w:rFonts w:hint="default" w:ascii="Times New Roman" w:hAnsi="Times New Roman" w:cs="Times New Roman"/>
                      <w:color w:val="000000" w:themeColor="text1"/>
                      <w:kern w:val="0"/>
                      <w:szCs w:val="21"/>
                      <w14:textFill>
                        <w14:solidFill>
                          <w14:schemeClr w14:val="tx1"/>
                        </w14:solidFill>
                      </w14:textFill>
                    </w:rPr>
                    <w:t>（DW001）</w:t>
                  </w:r>
                </w:p>
              </w:tc>
              <w:tc>
                <w:tcPr>
                  <w:tcW w:w="1056"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pt-BR"/>
                      <w14:textFill>
                        <w14:solidFill>
                          <w14:schemeClr w14:val="tx1"/>
                        </w14:solidFill>
                      </w14:textFill>
                    </w:rPr>
                    <w:t>pH</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pt-BR"/>
                      <w14:textFill>
                        <w14:solidFill>
                          <w14:schemeClr w14:val="tx1"/>
                        </w14:solidFill>
                      </w14:textFill>
                    </w:rPr>
                    <w:t>COD</w:t>
                  </w: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pt-BR"/>
                      <w14:textFill>
                        <w14:solidFill>
                          <w14:schemeClr w14:val="tx1"/>
                        </w14:solidFill>
                      </w14:textFill>
                    </w:rPr>
                    <w:t>SS</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kern w:val="0"/>
                      <w:szCs w:val="21"/>
                      <w:lang w:val="pt-BR"/>
                      <w14:textFill>
                        <w14:solidFill>
                          <w14:schemeClr w14:val="tx1"/>
                        </w14:solidFill>
                      </w14:textFill>
                    </w:rPr>
                    <w:t>NH</w:t>
                  </w:r>
                  <w:r>
                    <w:rPr>
                      <w:rFonts w:hint="default" w:ascii="Times New Roman" w:hAnsi="Times New Roman" w:cs="Times New Roman"/>
                      <w:color w:val="000000" w:themeColor="text1"/>
                      <w:kern w:val="0"/>
                      <w:szCs w:val="21"/>
                      <w:vertAlign w:val="subscript"/>
                      <w:lang w:val="pt-BR"/>
                      <w14:textFill>
                        <w14:solidFill>
                          <w14:schemeClr w14:val="tx1"/>
                        </w14:solidFill>
                      </w14:textFill>
                    </w:rPr>
                    <w:t>3</w:t>
                  </w:r>
                  <w:r>
                    <w:rPr>
                      <w:rFonts w:hint="default" w:ascii="Times New Roman" w:hAnsi="Times New Roman" w:cs="Times New Roman"/>
                      <w:color w:val="000000" w:themeColor="text1"/>
                      <w:kern w:val="0"/>
                      <w:szCs w:val="21"/>
                      <w:lang w:val="pt-BR"/>
                      <w14:textFill>
                        <w14:solidFill>
                          <w14:schemeClr w14:val="tx1"/>
                        </w14:solidFill>
                      </w14:textFill>
                    </w:rPr>
                    <w:t>-N</w:t>
                  </w:r>
                  <w:r>
                    <w:rPr>
                      <w:rFonts w:hint="default" w:ascii="Times New Roman" w:hAnsi="Times New Roman" w:cs="Times New Roman"/>
                      <w:color w:val="000000" w:themeColor="text1"/>
                      <w:kern w:val="0"/>
                      <w:szCs w:val="21"/>
                      <w:lang w:val="pt-BR"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TP、</w:t>
                  </w:r>
                  <w:r>
                    <w:rPr>
                      <w:rFonts w:hint="default" w:ascii="Times New Roman" w:hAnsi="Times New Roman" w:cs="Times New Roman"/>
                      <w:color w:val="000000" w:themeColor="text1"/>
                      <w:kern w:val="0"/>
                      <w:szCs w:val="21"/>
                      <w:lang w:val="pt-BR" w:eastAsia="zh-CN"/>
                      <w14:textFill>
                        <w14:solidFill>
                          <w14:schemeClr w14:val="tx1"/>
                        </w14:solidFill>
                      </w14:textFill>
                    </w:rPr>
                    <w:t>动植物油</w:t>
                  </w:r>
                </w:p>
              </w:tc>
              <w:tc>
                <w:tcPr>
                  <w:tcW w:w="32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每年一次</w:t>
                  </w:r>
                </w:p>
              </w:tc>
              <w:tc>
                <w:tcPr>
                  <w:tcW w:w="43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有资质的监测单位</w:t>
                  </w:r>
                </w:p>
              </w:tc>
              <w:tc>
                <w:tcPr>
                  <w:tcW w:w="1968"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《污水综合排放标准》（GB8978-1996）表4三级标准</w:t>
                  </w:r>
                  <w:r>
                    <w:rPr>
                      <w:rFonts w:hint="default" w:ascii="Times New Roman" w:hAnsi="Times New Roman" w:cs="Times New Roman"/>
                      <w:color w:val="000000" w:themeColor="text1"/>
                      <w:szCs w:val="21"/>
                      <w:lang w:eastAsia="zh-CN"/>
                      <w14:textFill>
                        <w14:solidFill>
                          <w14:schemeClr w14:val="tx1"/>
                        </w14:solidFill>
                      </w14:textFill>
                    </w:rPr>
                    <w:t>及舒城经济开发区</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污水处理厂</w:t>
                  </w:r>
                  <w:r>
                    <w:rPr>
                      <w:rFonts w:hint="default" w:ascii="Times New Roman" w:hAnsi="Times New Roman" w:cs="Times New Roman"/>
                      <w:b w:val="0"/>
                      <w:bCs/>
                      <w:color w:val="000000" w:themeColor="text1"/>
                      <w:sz w:val="21"/>
                      <w:szCs w:val="21"/>
                      <w:highlight w:val="none"/>
                      <w14:textFill>
                        <w14:solidFill>
                          <w14:schemeClr w14:val="tx1"/>
                        </w14:solidFill>
                      </w14:textFill>
                    </w:rPr>
                    <w:t>接管标准</w:t>
                  </w: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（5）小结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综上所述，本项目在落实污水处理措施后，项目运营期废水可做到达标排放，对区域水环境影响较小，对周边地表水环境影响是可以接受的。</w:t>
            </w:r>
          </w:p>
          <w:p>
            <w:pPr>
              <w:widowControl w:val="0"/>
              <w:autoSpaceDE w:val="0"/>
              <w:autoSpaceDN w:val="0"/>
              <w:adjustRightInd w:val="0"/>
              <w:snapToGrid w:val="0"/>
              <w:spacing w:line="360" w:lineRule="auto"/>
              <w:ind w:firstLine="482" w:firstLineChars="20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三、</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噪声</w:t>
            </w:r>
          </w:p>
          <w:p>
            <w:pPr>
              <w:widowControl/>
              <w:spacing w:line="360" w:lineRule="auto"/>
              <w:ind w:firstLine="482" w:firstLineChars="200"/>
              <w:jc w:val="left"/>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1、噪声源强</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依据《污染源源强核算技术指南 准则》（HJ884-2018），</w:t>
            </w:r>
            <w:r>
              <w:rPr>
                <w:rFonts w:hint="default" w:ascii="Times New Roman" w:hAnsi="Times New Roman" w:cs="Times New Roman"/>
                <w:color w:val="000000" w:themeColor="text1"/>
                <w:kern w:val="0"/>
                <w:sz w:val="24"/>
                <w14:textFill>
                  <w14:solidFill>
                    <w14:schemeClr w14:val="tx1"/>
                  </w14:solidFill>
                </w14:textFill>
              </w:rPr>
              <w:t>本项目主要设备有</w:t>
            </w:r>
            <w:r>
              <w:rPr>
                <w:rFonts w:hint="default" w:ascii="Times New Roman" w:hAnsi="Times New Roman" w:cs="Times New Roman"/>
                <w:color w:val="000000" w:themeColor="text1"/>
                <w:kern w:val="0"/>
                <w:sz w:val="24"/>
                <w:lang w:eastAsia="zh-CN"/>
                <w14:textFill>
                  <w14:solidFill>
                    <w14:schemeClr w14:val="tx1"/>
                  </w14:solidFill>
                </w14:textFill>
              </w:rPr>
              <w:t>天然气熔铝炉、冷室压铸机、砂磨抛光机</w:t>
            </w:r>
            <w:r>
              <w:rPr>
                <w:rFonts w:hint="default" w:ascii="Times New Roman" w:hAnsi="Times New Roman" w:cs="Times New Roman"/>
                <w:color w:val="000000" w:themeColor="text1"/>
                <w:kern w:val="0"/>
                <w:sz w:val="24"/>
                <w14:textFill>
                  <w14:solidFill>
                    <w14:schemeClr w14:val="tx1"/>
                  </w14:solidFill>
                </w14:textFill>
              </w:rPr>
              <w:t>等，企业选用低噪声设备，通过厂房隔声、减振等降噪措施，可有效控制噪声影响。</w:t>
            </w:r>
            <w:r>
              <w:rPr>
                <w:rFonts w:hint="default" w:ascii="Times New Roman" w:hAnsi="Times New Roman" w:cs="Times New Roman"/>
                <w:color w:val="000000" w:themeColor="text1"/>
                <w:sz w:val="24"/>
                <w14:textFill>
                  <w14:solidFill>
                    <w14:schemeClr w14:val="tx1"/>
                  </w14:solidFill>
                </w14:textFill>
              </w:rPr>
              <w:t>本项目主要生产设备声功率级约为75~</w:t>
            </w:r>
            <w:r>
              <w:rPr>
                <w:rFonts w:hint="default" w:ascii="Times New Roman" w:hAnsi="Times New Roman"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sz w:val="24"/>
                <w14:textFill>
                  <w14:solidFill>
                    <w14:schemeClr w14:val="tx1"/>
                  </w14:solidFill>
                </w14:textFill>
              </w:rPr>
              <w:t>dB(A)，采取消声、隔声、减振等降噪措施。主要声源划分为室内声源和室外声源两类。</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（1）室内和室外声级差的计算</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当声源位于室内，设靠近开口处（或窗户）室内和室外的声级分别为L</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和L</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，若声源所在室内声场近似扩散声场，且墙的隔声量远大于窗的隔声量，则室内和室外的声级差为：</w:t>
            </w:r>
          </w:p>
          <w:p>
            <w:pPr>
              <w:spacing w:line="360" w:lineRule="auto"/>
              <w:ind w:firstLine="480" w:firstLineChars="200"/>
              <w:jc w:val="righ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NR=L</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=TL+6                         （1）</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式中TL—窗户的隔声量，dB；</w:t>
            </w:r>
          </w:p>
          <w:p>
            <w:pPr>
              <w:spacing w:line="360" w:lineRule="auto"/>
              <w:ind w:firstLine="1080" w:firstLineChars="4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NR—室内和室外的声级差，或称插入损失，dB。</w:t>
            </w:r>
          </w:p>
          <w:p>
            <w:pPr>
              <w:spacing w:line="360" w:lineRule="auto"/>
              <w:ind w:firstLine="1080" w:firstLineChars="4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TL、NR均和声波的频率有关。其中L</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可以是测量值或计算值，若为计算值时，按下式计算：</w:t>
            </w:r>
          </w:p>
          <w:p>
            <w:pPr>
              <w:spacing w:line="360" w:lineRule="auto"/>
              <w:jc w:val="righ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W1</w:t>
            </w:r>
            <w:r>
              <w:rPr>
                <w:rFonts w:hint="default" w:ascii="Times New Roman" w:hAnsi="Times New Roman" w:cs="Times New Roman"/>
                <w:color w:val="000000" w:themeColor="text1"/>
                <w:sz w:val="24"/>
                <w14:textFill>
                  <w14:solidFill>
                    <w14:schemeClr w14:val="tx1"/>
                  </w14:solidFill>
                </w14:textFill>
              </w:rPr>
              <w:t>+10lg[Q/（4πr</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）+4/R]                    （2）</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式中：L</w:t>
            </w:r>
            <w:r>
              <w:rPr>
                <w:rFonts w:hint="default" w:ascii="Times New Roman" w:hAnsi="Times New Roman" w:cs="Times New Roman"/>
                <w:color w:val="000000" w:themeColor="text1"/>
                <w:sz w:val="24"/>
                <w:vertAlign w:val="subscript"/>
                <w14:textFill>
                  <w14:solidFill>
                    <w14:schemeClr w14:val="tx1"/>
                  </w14:solidFill>
                </w14:textFill>
              </w:rPr>
              <w:t>W1</w:t>
            </w:r>
            <w:r>
              <w:rPr>
                <w:rFonts w:hint="default" w:ascii="Times New Roman" w:hAnsi="Times New Roman" w:cs="Times New Roman"/>
                <w:color w:val="000000" w:themeColor="text1"/>
                <w:sz w:val="24"/>
                <w14:textFill>
                  <w14:solidFill>
                    <w14:schemeClr w14:val="tx1"/>
                  </w14:solidFill>
                </w14:textFill>
              </w:rPr>
              <w:t>—某个室内声源在靠近围护结构处产生的倍频带声功率级；</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r</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—某个室内声源与靠近围护结构处的距离；</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Q—指向性因子；通常对无指向性声源，①当声源放在房间中心时，Q=1；②当放在一面墙的中心时，Q=2；③当放在两面墙夹角处时，Q=4；④当放在三面墙夹角处时，Q=8；</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—靠近围护结构处的倍频带声压级。</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R—房间常数；</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R=Sα/（1-α）</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S—房间内表面面积，m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α—平均吸声系数，本项目取砖墙抹灰材料结构系数，平均值0.03。</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（2）等效室外声源的声功率级计算</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首先用公式（2）计算出某个声源在某个室内围护结构处（如窗户）的倍频带声压级，然后计算出所有室内声源在靠近围护结构处产生的总倍频带叠加声压级（按噪声级叠加计算求和），再将室外声级L</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和透声面积换算成等效室外声源，计算出等效声源的倍频带声功率级。</w:t>
            </w:r>
          </w:p>
          <w:p>
            <w:pPr>
              <w:spacing w:line="360" w:lineRule="auto"/>
              <w:ind w:firstLine="480" w:firstLineChars="200"/>
              <w:jc w:val="righ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w2</w:t>
            </w: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（T）+10 lgS                     （3）</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w2</w:t>
            </w:r>
            <w:r>
              <w:rPr>
                <w:rFonts w:hint="default" w:ascii="Times New Roman" w:hAnsi="Times New Roman" w:cs="Times New Roman"/>
                <w:color w:val="000000" w:themeColor="text1"/>
                <w:sz w:val="24"/>
                <w14:textFill>
                  <w14:solidFill>
                    <w14:schemeClr w14:val="tx1"/>
                  </w14:solidFill>
                </w14:textFill>
              </w:rPr>
              <w:t>—等效声源的倍频带声功率级；</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S—透声面积，m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—室外声级。等效室外声源的位置为围护结构的位置。</w:t>
            </w:r>
          </w:p>
        </w:tc>
      </w:tr>
    </w:tbl>
    <w:p>
      <w:pPr>
        <w:pStyle w:val="29"/>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399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08" w:hRule="atLeast"/>
          <w:jc w:val="center"/>
        </w:trPr>
        <w:tc>
          <w:tcPr>
            <w:tcW w:w="5000" w:type="pct"/>
            <w:vAlign w:val="center"/>
          </w:tcPr>
          <w:p>
            <w:pPr>
              <w:spacing w:before="100" w:beforeAutospacing="1"/>
              <w:jc w:val="center"/>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表4-</w:t>
            </w:r>
            <w:r>
              <w:rPr>
                <w:rFonts w:hint="default" w:ascii="Times New Roman" w:hAnsi="Times New Roman" w:cs="Times New Roman"/>
                <w:b/>
                <w:color w:val="000000" w:themeColor="text1"/>
                <w:kern w:val="0"/>
                <w:sz w:val="24"/>
                <w:lang w:val="en-US" w:eastAsia="zh-CN"/>
                <w14:textFill>
                  <w14:solidFill>
                    <w14:schemeClr w14:val="tx1"/>
                  </w14:solidFill>
                </w14:textFill>
              </w:rPr>
              <w:t>23</w:t>
            </w:r>
            <w:r>
              <w:rPr>
                <w:rFonts w:hint="default" w:ascii="Times New Roman" w:hAnsi="Times New Roman" w:cs="Times New Roman"/>
                <w:b/>
                <w:color w:val="000000" w:themeColor="text1"/>
                <w:kern w:val="0"/>
                <w:sz w:val="24"/>
                <w14:textFill>
                  <w14:solidFill>
                    <w14:schemeClr w14:val="tx1"/>
                  </w14:solidFill>
                </w14:textFill>
              </w:rPr>
              <w:t xml:space="preserve">  建设项目营运期主要噪声源源强</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393"/>
              <w:gridCol w:w="581"/>
              <w:gridCol w:w="622"/>
              <w:gridCol w:w="393"/>
              <w:gridCol w:w="586"/>
              <w:gridCol w:w="520"/>
              <w:gridCol w:w="439"/>
              <w:gridCol w:w="528"/>
              <w:gridCol w:w="528"/>
              <w:gridCol w:w="528"/>
              <w:gridCol w:w="528"/>
              <w:gridCol w:w="528"/>
              <w:gridCol w:w="528"/>
              <w:gridCol w:w="528"/>
              <w:gridCol w:w="528"/>
              <w:gridCol w:w="1086"/>
              <w:gridCol w:w="528"/>
              <w:gridCol w:w="528"/>
              <w:gridCol w:w="528"/>
              <w:gridCol w:w="528"/>
              <w:gridCol w:w="528"/>
              <w:gridCol w:w="528"/>
              <w:gridCol w:w="528"/>
              <w:gridCol w:w="528"/>
              <w:gridCol w:w="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0" w:type="auto"/>
                  <w:vMerge w:val="restart"/>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建筑物名称</w:t>
                  </w:r>
                </w:p>
              </w:tc>
              <w:tc>
                <w:tcPr>
                  <w:tcW w:w="0" w:type="auto"/>
                  <w:vMerge w:val="restart"/>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声源名称</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声源源强</w:t>
                  </w:r>
                </w:p>
              </w:tc>
              <w:tc>
                <w:tcPr>
                  <w:tcW w:w="0" w:type="auto"/>
                  <w:vMerge w:val="restart"/>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声源控制措施</w:t>
                  </w:r>
                </w:p>
              </w:tc>
              <w:tc>
                <w:tcPr>
                  <w:tcW w:w="0" w:type="auto"/>
                  <w:gridSpan w:val="3"/>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空间相对位置/m</w:t>
                  </w:r>
                </w:p>
              </w:tc>
              <w:tc>
                <w:tcPr>
                  <w:tcW w:w="0" w:type="auto"/>
                  <w:gridSpan w:val="4"/>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距室内边界距离/m</w:t>
                  </w:r>
                </w:p>
              </w:tc>
              <w:tc>
                <w:tcPr>
                  <w:tcW w:w="0" w:type="auto"/>
                  <w:gridSpan w:val="4"/>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室内边界声级/</w:t>
                  </w:r>
                </w:p>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dB(A)</w:t>
                  </w:r>
                </w:p>
              </w:tc>
              <w:tc>
                <w:tcPr>
                  <w:tcW w:w="0" w:type="auto"/>
                  <w:vMerge w:val="restart"/>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运行时段</w:t>
                  </w:r>
                </w:p>
              </w:tc>
              <w:tc>
                <w:tcPr>
                  <w:tcW w:w="0" w:type="auto"/>
                  <w:gridSpan w:val="4"/>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建筑物插入损失/d B(A)</w:t>
                  </w:r>
                </w:p>
              </w:tc>
              <w:tc>
                <w:tcPr>
                  <w:tcW w:w="0" w:type="auto"/>
                  <w:gridSpan w:val="5"/>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建筑物外噪声声压级</w:t>
                  </w:r>
                </w:p>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p>
              </w:tc>
              <w:tc>
                <w:tcPr>
                  <w:tcW w:w="0" w:type="auto"/>
                  <w:vMerge w:val="continue"/>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p>
              </w:tc>
              <w:tc>
                <w:tcPr>
                  <w:tcW w:w="0" w:type="auto"/>
                  <w:vMerge w:val="continue"/>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声功率级/dB(A)</w:t>
                  </w:r>
                </w:p>
              </w:tc>
              <w:tc>
                <w:tcPr>
                  <w:tcW w:w="0" w:type="auto"/>
                  <w:vMerge w:val="continue"/>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X</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Y</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Z</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东</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西</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东</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西</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北</w:t>
                  </w:r>
                </w:p>
              </w:tc>
              <w:tc>
                <w:tcPr>
                  <w:tcW w:w="0" w:type="auto"/>
                  <w:vMerge w:val="continue"/>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东</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西</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东</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西</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北</w:t>
                  </w:r>
                </w:p>
              </w:tc>
              <w:tc>
                <w:tcPr>
                  <w:tcW w:w="0" w:type="auto"/>
                  <w:shd w:val="clear" w:color="auto" w:fill="auto"/>
                  <w:vAlign w:val="center"/>
                </w:tcPr>
                <w:p>
                  <w:pPr>
                    <w:snapToGrid w:val="0"/>
                    <w:ind w:left="-63" w:leftChars="-30" w:right="-63" w:rightChars="-3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0" w:type="auto"/>
                  <w:vMerge w:val="restart"/>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生产车间</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天然气熔铝炉</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31.0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35.3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59.0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33.0</w:t>
                  </w:r>
                </w:p>
              </w:tc>
              <w:tc>
                <w:tcPr>
                  <w:tcW w:w="0" w:type="auto"/>
                  <w:vMerge w:val="restart"/>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冷室压铸机</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21.1</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35.9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35.9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13.7</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64.0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38.0</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砂磨抛光机</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-7.4</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24.7</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24.2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油压切边机</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22.6</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39.2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27.2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数控机床</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-6.4</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28.5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34.1</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多孔钻系列钻床</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30.4</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22.5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CNC加工中心</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39.5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30.7</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17.7</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18.1</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37.9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抛丸机</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31.0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41.3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振动</w:t>
                  </w:r>
                  <w:r>
                    <w:rPr>
                      <w:rFonts w:hint="default" w:ascii="Times New Roman" w:hAnsi="Times New Roman" w:eastAsia="宋体" w:cs="Times New Roman"/>
                      <w:color w:val="000000" w:themeColor="text1"/>
                      <w:lang w:val="en-US" w:eastAsia="zh-CN"/>
                      <w14:textFill>
                        <w14:solidFill>
                          <w14:schemeClr w14:val="tx1"/>
                        </w14:solidFill>
                      </w14:textFill>
                    </w:rPr>
                    <w:t>光饰机</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-9.4</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23.8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16.3</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34.0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33.2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68.9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空压机</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-16.5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45.2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19.1</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29.4</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74.0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08:00-24:00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47.9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48.0</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47.9</w:t>
                  </w:r>
                </w:p>
              </w:tc>
              <w:tc>
                <w:tcPr>
                  <w:tcW w:w="0" w:type="auto"/>
                  <w:vMerge w:val="continue"/>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0" w:type="auto"/>
                  <w:gridSpan w:val="2"/>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风机#（室外声源）</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33.2</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gridSpan w:val="4"/>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0" w:type="auto"/>
                  <w:gridSpan w:val="4"/>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eastAsia="宋体" w:cs="Times New Roman"/>
                      <w:color w:val="000000" w:themeColor="text1"/>
                      <w:lang w:val="en-US" w:eastAsia="zh-CN"/>
                      <w14:textFill>
                        <w14:solidFill>
                          <w14:schemeClr w14:val="tx1"/>
                        </w14:solidFill>
                      </w14:textFill>
                    </w:rPr>
                    <w:t>:00</w:t>
                  </w:r>
                </w:p>
              </w:tc>
              <w:tc>
                <w:tcPr>
                  <w:tcW w:w="0" w:type="auto"/>
                  <w:gridSpan w:val="6"/>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0" w:type="auto"/>
                  <w:gridSpan w:val="3"/>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gridSpan w:val="2"/>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冷却塔</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85</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减振</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33.9</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0" w:type="auto"/>
                  <w:gridSpan w:val="4"/>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0" w:type="auto"/>
                  <w:gridSpan w:val="4"/>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0" w:type="auto"/>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eastAsia="宋体" w:cs="Times New Roman"/>
                      <w:color w:val="000000" w:themeColor="text1"/>
                      <w:lang w:val="en-US" w:eastAsia="zh-CN"/>
                      <w14:textFill>
                        <w14:solidFill>
                          <w14:schemeClr w14:val="tx1"/>
                        </w14:solidFill>
                      </w14:textFill>
                    </w:rPr>
                    <w:t>:00</w:t>
                  </w:r>
                </w:p>
              </w:tc>
              <w:tc>
                <w:tcPr>
                  <w:tcW w:w="0" w:type="auto"/>
                  <w:gridSpan w:val="6"/>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0" w:type="auto"/>
                  <w:gridSpan w:val="3"/>
                  <w:shd w:val="clear" w:color="auto" w:fill="auto"/>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tc>
      </w:tr>
    </w:tbl>
    <w:p>
      <w:pPr>
        <w:pStyle w:val="29"/>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6838" w:h="11906" w:orient="landscape"/>
          <w:pgMar w:top="1701" w:right="1531" w:bottom="107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
        <w:gridCol w:w="9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3" w:hRule="atLeast"/>
        </w:trPr>
        <w:tc>
          <w:tcPr>
            <w:tcW w:w="141" w:type="pct"/>
          </w:tcPr>
          <w:p>
            <w:pPr>
              <w:pStyle w:val="29"/>
              <w:jc w:val="center"/>
              <w:outlineLvl w:val="0"/>
              <w:rPr>
                <w:rFonts w:hint="default" w:ascii="Times New Roman" w:hAnsi="Times New Roman" w:eastAsia="黑体" w:cs="Times New Roman"/>
                <w:snapToGrid w:val="0"/>
                <w:color w:val="000000" w:themeColor="text1"/>
                <w:sz w:val="30"/>
                <w:szCs w:val="30"/>
                <w:vertAlign w:val="baseline"/>
                <w14:textFill>
                  <w14:solidFill>
                    <w14:schemeClr w14:val="tx1"/>
                  </w14:solidFill>
                </w14:textFill>
              </w:rPr>
            </w:pPr>
          </w:p>
        </w:tc>
        <w:tc>
          <w:tcPr>
            <w:tcW w:w="4858" w:type="pct"/>
          </w:tcPr>
          <w:p>
            <w:pPr>
              <w:spacing w:before="100" w:beforeAutospacing="1"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2、预测模式</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 声环境》（HJ 2.4-2021）的技术要求，声环境影响预测一般采用声源的倍频带声功率级、A声功率级或靠近声源某一位置的倍频带声压级、A声级来预测计算距声源不同距离的声级。工业声源有室外和室内两种声源，应分别计算，本次评价采取导则推荐的工业噪声预测计算模型。</w:t>
            </w:r>
          </w:p>
          <w:p>
            <w:pPr>
              <w:spacing w:line="360" w:lineRule="auto"/>
              <w:ind w:left="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（1）声级计算</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建设项目声源在预测点产生的等效声级贡献值（L</w:t>
            </w:r>
            <w:r>
              <w:rPr>
                <w:rFonts w:hint="default" w:ascii="Times New Roman" w:hAnsi="Times New Roman" w:cs="Times New Roman"/>
                <w:i/>
                <w:iCs/>
                <w:color w:val="000000" w:themeColor="text1"/>
                <w:kern w:val="0"/>
                <w:sz w:val="24"/>
                <w14:textFill>
                  <w14:solidFill>
                    <w14:schemeClr w14:val="tx1"/>
                  </w14:solidFill>
                </w14:textFill>
              </w:rPr>
              <w:t>eqg</w:t>
            </w:r>
            <w:r>
              <w:rPr>
                <w:rFonts w:hint="default" w:ascii="Times New Roman" w:hAnsi="Times New Roman" w:cs="Times New Roman"/>
                <w:color w:val="000000" w:themeColor="text1"/>
                <w:kern w:val="0"/>
                <w:sz w:val="24"/>
                <w14:textFill>
                  <w14:solidFill>
                    <w14:schemeClr w14:val="tx1"/>
                  </w14:solidFill>
                </w14:textFill>
              </w:rPr>
              <w:t>）计算公式：</w:t>
            </w:r>
          </w:p>
          <w:p>
            <w:pPr>
              <w:spacing w:before="60" w:after="60"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position w:val="-28"/>
                <w:sz w:val="24"/>
                <w14:textFill>
                  <w14:solidFill>
                    <w14:schemeClr w14:val="tx1"/>
                  </w14:solidFill>
                </w14:textFill>
              </w:rPr>
              <w:object>
                <v:shape id="_x0000_i1029" o:spt="75" type="#_x0000_t75" style="height:33pt;width:133.2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p>
          <w:p>
            <w:pPr>
              <w:spacing w:before="60" w:after="6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r>
              <w:rPr>
                <w:rFonts w:hint="default" w:ascii="Times New Roman" w:hAnsi="Times New Roman" w:cs="Times New Roman"/>
                <w:i/>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eqg</w:t>
            </w:r>
            <w:r>
              <w:rPr>
                <w:rFonts w:hint="default" w:ascii="Times New Roman" w:hAnsi="Times New Roman" w:cs="Times New Roman"/>
                <w:color w:val="000000" w:themeColor="text1"/>
                <w:sz w:val="24"/>
                <w14:textFill>
                  <w14:solidFill>
                    <w14:schemeClr w14:val="tx1"/>
                  </w14:solidFill>
                </w14:textFill>
              </w:rPr>
              <w:t>—建设项目声源在预测点的等效声级贡献值，dB（A）；</w:t>
            </w:r>
          </w:p>
          <w:p>
            <w:pPr>
              <w:spacing w:before="60" w:after="60"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i/>
                <w:color w:val="000000" w:themeColor="text1"/>
                <w:sz w:val="24"/>
                <w14:textFill>
                  <w14:solidFill>
                    <w14:schemeClr w14:val="tx1"/>
                  </w14:solidFill>
                </w14:textFill>
              </w:rPr>
              <w:t>L</w:t>
            </w:r>
            <w:r>
              <w:rPr>
                <w:rFonts w:hint="default" w:ascii="Times New Roman" w:hAnsi="Times New Roman" w:cs="Times New Roman"/>
                <w:color w:val="000000" w:themeColor="text1"/>
                <w:sz w:val="24"/>
                <w:vertAlign w:val="subscript"/>
                <w14:textFill>
                  <w14:solidFill>
                    <w14:schemeClr w14:val="tx1"/>
                  </w14:solidFill>
                </w14:textFill>
              </w:rPr>
              <w:t>Ai</w:t>
            </w:r>
            <w:r>
              <w:rPr>
                <w:rFonts w:hint="default" w:ascii="Times New Roman" w:hAnsi="Times New Roman" w:cs="Times New Roman"/>
                <w:color w:val="000000" w:themeColor="text1"/>
                <w:sz w:val="24"/>
                <w14:textFill>
                  <w14:solidFill>
                    <w14:schemeClr w14:val="tx1"/>
                  </w14:solidFill>
                </w14:textFill>
              </w:rPr>
              <w:t>—i声源在预测点产生的A声级，dB（A）；</w:t>
            </w:r>
          </w:p>
          <w:p>
            <w:pPr>
              <w:spacing w:before="60" w:after="60"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i/>
                <w:color w:val="000000" w:themeColor="text1"/>
                <w:sz w:val="24"/>
                <w14:textFill>
                  <w14:solidFill>
                    <w14:schemeClr w14:val="tx1"/>
                  </w14:solidFill>
                </w14:textFill>
              </w:rPr>
              <w:t>T</w:t>
            </w:r>
            <w:r>
              <w:rPr>
                <w:rFonts w:hint="default" w:ascii="Times New Roman" w:hAnsi="Times New Roman" w:cs="Times New Roman"/>
                <w:color w:val="000000" w:themeColor="text1"/>
                <w:sz w:val="24"/>
                <w14:textFill>
                  <w14:solidFill>
                    <w14:schemeClr w14:val="tx1"/>
                  </w14:solidFill>
                </w14:textFill>
              </w:rPr>
              <w:t>—预测计算的时间段，s；</w:t>
            </w:r>
          </w:p>
          <w:p>
            <w:pPr>
              <w:spacing w:before="60" w:after="60"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i/>
                <w:color w:val="000000" w:themeColor="text1"/>
                <w:sz w:val="24"/>
                <w14:textFill>
                  <w14:solidFill>
                    <w14:schemeClr w14:val="tx1"/>
                  </w14:solidFill>
                </w14:textFill>
              </w:rPr>
              <w:t>t</w:t>
            </w:r>
            <w:r>
              <w:rPr>
                <w:rFonts w:hint="default" w:ascii="Times New Roman" w:hAnsi="Times New Roman" w:cs="Times New Roman"/>
                <w:i/>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—i声源在T时段内的运行时间，s。</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（2）预测点的预测等效声级（</w:t>
            </w:r>
            <w:r>
              <w:rPr>
                <w:rFonts w:hint="default" w:ascii="Times New Roman" w:hAnsi="Times New Roman" w:cs="Times New Roman"/>
                <w:i/>
                <w:iCs/>
                <w:color w:val="000000" w:themeColor="text1"/>
                <w:kern w:val="0"/>
                <w:sz w:val="24"/>
                <w14:textFill>
                  <w14:solidFill>
                    <w14:schemeClr w14:val="tx1"/>
                  </w14:solidFill>
                </w14:textFill>
              </w:rPr>
              <w:t>Leq</w:t>
            </w:r>
            <w:r>
              <w:rPr>
                <w:rFonts w:hint="default" w:ascii="Times New Roman" w:hAnsi="Times New Roman" w:cs="Times New Roman"/>
                <w:color w:val="000000" w:themeColor="text1"/>
                <w:kern w:val="0"/>
                <w:sz w:val="24"/>
                <w14:textFill>
                  <w14:solidFill>
                    <w14:schemeClr w14:val="tx1"/>
                  </w14:solidFill>
                </w14:textFill>
              </w:rPr>
              <w:t>）计算公式</w:t>
            </w:r>
          </w:p>
          <w:p>
            <w:pPr>
              <w:spacing w:before="60" w:after="60"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position w:val="-14"/>
                <w:sz w:val="24"/>
                <w14:textFill>
                  <w14:solidFill>
                    <w14:schemeClr w14:val="tx1"/>
                  </w14:solidFill>
                </w14:textFill>
              </w:rPr>
              <w:object>
                <v:shape id="_x0000_i1030" o:spt="75" type="#_x0000_t75" style="height:21pt;width:140.4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p>
          <w:p>
            <w:pPr>
              <w:spacing w:before="60" w:after="6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式中：</w:t>
            </w:r>
            <w:r>
              <w:rPr>
                <w:rFonts w:hint="default" w:ascii="Times New Roman" w:hAnsi="Times New Roman" w:cs="Times New Roman"/>
                <w:i/>
                <w:iCs/>
                <w:color w:val="000000" w:themeColor="text1"/>
                <w:kern w:val="0"/>
                <w:sz w:val="24"/>
                <w14:textFill>
                  <w14:solidFill>
                    <w14:schemeClr w14:val="tx1"/>
                  </w14:solidFill>
                </w14:textFill>
              </w:rPr>
              <w:t>L</w:t>
            </w:r>
            <w:r>
              <w:rPr>
                <w:rFonts w:hint="default" w:ascii="Times New Roman" w:hAnsi="Times New Roman" w:cs="Times New Roman"/>
                <w:i/>
                <w:iCs/>
                <w:color w:val="000000" w:themeColor="text1"/>
                <w:kern w:val="0"/>
                <w:sz w:val="24"/>
                <w:vertAlign w:val="subscript"/>
                <w14:textFill>
                  <w14:solidFill>
                    <w14:schemeClr w14:val="tx1"/>
                  </w14:solidFill>
                </w14:textFill>
              </w:rPr>
              <w:t xml:space="preserve"> eq g</w:t>
            </w:r>
            <w:r>
              <w:rPr>
                <w:rFonts w:hint="default" w:ascii="Times New Roman" w:hAnsi="Times New Roman" w:cs="Times New Roman"/>
                <w:i/>
                <w:iCs/>
                <w:color w:val="000000" w:themeColor="text1"/>
                <w:kern w:val="0"/>
                <w:sz w:val="24"/>
                <w14:textFill>
                  <w14:solidFill>
                    <w14:schemeClr w14:val="tx1"/>
                  </w14:solidFill>
                </w14:textFill>
              </w:rPr>
              <w:t xml:space="preserve"> </w:t>
            </w:r>
            <w:r>
              <w:rPr>
                <w:rFonts w:hint="default" w:ascii="Times New Roman" w:hAnsi="Times New Roman" w:cs="Times New Roman"/>
                <w:color w:val="000000" w:themeColor="text1"/>
                <w:kern w:val="0"/>
                <w:sz w:val="24"/>
                <w14:textFill>
                  <w14:solidFill>
                    <w14:schemeClr w14:val="tx1"/>
                  </w14:solidFill>
                </w14:textFill>
              </w:rPr>
              <w:t>—建设项目声源在预测点的等效声级贡献值，dB（A）；</w:t>
            </w:r>
          </w:p>
          <w:p>
            <w:pPr>
              <w:spacing w:before="60" w:after="60" w:line="360" w:lineRule="auto"/>
              <w:ind w:firstLine="1200" w:firstLineChars="5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i/>
                <w:iCs/>
                <w:color w:val="000000" w:themeColor="text1"/>
                <w:kern w:val="0"/>
                <w:sz w:val="24"/>
                <w14:textFill>
                  <w14:solidFill>
                    <w14:schemeClr w14:val="tx1"/>
                  </w14:solidFill>
                </w14:textFill>
              </w:rPr>
              <w:t>L</w:t>
            </w:r>
            <w:r>
              <w:rPr>
                <w:rFonts w:hint="default" w:ascii="Times New Roman" w:hAnsi="Times New Roman" w:cs="Times New Roman"/>
                <w:i/>
                <w:iCs/>
                <w:color w:val="000000" w:themeColor="text1"/>
                <w:kern w:val="0"/>
                <w:sz w:val="24"/>
                <w:vertAlign w:val="subscript"/>
                <w14:textFill>
                  <w14:solidFill>
                    <w14:schemeClr w14:val="tx1"/>
                  </w14:solidFill>
                </w14:textFill>
              </w:rPr>
              <w:t xml:space="preserve"> eqb</w:t>
            </w:r>
            <w:r>
              <w:rPr>
                <w:rFonts w:hint="default" w:ascii="Times New Roman" w:hAnsi="Times New Roman" w:cs="Times New Roman"/>
                <w:color w:val="000000" w:themeColor="text1"/>
                <w:kern w:val="0"/>
                <w:sz w:val="24"/>
                <w14:textFill>
                  <w14:solidFill>
                    <w14:schemeClr w14:val="tx1"/>
                  </w14:solidFill>
                </w14:textFill>
              </w:rPr>
              <w:t>—预测点的背景值，dB（A）</w:t>
            </w:r>
          </w:p>
          <w:p>
            <w:pPr>
              <w:widowControl/>
              <w:spacing w:line="480" w:lineRule="exact"/>
              <w:ind w:firstLine="482" w:firstLineChars="200"/>
              <w:jc w:val="left"/>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3、预测结果</w:t>
            </w:r>
          </w:p>
          <w:p>
            <w:pPr>
              <w:widowControl/>
              <w:spacing w:line="480" w:lineRule="exact"/>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拟建项目运行时昼间预测噪声排放值结果如下。</w:t>
            </w:r>
          </w:p>
          <w:p>
            <w:pPr>
              <w:widowControl/>
              <w:spacing w:before="100" w:beforeAutospacing="1"/>
              <w:jc w:val="center"/>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表4-</w:t>
            </w:r>
            <w:r>
              <w:rPr>
                <w:rFonts w:hint="default" w:ascii="Times New Roman" w:hAnsi="Times New Roman" w:cs="Times New Roman"/>
                <w:b/>
                <w:color w:val="000000" w:themeColor="text1"/>
                <w:kern w:val="0"/>
                <w:sz w:val="24"/>
                <w:lang w:val="en-US" w:eastAsia="zh-CN"/>
                <w14:textFill>
                  <w14:solidFill>
                    <w14:schemeClr w14:val="tx1"/>
                  </w14:solidFill>
                </w14:textFill>
              </w:rPr>
              <w:t>24</w:t>
            </w:r>
            <w:r>
              <w:rPr>
                <w:rFonts w:hint="default" w:ascii="Times New Roman" w:hAnsi="Times New Roman" w:cs="Times New Roman"/>
                <w:b/>
                <w:color w:val="000000" w:themeColor="text1"/>
                <w:kern w:val="0"/>
                <w:sz w:val="24"/>
                <w14:textFill>
                  <w14:solidFill>
                    <w14:schemeClr w14:val="tx1"/>
                  </w14:solidFill>
                </w14:textFill>
              </w:rPr>
              <w:t xml:space="preserve">   噪声排放预测结果  单位：dB(A)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981"/>
              <w:gridCol w:w="981"/>
              <w:gridCol w:w="962"/>
              <w:gridCol w:w="1165"/>
              <w:gridCol w:w="1735"/>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727" w:type="pct"/>
                  <w:vMerge w:val="restart"/>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预测方位</w:t>
                  </w:r>
                </w:p>
              </w:tc>
              <w:tc>
                <w:tcPr>
                  <w:tcW w:w="1651" w:type="pct"/>
                  <w:gridSpan w:val="3"/>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最大值点空间相对位置/m</w:t>
                  </w:r>
                </w:p>
              </w:tc>
              <w:tc>
                <w:tcPr>
                  <w:tcW w:w="658" w:type="pct"/>
                  <w:vMerge w:val="restart"/>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时段</w:t>
                  </w:r>
                </w:p>
              </w:tc>
              <w:tc>
                <w:tcPr>
                  <w:tcW w:w="980" w:type="pct"/>
                  <w:vMerge w:val="restart"/>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贡献值（dB(A)）</w:t>
                  </w:r>
                </w:p>
              </w:tc>
              <w:tc>
                <w:tcPr>
                  <w:tcW w:w="981" w:type="pct"/>
                  <w:vMerge w:val="restart"/>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7" w:type="pct"/>
                  <w:vMerge w:val="continue"/>
                  <w:shd w:val="clear" w:color="auto" w:fill="FFFFFF"/>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554" w:type="pct"/>
                  <w:shd w:val="clear" w:color="auto" w:fill="FFFFFF"/>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X</w:t>
                  </w:r>
                </w:p>
              </w:tc>
              <w:tc>
                <w:tcPr>
                  <w:tcW w:w="554" w:type="pct"/>
                  <w:shd w:val="clear" w:color="auto" w:fill="FFFFFF"/>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Y</w:t>
                  </w:r>
                </w:p>
              </w:tc>
              <w:tc>
                <w:tcPr>
                  <w:tcW w:w="542" w:type="pct"/>
                  <w:shd w:val="clear" w:color="auto" w:fill="FFFFFF"/>
                  <w:vAlign w:val="center"/>
                </w:tcPr>
                <w:p>
                  <w:pPr>
                    <w:widowControl/>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Z</w:t>
                  </w:r>
                </w:p>
              </w:tc>
              <w:tc>
                <w:tcPr>
                  <w:tcW w:w="658"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980"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981"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restar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东侧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29.3</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14.5</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53.6</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东侧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29.3</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14.5</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夜间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53.6</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restar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南侧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23</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-24.9</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52.9</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南侧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23</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-24.9</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夜间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52.9</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restar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西侧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-29.9</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17.3</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52.6</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西侧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-29.9</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17.3</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夜间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52.6</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restar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北侧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19.5</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21.4</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53.5</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27" w:type="pct"/>
                  <w:vMerge w:val="continue"/>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北侧</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19.5</w:t>
                  </w:r>
                </w:p>
              </w:tc>
              <w:tc>
                <w:tcPr>
                  <w:tcW w:w="554"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21.4</w:t>
                  </w:r>
                </w:p>
              </w:tc>
              <w:tc>
                <w:tcPr>
                  <w:tcW w:w="542"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658"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夜间</w:t>
                  </w:r>
                </w:p>
              </w:tc>
              <w:tc>
                <w:tcPr>
                  <w:tcW w:w="980"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53.5</w:t>
                  </w:r>
                </w:p>
              </w:tc>
              <w:tc>
                <w:tcPr>
                  <w:tcW w:w="981" w:type="pct"/>
                  <w:shd w:val="clear" w:color="auto" w:fill="FFFFFF"/>
                  <w:vAlign w:val="center"/>
                </w:tcPr>
                <w:p>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55</w:t>
                  </w:r>
                </w:p>
              </w:tc>
            </w:tr>
          </w:tbl>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由上表可知，由于本项目大部分噪声源均布置在室内，根据预测结果</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运行后昼</w:t>
            </w:r>
            <w:r>
              <w:rPr>
                <w:rFonts w:hint="default" w:ascii="Times New Roman" w:hAnsi="Times New Roman" w:cs="Times New Roman"/>
                <w:color w:val="000000" w:themeColor="text1"/>
                <w:kern w:val="0"/>
                <w:sz w:val="24"/>
                <w:lang w:eastAsia="zh-CN"/>
                <w14:textFill>
                  <w14:solidFill>
                    <w14:schemeClr w14:val="tx1"/>
                  </w14:solidFill>
                </w14:textFill>
              </w:rPr>
              <w:t>夜</w:t>
            </w:r>
            <w:r>
              <w:rPr>
                <w:rFonts w:hint="default" w:ascii="Times New Roman" w:hAnsi="Times New Roman" w:cs="Times New Roman"/>
                <w:color w:val="000000" w:themeColor="text1"/>
                <w:kern w:val="0"/>
                <w:sz w:val="24"/>
                <w14:textFill>
                  <w14:solidFill>
                    <w14:schemeClr w14:val="tx1"/>
                  </w14:solidFill>
                </w14:textFill>
              </w:rPr>
              <w:t>间厂界噪声可以达到《工业企业厂界环境噪声排放标准》（GB12348-2008）3类标准限值要求。</w:t>
            </w:r>
          </w:p>
          <w:p>
            <w:pPr>
              <w:autoSpaceDE w:val="0"/>
              <w:autoSpaceDN w:val="0"/>
              <w:adjustRightInd w:val="0"/>
              <w:spacing w:line="360" w:lineRule="auto"/>
              <w:ind w:firstLine="482" w:firstLineChars="200"/>
              <w:jc w:val="left"/>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4、噪声污染防治措施</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本项目的噪声源来源于</w:t>
            </w:r>
            <w:r>
              <w:rPr>
                <w:rFonts w:hint="default" w:ascii="Times New Roman" w:hAnsi="Times New Roman" w:cs="Times New Roman"/>
                <w:color w:val="000000" w:themeColor="text1"/>
                <w:kern w:val="0"/>
                <w:sz w:val="24"/>
                <w14:textFill>
                  <w14:solidFill>
                    <w14:schemeClr w14:val="tx1"/>
                  </w14:solidFill>
                </w14:textFill>
              </w:rPr>
              <w:t>生产</w:t>
            </w:r>
            <w:r>
              <w:rPr>
                <w:rFonts w:hint="default" w:ascii="Times New Roman" w:hAnsi="Times New Roman" w:cs="Times New Roman"/>
                <w:color w:val="000000" w:themeColor="text1"/>
                <w:sz w:val="24"/>
                <w14:textFill>
                  <w14:solidFill>
                    <w14:schemeClr w14:val="tx1"/>
                  </w14:solidFill>
                </w14:textFill>
              </w:rPr>
              <w:t>设备运行时产生的噪声，这些噪声源经相应的降噪措施处理后通过建筑物门窗、墙壁的吸收、屏蔽及阻挡作用，将会大幅度地衰减。具体可采取的治理措施如下：</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（1）合理布局：项目将高噪声设备尽量布置在厂区中部，项目空压机置于密闭的空压机房内，通过厂房隔声和加装减震垫等降噪措施，可使其噪声源强降低20dB(A)以上。</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（2）选择低噪声设备：项目在满足工艺设计的前提下，尽量选用满足国际标准的低噪声、低振动型号的设备，降低噪声源强。</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（3）隔声、减震：建设单位根据噪声产生的性质可分为机械运动噪声，根据其产生的性质和机理不同分别采用了隔声、减振等方式进行了降噪处理。通过安装减震垫或者隔声门窗来达到降低噪声的目的。</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（4）强化生产管理：确保降噪设施的有效运行，并加强对生产设备的保养、检修与润滑，保证设备处于良好的运转状态。</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经上述治理措施后，可满足保护操作工人的身心健康需要，加上围墙隔音及距离衰减，能够做到厂界达标。</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5、自行监测方案</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根据《固定污染源排污许可分类管理名录（2019年版）》可知，本项目实行排污许可</w:t>
            </w:r>
            <w:r>
              <w:rPr>
                <w:rFonts w:hint="default" w:ascii="Times New Roman" w:hAnsi="Times New Roman" w:eastAsia="宋体" w:cs="Times New Roman"/>
                <w:color w:val="000000" w:themeColor="text1"/>
                <w:sz w:val="24"/>
                <w:lang w:val="en-US" w:eastAsia="zh-CN"/>
                <w14:textFill>
                  <w14:solidFill>
                    <w14:schemeClr w14:val="tx1"/>
                  </w14:solidFill>
                </w14:textFill>
              </w:rPr>
              <w:t>简化</w:t>
            </w:r>
            <w:r>
              <w:rPr>
                <w:rFonts w:hint="default" w:ascii="Times New Roman" w:hAnsi="Times New Roman" w:eastAsia="宋体" w:cs="Times New Roman"/>
                <w:color w:val="000000" w:themeColor="text1"/>
                <w:sz w:val="24"/>
                <w14:textFill>
                  <w14:solidFill>
                    <w14:schemeClr w14:val="tx1"/>
                  </w14:solidFill>
                </w14:textFill>
              </w:rPr>
              <w:t>管理。</w:t>
            </w:r>
          </w:p>
          <w:p>
            <w:pPr>
              <w:spacing w:line="360" w:lineRule="auto"/>
              <w:ind w:firstLine="480"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sz w:val="24"/>
                <w:lang w:eastAsia="zh-CN"/>
                <w14:textFill>
                  <w14:solidFill>
                    <w14:schemeClr w14:val="tx1"/>
                  </w14:solidFill>
                </w14:textFill>
              </w:rPr>
              <w:t>《排污单位自行监测技术指南 总则》（HJ 819—2017）、《排污单位自行监测技术指南 金属铸造工业》（HJ 1251-2022），</w:t>
            </w:r>
            <w:r>
              <w:rPr>
                <w:rFonts w:hint="default" w:ascii="Times New Roman" w:hAnsi="Times New Roman" w:cs="Times New Roman"/>
                <w:color w:val="000000" w:themeColor="text1"/>
                <w:sz w:val="24"/>
                <w14:textFill>
                  <w14:solidFill>
                    <w14:schemeClr w14:val="tx1"/>
                  </w14:solidFill>
                </w14:textFill>
              </w:rPr>
              <w:t>噪声监测方案如下：</w:t>
            </w:r>
          </w:p>
          <w:p>
            <w:pPr>
              <w:spacing w:line="460" w:lineRule="exact"/>
              <w:jc w:val="center"/>
              <w:rPr>
                <w:rFonts w:hint="default" w:ascii="Times New Roman" w:hAnsi="Times New Roman" w:cs="Times New Roman"/>
                <w:b/>
                <w:color w:val="000000" w:themeColor="text1"/>
                <w:sz w:val="24"/>
                <w14:textFill>
                  <w14:solidFill>
                    <w14:schemeClr w14:val="tx1"/>
                  </w14:solidFill>
                </w14:textFill>
              </w:rPr>
            </w:pPr>
          </w:p>
          <w:p>
            <w:pPr>
              <w:spacing w:line="460" w:lineRule="exact"/>
              <w:jc w:val="center"/>
              <w:rPr>
                <w:rFonts w:hint="default" w:ascii="Times New Roman" w:hAnsi="Times New Roman" w:cs="Times New Roman"/>
                <w:b/>
                <w:color w:val="000000" w:themeColor="text1"/>
                <w:sz w:val="24"/>
                <w14:textFill>
                  <w14:solidFill>
                    <w14:schemeClr w14:val="tx1"/>
                  </w14:solidFill>
                </w14:textFill>
              </w:rPr>
            </w:pPr>
          </w:p>
          <w:p>
            <w:pPr>
              <w:spacing w:line="460" w:lineRule="exact"/>
              <w:jc w:val="center"/>
              <w:rPr>
                <w:rFonts w:hint="default" w:ascii="Times New Roman" w:hAnsi="Times New Roman" w:cs="Times New Roman"/>
                <w:b/>
                <w:color w:val="000000" w:themeColor="text1"/>
                <w:sz w:val="24"/>
                <w14:textFill>
                  <w14:solidFill>
                    <w14:schemeClr w14:val="tx1"/>
                  </w14:solidFill>
                </w14:textFill>
              </w:rPr>
            </w:pPr>
          </w:p>
          <w:p>
            <w:pPr>
              <w:spacing w:line="460" w:lineRule="exact"/>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25</w:t>
            </w:r>
            <w:r>
              <w:rPr>
                <w:rFonts w:hint="default" w:ascii="Times New Roman" w:hAnsi="Times New Roman" w:cs="Times New Roman"/>
                <w:b/>
                <w:color w:val="000000" w:themeColor="text1"/>
                <w:sz w:val="24"/>
                <w14:textFill>
                  <w14:solidFill>
                    <w14:schemeClr w14:val="tx1"/>
                  </w14:solidFill>
                </w14:textFill>
              </w:rPr>
              <w:t xml:space="preserve">  运营期</w:t>
            </w:r>
            <w:r>
              <w:rPr>
                <w:rFonts w:hint="default" w:ascii="Times New Roman" w:hAnsi="Times New Roman" w:cs="Times New Roman"/>
                <w:b/>
                <w:color w:val="000000" w:themeColor="text1"/>
                <w:sz w:val="24"/>
                <w:lang w:eastAsia="zh-CN"/>
                <w14:textFill>
                  <w14:solidFill>
                    <w14:schemeClr w14:val="tx1"/>
                  </w14:solidFill>
                </w14:textFill>
              </w:rPr>
              <w:t>噪声</w:t>
            </w:r>
            <w:r>
              <w:rPr>
                <w:rFonts w:hint="default" w:ascii="Times New Roman" w:hAnsi="Times New Roman" w:cs="Times New Roman"/>
                <w:b/>
                <w:color w:val="000000" w:themeColor="text1"/>
                <w:sz w:val="24"/>
                <w14:textFill>
                  <w14:solidFill>
                    <w14:schemeClr w14:val="tx1"/>
                  </w14:solidFill>
                </w14:textFill>
              </w:rPr>
              <w:t>自行监测方案</w:t>
            </w:r>
          </w:p>
          <w:tbl>
            <w:tblPr>
              <w:tblStyle w:val="31"/>
              <w:tblW w:w="493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3"/>
              <w:gridCol w:w="1416"/>
              <w:gridCol w:w="1102"/>
              <w:gridCol w:w="852"/>
              <w:gridCol w:w="1107"/>
              <w:gridCol w:w="35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77" w:hRule="atLeast"/>
                <w:jc w:val="center"/>
              </w:trPr>
              <w:tc>
                <w:tcPr>
                  <w:tcW w:w="39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序号</w:t>
                  </w:r>
                </w:p>
              </w:tc>
              <w:tc>
                <w:tcPr>
                  <w:tcW w:w="811"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监测点位</w:t>
                  </w:r>
                </w:p>
              </w:tc>
              <w:tc>
                <w:tcPr>
                  <w:tcW w:w="631"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监测项目</w:t>
                  </w:r>
                </w:p>
              </w:tc>
              <w:tc>
                <w:tcPr>
                  <w:tcW w:w="488"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频率</w:t>
                  </w:r>
                </w:p>
              </w:tc>
              <w:tc>
                <w:tcPr>
                  <w:tcW w:w="634" w:type="pct"/>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实施单位</w:t>
                  </w:r>
                </w:p>
              </w:tc>
              <w:tc>
                <w:tcPr>
                  <w:tcW w:w="2038" w:type="pct"/>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执行标准（mg/m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45" w:hRule="atLeast"/>
                <w:jc w:val="center"/>
              </w:trPr>
              <w:tc>
                <w:tcPr>
                  <w:tcW w:w="397"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811"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Style w:val="37"/>
                      <w:rFonts w:hint="default" w:ascii="Times New Roman" w:hAnsi="Times New Roman" w:cs="Times New Roman"/>
                      <w:color w:val="000000" w:themeColor="text1"/>
                      <w14:textFill>
                        <w14:solidFill>
                          <w14:schemeClr w14:val="tx1"/>
                        </w14:solidFill>
                      </w14:textFill>
                    </w:rPr>
                  </w:pPr>
                  <w:r>
                    <w:rPr>
                      <w:rStyle w:val="37"/>
                      <w:rFonts w:hint="default" w:ascii="Times New Roman" w:hAnsi="Times New Roman" w:cs="Times New Roman"/>
                      <w:color w:val="000000" w:themeColor="text1"/>
                      <w14:textFill>
                        <w14:solidFill>
                          <w14:schemeClr w14:val="tx1"/>
                        </w14:solidFill>
                      </w14:textFill>
                    </w:rPr>
                    <w:t>项目四周，东南西北各一个监测点</w:t>
                  </w:r>
                </w:p>
              </w:tc>
              <w:tc>
                <w:tcPr>
                  <w:tcW w:w="631"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噪声</w:t>
                  </w:r>
                </w:p>
              </w:tc>
              <w:tc>
                <w:tcPr>
                  <w:tcW w:w="488"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每季度1次</w:t>
                  </w:r>
                </w:p>
              </w:tc>
              <w:tc>
                <w:tcPr>
                  <w:tcW w:w="634"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有资质的监测单位</w:t>
                  </w:r>
                </w:p>
              </w:tc>
              <w:tc>
                <w:tcPr>
                  <w:tcW w:w="2038" w:type="pct"/>
                  <w:tcBorders>
                    <w:top w:val="single" w:color="auto" w:sz="6" w:space="0"/>
                    <w:left w:val="single" w:color="auto" w:sz="6" w:space="0"/>
                    <w:bottom w:val="single" w:color="auto" w:sz="6" w:space="0"/>
                    <w:right w:val="single" w:color="auto" w:sz="6" w:space="0"/>
                  </w:tcBorders>
                  <w:vAlign w:val="center"/>
                </w:tcPr>
                <w:p>
                  <w:pPr>
                    <w:snapToGrid w:val="0"/>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《工业企业厂界环境噪声排放标准》（GB12348-2008）3类标准要求</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四、固废</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1、固废产生及处置情况</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本项目产生的固体废弃物主要为一般工业固废、生活垃圾和危险废物。</w:t>
            </w:r>
          </w:p>
          <w:p>
            <w:pPr>
              <w:numPr>
                <w:ilvl w:val="0"/>
                <w:numId w:val="5"/>
              </w:numPr>
              <w:spacing w:line="360" w:lineRule="auto"/>
              <w:ind w:left="-60" w:leftChars="0" w:firstLine="480" w:firstLineChars="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一般工业固废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①废边角料</w:t>
            </w:r>
            <w:r>
              <w:rPr>
                <w:rFonts w:hint="default" w:ascii="Times New Roman" w:hAnsi="Times New Roman" w:cs="Times New Roman"/>
                <w:color w:val="000000" w:themeColor="text1"/>
                <w:sz w:val="24"/>
                <w:lang w:eastAsia="zh-CN"/>
                <w14:textFill>
                  <w14:solidFill>
                    <w14:schemeClr w14:val="tx1"/>
                  </w14:solidFill>
                </w14:textFill>
              </w:rPr>
              <w:t>、废铝屑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szCs w:val="24"/>
                <w:highlight w:val="none"/>
                <w:lang w:val="zh-CN"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项目机加工过程中会产生废边角料、废铝屑，</w:t>
            </w:r>
            <w:r>
              <w:rPr>
                <w:rFonts w:hint="default" w:ascii="Times New Roman" w:hAnsi="Times New Roman" w:cs="Times New Roman"/>
                <w:color w:val="000000" w:themeColor="text1"/>
                <w:kern w:val="0"/>
                <w:sz w:val="24"/>
                <w:szCs w:val="20"/>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建设单位</w:t>
            </w:r>
            <w:r>
              <w:rPr>
                <w:rFonts w:hint="default" w:ascii="Times New Roman" w:hAnsi="Times New Roman" w:cs="Times New Roman"/>
                <w:color w:val="000000" w:themeColor="text1"/>
                <w:sz w:val="24"/>
                <w14:textFill>
                  <w14:solidFill>
                    <w14:schemeClr w14:val="tx1"/>
                  </w14:solidFill>
                </w14:textFill>
              </w:rPr>
              <w:t>提供的资料以及同类项目类比分析</w:t>
            </w:r>
            <w:r>
              <w:rPr>
                <w:rFonts w:hint="default" w:ascii="Times New Roman" w:hAnsi="Times New Roman" w:cs="Times New Roman"/>
                <w:color w:val="000000" w:themeColor="text1"/>
                <w:sz w:val="24"/>
                <w:lang w:eastAsia="zh-CN"/>
                <w14:textFill>
                  <w14:solidFill>
                    <w14:schemeClr w14:val="tx1"/>
                  </w14:solidFill>
                </w14:textFill>
              </w:rPr>
              <w:t>可知，废边角料、废铝屑产生量约为原料用量的</w:t>
            </w:r>
            <w:r>
              <w:rPr>
                <w:rFonts w:hint="default" w:ascii="Times New Roman" w:hAnsi="Times New Roman" w:cs="Times New Roman"/>
                <w:color w:val="000000" w:themeColor="text1"/>
                <w:sz w:val="24"/>
                <w:lang w:val="en-US" w:eastAsia="zh-CN"/>
                <w14:textFill>
                  <w14:solidFill>
                    <w14:schemeClr w14:val="tx1"/>
                  </w14:solidFill>
                </w14:textFill>
              </w:rPr>
              <w:t>0.5%，项目铝合金锭用量为3100t/a</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pacing w:val="0"/>
                <w:sz w:val="24"/>
                <w:szCs w:val="24"/>
                <w:highlight w:val="none"/>
                <w:lang w:eastAsia="zh-CN"/>
                <w14:textFill>
                  <w14:solidFill>
                    <w14:schemeClr w14:val="tx1"/>
                  </w14:solidFill>
                </w14:textFill>
              </w:rPr>
              <w:t>则</w:t>
            </w:r>
            <w:r>
              <w:rPr>
                <w:rFonts w:hint="default" w:ascii="Times New Roman" w:hAnsi="Times New Roman" w:cs="Times New Roman"/>
                <w:color w:val="000000" w:themeColor="text1"/>
                <w:sz w:val="24"/>
                <w14:textFill>
                  <w14:solidFill>
                    <w14:schemeClr w14:val="tx1"/>
                  </w14:solidFill>
                </w14:textFill>
              </w:rPr>
              <w:t>废边角料</w:t>
            </w:r>
            <w:r>
              <w:rPr>
                <w:rFonts w:hint="default" w:ascii="Times New Roman" w:hAnsi="Times New Roman" w:cs="Times New Roman"/>
                <w:color w:val="000000" w:themeColor="text1"/>
                <w:sz w:val="24"/>
                <w:lang w:eastAsia="zh-CN"/>
                <w14:textFill>
                  <w14:solidFill>
                    <w14:schemeClr w14:val="tx1"/>
                  </w14:solidFill>
                </w14:textFill>
              </w:rPr>
              <w:t>、废铝屑</w:t>
            </w:r>
            <w:r>
              <w:rPr>
                <w:rFonts w:hint="default" w:ascii="Times New Roman" w:hAnsi="Times New Roman" w:eastAsia="宋体" w:cs="Times New Roman"/>
                <w:b w:val="0"/>
                <w:bCs w:val="0"/>
                <w:i w:val="0"/>
                <w:iCs w:val="0"/>
                <w:color w:val="000000" w:themeColor="text1"/>
                <w:spacing w:val="0"/>
                <w:sz w:val="24"/>
                <w:szCs w:val="24"/>
                <w:highlight w:val="none"/>
                <w:lang w:eastAsia="zh-CN"/>
                <w14:textFill>
                  <w14:solidFill>
                    <w14:schemeClr w14:val="tx1"/>
                  </w14:solidFill>
                </w14:textFill>
              </w:rPr>
              <w:t>产生量约为</w:t>
            </w:r>
            <w:r>
              <w:rPr>
                <w:rFonts w:hint="default" w:ascii="Times New Roman" w:hAnsi="Times New Roman" w:cs="Times New Roman"/>
                <w:b w:val="0"/>
                <w:bCs w:val="0"/>
                <w:i w:val="0"/>
                <w:iCs w:val="0"/>
                <w:color w:val="000000" w:themeColor="text1"/>
                <w:spacing w:val="0"/>
                <w:sz w:val="24"/>
                <w:szCs w:val="24"/>
                <w:highlight w:val="none"/>
                <w:lang w:val="en-US" w:eastAsia="zh-CN"/>
                <w14:textFill>
                  <w14:solidFill>
                    <w14:schemeClr w14:val="tx1"/>
                  </w14:solidFill>
                </w14:textFill>
              </w:rPr>
              <w:t>15.5</w:t>
            </w:r>
            <w:r>
              <w:rPr>
                <w:rFonts w:hint="default" w:ascii="Times New Roman" w:hAnsi="Times New Roman" w:eastAsia="宋体" w:cs="Times New Roman"/>
                <w:color w:val="000000" w:themeColor="text1"/>
                <w:sz w:val="24"/>
                <w:lang w:eastAsia="zh-CN"/>
                <w14:textFill>
                  <w14:solidFill>
                    <w14:schemeClr w14:val="tx1"/>
                  </w14:solidFill>
                </w14:textFill>
              </w:rPr>
              <w:t>t/a。</w:t>
            </w:r>
            <w:r>
              <w:rPr>
                <w:rFonts w:hint="default" w:ascii="Times New Roman" w:hAnsi="Times New Roman" w:eastAsia="宋体" w:cs="Times New Roman"/>
                <w:color w:val="000000" w:themeColor="text1"/>
                <w:sz w:val="24"/>
                <w:lang w:val="en-US" w:eastAsia="zh-CN"/>
                <w14:textFill>
                  <w14:solidFill>
                    <w14:schemeClr w14:val="tx1"/>
                  </w14:solidFill>
                </w14:textFill>
              </w:rPr>
              <w:t>收集后</w:t>
            </w:r>
            <w:r>
              <w:rPr>
                <w:rFonts w:hint="default" w:ascii="Times New Roman" w:hAnsi="Times New Roman" w:eastAsia="宋体" w:cs="Times New Roman"/>
                <w:color w:val="000000" w:themeColor="text1"/>
                <w:sz w:val="24"/>
                <w:lang w:eastAsia="zh-CN"/>
                <w14:textFill>
                  <w14:solidFill>
                    <w14:schemeClr w14:val="tx1"/>
                  </w14:solidFill>
                </w14:textFill>
              </w:rPr>
              <w:t>回用于</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eastAsia="宋体" w:cs="Times New Roman"/>
                <w:color w:val="000000" w:themeColor="text1"/>
                <w:sz w:val="24"/>
                <w:lang w:eastAsia="zh-CN"/>
                <w14:textFill>
                  <w14:solidFill>
                    <w14:schemeClr w14:val="tx1"/>
                  </w14:solidFill>
                </w14:textFill>
              </w:rPr>
              <w:t>工序。</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kern w:val="0"/>
                <w:sz w:val="24"/>
                <w14:textFill>
                  <w14:solidFill>
                    <w14:schemeClr w14:val="tx1"/>
                  </w14:solidFill>
                </w14:textFill>
              </w:rPr>
              <w:t>废包装材料：</w:t>
            </w:r>
            <w:r>
              <w:rPr>
                <w:rFonts w:hint="default" w:ascii="Times New Roman" w:hAnsi="Times New Roman" w:cs="Times New Roman"/>
                <w:color w:val="000000" w:themeColor="text1"/>
                <w:kern w:val="0"/>
                <w:sz w:val="24"/>
                <w:szCs w:val="20"/>
                <w14:textFill>
                  <w14:solidFill>
                    <w14:schemeClr w14:val="tx1"/>
                  </w14:solidFill>
                </w14:textFill>
              </w:rPr>
              <w:t>项目在进行包装过程和原辅材料使用过程中会产生废包装材料，根据</w:t>
            </w:r>
            <w:r>
              <w:rPr>
                <w:rFonts w:hint="default" w:ascii="Times New Roman" w:hAnsi="Times New Roman" w:cs="Times New Roman"/>
                <w:color w:val="000000" w:themeColor="text1"/>
                <w:sz w:val="24"/>
                <w:lang w:eastAsia="zh-CN"/>
                <w14:textFill>
                  <w14:solidFill>
                    <w14:schemeClr w14:val="tx1"/>
                  </w14:solidFill>
                </w14:textFill>
              </w:rPr>
              <w:t>建设单位</w:t>
            </w:r>
            <w:r>
              <w:rPr>
                <w:rFonts w:hint="default" w:ascii="Times New Roman" w:hAnsi="Times New Roman" w:cs="Times New Roman"/>
                <w:color w:val="000000" w:themeColor="text1"/>
                <w:sz w:val="24"/>
                <w14:textFill>
                  <w14:solidFill>
                    <w14:schemeClr w14:val="tx1"/>
                  </w14:solidFill>
                </w14:textFill>
              </w:rPr>
              <w:t>提供的资料以及同类项目类比分析，其产生量约为5t/a</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szCs w:val="20"/>
                <w14:textFill>
                  <w14:solidFill>
                    <w14:schemeClr w14:val="tx1"/>
                  </w14:solidFill>
                </w14:textFill>
              </w:rPr>
              <w:t>收集后外售。</w:t>
            </w:r>
          </w:p>
          <w:p>
            <w:pPr>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w:t>
            </w:r>
            <w:r>
              <w:rPr>
                <w:rFonts w:hint="default" w:ascii="Times New Roman" w:hAnsi="Times New Roman" w:cs="Times New Roman"/>
                <w:color w:val="000000" w:themeColor="text1"/>
                <w:sz w:val="24"/>
                <w:lang w:eastAsia="zh-CN"/>
                <w14:textFill>
                  <w14:solidFill>
                    <w14:schemeClr w14:val="tx1"/>
                  </w14:solidFill>
                </w14:textFill>
              </w:rPr>
              <w:t>废滤渣、废滤芯</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湿式除尘废水经过滤装置过滤</w:t>
            </w:r>
            <w:r>
              <w:rPr>
                <w:rFonts w:hint="default" w:ascii="Times New Roman" w:hAnsi="Times New Roman" w:eastAsia="宋体" w:cs="Times New Roman"/>
                <w:color w:val="000000" w:themeColor="text1"/>
                <w:sz w:val="24"/>
                <w:lang w:val="en-US" w:eastAsia="zh-CN"/>
                <w14:textFill>
                  <w14:solidFill>
                    <w14:schemeClr w14:val="tx1"/>
                  </w14:solidFill>
                </w14:textFill>
              </w:rPr>
              <w:t>处理后会伴随</w:t>
            </w:r>
            <w:r>
              <w:rPr>
                <w:rFonts w:hint="default" w:ascii="Times New Roman" w:hAnsi="Times New Roman" w:cs="Times New Roman"/>
                <w:color w:val="000000" w:themeColor="text1"/>
                <w:sz w:val="24"/>
                <w:lang w:eastAsia="zh-CN"/>
                <w14:textFill>
                  <w14:solidFill>
                    <w14:schemeClr w14:val="tx1"/>
                  </w14:solidFill>
                </w14:textFill>
              </w:rPr>
              <w:t>废滤渣</w:t>
            </w:r>
            <w:r>
              <w:rPr>
                <w:rFonts w:hint="default" w:ascii="Times New Roman" w:hAnsi="Times New Roman" w:eastAsia="宋体" w:cs="Times New Roman"/>
                <w:color w:val="000000" w:themeColor="text1"/>
                <w:sz w:val="24"/>
                <w:lang w:val="en-US" w:eastAsia="zh-CN"/>
                <w14:textFill>
                  <w14:solidFill>
                    <w14:schemeClr w14:val="tx1"/>
                  </w14:solidFill>
                </w14:textFill>
              </w:rPr>
              <w:t>产生，项目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湿式除尘废水</w:t>
            </w:r>
            <w:r>
              <w:rPr>
                <w:rFonts w:hint="default" w:ascii="Times New Roman" w:hAnsi="Times New Roman" w:eastAsia="宋体" w:cs="Times New Roman"/>
                <w:color w:val="000000" w:themeColor="text1"/>
                <w:sz w:val="24"/>
                <w:lang w:eastAsia="zh-CN"/>
                <w14:textFill>
                  <w14:solidFill>
                    <w14:schemeClr w14:val="tx1"/>
                  </w14:solidFill>
                </w14:textFill>
              </w:rPr>
              <w:t>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1224t/a，废水中SS浓度从500</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mg/L处理到25mg/L，</w:t>
            </w:r>
            <w:r>
              <w:rPr>
                <w:rFonts w:hint="default" w:ascii="Times New Roman" w:hAnsi="Times New Roman" w:cs="Times New Roman"/>
                <w:color w:val="000000" w:themeColor="text1"/>
                <w:sz w:val="24"/>
                <w:lang w:eastAsia="zh-CN"/>
                <w14:textFill>
                  <w14:solidFill>
                    <w14:schemeClr w14:val="tx1"/>
                  </w14:solidFill>
                </w14:textFill>
              </w:rPr>
              <w:t>废滤渣</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含水率约80%，经计算，</w:t>
            </w:r>
            <w:r>
              <w:rPr>
                <w:rFonts w:hint="default" w:ascii="Times New Roman" w:hAnsi="Times New Roman" w:cs="Times New Roman"/>
                <w:color w:val="000000" w:themeColor="text1"/>
                <w:sz w:val="24"/>
                <w:lang w:eastAsia="zh-CN"/>
                <w14:textFill>
                  <w14:solidFill>
                    <w14:schemeClr w14:val="tx1"/>
                  </w14:solidFill>
                </w14:textFill>
              </w:rPr>
              <w:t>废滤渣</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产生量为2.91t。</w:t>
            </w:r>
            <w:r>
              <w:rPr>
                <w:rFonts w:hint="default" w:ascii="Times New Roman" w:hAnsi="Times New Roman" w:eastAsia="宋体" w:cs="Times New Roman"/>
                <w:color w:val="000000" w:themeColor="text1"/>
                <w:sz w:val="24"/>
                <w:lang w:eastAsia="zh-CN"/>
                <w14:textFill>
                  <w14:solidFill>
                    <w14:schemeClr w14:val="tx1"/>
                  </w14:solidFill>
                </w14:textFill>
              </w:rPr>
              <w:t>收集后外售。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湿式除尘器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滤芯需</w:t>
            </w:r>
            <w:r>
              <w:rPr>
                <w:rFonts w:hint="default"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定期更换，根据</w:t>
            </w:r>
            <w:r>
              <w:rPr>
                <w:rFonts w:hint="default" w:ascii="Times New Roman" w:hAnsi="Times New Roman" w:cs="Times New Roman"/>
                <w:color w:val="000000" w:themeColor="text1"/>
                <w:sz w:val="24"/>
                <w:lang w:eastAsia="zh-CN"/>
                <w14:textFill>
                  <w14:solidFill>
                    <w14:schemeClr w14:val="tx1"/>
                  </w14:solidFill>
                </w14:textFill>
              </w:rPr>
              <w:t>建设单位</w:t>
            </w:r>
            <w:r>
              <w:rPr>
                <w:rFonts w:hint="default"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提供资料，</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滤芯</w:t>
            </w:r>
            <w:r>
              <w:rPr>
                <w:rFonts w:hint="default"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更换周期为每月</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一次，预计产生量为0.1t/a。</w:t>
            </w:r>
          </w:p>
          <w:p>
            <w:pPr>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综上，</w:t>
            </w:r>
            <w:r>
              <w:rPr>
                <w:rFonts w:hint="default" w:ascii="Times New Roman" w:hAnsi="Times New Roman" w:cs="Times New Roman"/>
                <w:bCs/>
                <w:color w:val="000000" w:themeColor="text1"/>
                <w:sz w:val="24"/>
                <w:highlight w:val="none"/>
                <w:lang w:val="en-US" w:eastAsia="zh-CN"/>
                <w14:textFill>
                  <w14:solidFill>
                    <w14:schemeClr w14:val="tx1"/>
                  </w14:solidFill>
                </w14:textFill>
              </w:rPr>
              <w:t>废滤渣</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、废滤芯产生量共计</w:t>
            </w:r>
            <w:r>
              <w:rPr>
                <w:rFonts w:hint="default" w:ascii="Times New Roman" w:hAnsi="Times New Roman" w:cs="Times New Roman"/>
                <w:bCs/>
                <w:color w:val="000000" w:themeColor="text1"/>
                <w:sz w:val="24"/>
                <w:highlight w:val="none"/>
                <w:lang w:val="en-US" w:eastAsia="zh-CN"/>
                <w14:textFill>
                  <w14:solidFill>
                    <w14:schemeClr w14:val="tx1"/>
                  </w14:solidFill>
                </w14:textFill>
              </w:rPr>
              <w:t>3.01</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default" w:ascii="Times New Roman" w:hAnsi="Times New Roman" w:cs="Times New Roman"/>
                <w:color w:val="000000" w:themeColor="text1"/>
                <w:kern w:val="0"/>
                <w:sz w:val="24"/>
                <w:szCs w:val="20"/>
                <w14:textFill>
                  <w14:solidFill>
                    <w14:schemeClr w14:val="tx1"/>
                  </w14:solidFill>
                </w14:textFill>
              </w:rPr>
              <w:t>收集后外售。</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w:t>
            </w:r>
            <w:r>
              <w:rPr>
                <w:rFonts w:hint="default" w:ascii="Times New Roman" w:hAnsi="Times New Roman" w:cs="Times New Roman"/>
                <w:color w:val="000000" w:themeColor="text1"/>
                <w:sz w:val="24"/>
                <w:lang w:eastAsia="zh-CN"/>
                <w14:textFill>
                  <w14:solidFill>
                    <w14:schemeClr w14:val="tx1"/>
                  </w14:solidFill>
                </w14:textFill>
              </w:rPr>
              <w:t>不合格品：项目检验过程中会产生不合格品，</w:t>
            </w:r>
            <w:r>
              <w:rPr>
                <w:rFonts w:hint="default" w:ascii="Times New Roman" w:hAnsi="Times New Roman" w:cs="Times New Roman"/>
                <w:color w:val="000000" w:themeColor="text1"/>
                <w:kern w:val="0"/>
                <w:sz w:val="24"/>
                <w:szCs w:val="20"/>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建设单位</w:t>
            </w:r>
            <w:r>
              <w:rPr>
                <w:rFonts w:hint="default" w:ascii="Times New Roman" w:hAnsi="Times New Roman" w:cs="Times New Roman"/>
                <w:color w:val="000000" w:themeColor="text1"/>
                <w:sz w:val="24"/>
                <w14:textFill>
                  <w14:solidFill>
                    <w14:schemeClr w14:val="tx1"/>
                  </w14:solidFill>
                </w14:textFill>
              </w:rPr>
              <w:t>提供的资料以及同类项</w:t>
            </w:r>
            <w:r>
              <w:rPr>
                <w:rFonts w:hint="default" w:ascii="Times New Roman" w:hAnsi="Times New Roman" w:eastAsia="宋体" w:cs="Times New Roman"/>
                <w:color w:val="000000" w:themeColor="text1"/>
                <w:sz w:val="24"/>
                <w14:textFill>
                  <w14:solidFill>
                    <w14:schemeClr w14:val="tx1"/>
                  </w14:solidFill>
                </w14:textFill>
              </w:rPr>
              <w:t>目类比分析</w:t>
            </w:r>
            <w:r>
              <w:rPr>
                <w:rFonts w:hint="default" w:ascii="Times New Roman" w:hAnsi="Times New Roman" w:eastAsia="宋体" w:cs="Times New Roman"/>
                <w:color w:val="000000" w:themeColor="text1"/>
                <w:sz w:val="24"/>
                <w:lang w:eastAsia="zh-CN"/>
                <w14:textFill>
                  <w14:solidFill>
                    <w14:schemeClr w14:val="tx1"/>
                  </w14:solidFill>
                </w14:textFill>
              </w:rPr>
              <w:t>可知，不合格品产生量约</w:t>
            </w:r>
            <w:r>
              <w:rPr>
                <w:rFonts w:hint="default" w:ascii="Times New Roman" w:hAnsi="Times New Roman" w:eastAsia="宋体" w:cs="Times New Roman"/>
                <w:color w:val="000000" w:themeColor="text1"/>
                <w:sz w:val="24"/>
                <w:lang w:val="en-US" w:eastAsia="zh-CN"/>
                <w14:textFill>
                  <w14:solidFill>
                    <w14:schemeClr w14:val="tx1"/>
                  </w14:solidFill>
                </w14:textFill>
              </w:rPr>
              <w:t>10t/a。收集后</w:t>
            </w:r>
            <w:r>
              <w:rPr>
                <w:rFonts w:hint="default" w:ascii="Times New Roman" w:hAnsi="Times New Roman" w:eastAsia="宋体" w:cs="Times New Roman"/>
                <w:color w:val="000000" w:themeColor="text1"/>
                <w:sz w:val="24"/>
                <w:lang w:eastAsia="zh-CN"/>
                <w14:textFill>
                  <w14:solidFill>
                    <w14:schemeClr w14:val="tx1"/>
                  </w14:solidFill>
                </w14:textFill>
              </w:rPr>
              <w:t>回用于</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eastAsia="宋体" w:cs="Times New Roman"/>
                <w:color w:val="000000" w:themeColor="text1"/>
                <w:sz w:val="24"/>
                <w:lang w:eastAsia="zh-CN"/>
                <w14:textFill>
                  <w14:solidFill>
                    <w14:schemeClr w14:val="tx1"/>
                  </w14:solidFill>
                </w14:textFill>
              </w:rPr>
              <w:t>工序。</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⑤废钢丸：项目抛丸、光饰工序会产生废钢丸，产生量约</w:t>
            </w:r>
            <w:r>
              <w:rPr>
                <w:rFonts w:hint="default" w:ascii="Times New Roman" w:hAnsi="Times New Roman" w:eastAsia="宋体" w:cs="Times New Roman"/>
                <w:color w:val="000000" w:themeColor="text1"/>
                <w:sz w:val="24"/>
                <w:lang w:val="en-US" w:eastAsia="zh-CN"/>
                <w14:textFill>
                  <w14:solidFill>
                    <w14:schemeClr w14:val="tx1"/>
                  </w14:solidFill>
                </w14:textFill>
              </w:rPr>
              <w:t>0.01t/a。</w:t>
            </w:r>
            <w:r>
              <w:rPr>
                <w:rFonts w:hint="default" w:ascii="Times New Roman" w:hAnsi="Times New Roman" w:eastAsia="宋体" w:cs="Times New Roman"/>
                <w:color w:val="000000" w:themeColor="text1"/>
                <w:sz w:val="24"/>
                <w:lang w:eastAsia="zh-CN"/>
                <w14:textFill>
                  <w14:solidFill>
                    <w14:schemeClr w14:val="tx1"/>
                  </w14:solidFill>
                </w14:textFill>
              </w:rPr>
              <w:t>收集后外售。</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⑥抛丸除尘装置收集的粉尘：</w:t>
            </w:r>
            <w:r>
              <w:rPr>
                <w:rFonts w:hint="default" w:ascii="Times New Roman" w:hAnsi="Times New Roman" w:cs="Times New Roman"/>
                <w:color w:val="000000" w:themeColor="text1"/>
                <w:sz w:val="24"/>
                <w:shd w:val="clear" w:color="auto" w:fill="FFFFFF"/>
                <w14:textFill>
                  <w14:solidFill>
                    <w14:schemeClr w14:val="tx1"/>
                  </w14:solidFill>
                </w14:textFill>
              </w:rPr>
              <w:t>本项目</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抛丸</w:t>
            </w:r>
            <w:r>
              <w:rPr>
                <w:rFonts w:hint="default" w:ascii="Times New Roman" w:hAnsi="Times New Roman" w:cs="Times New Roman"/>
                <w:color w:val="000000" w:themeColor="text1"/>
                <w:sz w:val="24"/>
                <w:shd w:val="clear" w:color="auto" w:fill="FFFFFF"/>
                <w14:textFill>
                  <w14:solidFill>
                    <w14:schemeClr w14:val="tx1"/>
                  </w14:solidFill>
                </w14:textFill>
              </w:rPr>
              <w:t>产</w:t>
            </w:r>
            <w:r>
              <w:rPr>
                <w:rFonts w:hint="default" w:ascii="Times New Roman" w:hAnsi="Times New Roman" w:cs="Times New Roman"/>
                <w:bCs/>
                <w:color w:val="000000" w:themeColor="text1"/>
                <w:sz w:val="24"/>
                <w14:textFill>
                  <w14:solidFill>
                    <w14:schemeClr w14:val="tx1"/>
                  </w14:solidFill>
                </w14:textFill>
              </w:rPr>
              <w:t>生的颗粒物经布袋除尘器收集，</w:t>
            </w:r>
            <w:r>
              <w:rPr>
                <w:rFonts w:hint="default" w:ascii="Times New Roman" w:hAnsi="Times New Roman" w:cs="Times New Roman"/>
                <w:bCs/>
                <w:color w:val="000000" w:themeColor="text1"/>
                <w:sz w:val="24"/>
                <w:lang w:eastAsia="zh-CN"/>
                <w14:textFill>
                  <w14:solidFill>
                    <w14:schemeClr w14:val="tx1"/>
                  </w14:solidFill>
                </w14:textFill>
              </w:rPr>
              <w:t>根据前述工程分析，</w:t>
            </w:r>
            <w:r>
              <w:rPr>
                <w:rFonts w:hint="default" w:ascii="Times New Roman" w:hAnsi="Times New Roman" w:eastAsia="宋体" w:cs="Times New Roman"/>
                <w:color w:val="000000" w:themeColor="text1"/>
                <w:sz w:val="24"/>
                <w:lang w:eastAsia="zh-CN"/>
                <w14:textFill>
                  <w14:solidFill>
                    <w14:schemeClr w14:val="tx1"/>
                  </w14:solidFill>
                </w14:textFill>
              </w:rPr>
              <w:t>抛丸除尘装置收集的粉尘</w:t>
            </w:r>
            <w:r>
              <w:rPr>
                <w:rFonts w:hint="default" w:ascii="Times New Roman" w:hAnsi="Times New Roman" w:cs="Times New Roman"/>
                <w:bCs/>
                <w:color w:val="000000" w:themeColor="text1"/>
                <w:sz w:val="24"/>
                <w14:textFill>
                  <w14:solidFill>
                    <w14:schemeClr w14:val="tx1"/>
                  </w14:solidFill>
                </w14:textFill>
              </w:rPr>
              <w:t>量约为</w:t>
            </w:r>
            <w:r>
              <w:rPr>
                <w:rFonts w:hint="default" w:ascii="Times New Roman" w:hAnsi="Times New Roman" w:cs="Times New Roman"/>
                <w:bCs/>
                <w:color w:val="000000" w:themeColor="text1"/>
                <w:sz w:val="24"/>
                <w:lang w:val="en-US" w:eastAsia="zh-CN"/>
                <w14:textFill>
                  <w14:solidFill>
                    <w14:schemeClr w14:val="tx1"/>
                  </w14:solidFill>
                </w14:textFill>
              </w:rPr>
              <w:t>6.049</w:t>
            </w:r>
            <w:r>
              <w:rPr>
                <w:rFonts w:hint="default" w:ascii="Times New Roman" w:hAnsi="Times New Roman" w:cs="Times New Roman"/>
                <w:bCs/>
                <w:color w:val="000000" w:themeColor="text1"/>
                <w:sz w:val="24"/>
                <w14:textFill>
                  <w14:solidFill>
                    <w14:schemeClr w14:val="tx1"/>
                  </w14:solidFill>
                </w14:textFill>
              </w:rPr>
              <w:t>t/a</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收集后外售。</w:t>
            </w:r>
          </w:p>
          <w:p>
            <w:pPr>
              <w:numPr>
                <w:ilvl w:val="0"/>
                <w:numId w:val="5"/>
              </w:numPr>
              <w:spacing w:line="360" w:lineRule="auto"/>
              <w:ind w:left="-60" w:leftChars="0" w:firstLine="480" w:firstLineChars="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生活垃圾</w:t>
            </w:r>
          </w:p>
          <w:p>
            <w:pPr>
              <w:numPr>
                <w:ilvl w:val="0"/>
                <w:numId w:val="0"/>
              </w:num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本项目劳动定员</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人，生活垃圾产生系数按0.5kg/（人·d）计，则生活垃圾产生量约为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t/a。袋装收集后由环卫部门统一收集定期清运处理。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危险废物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w:t>
            </w:r>
            <w:r>
              <w:rPr>
                <w:rFonts w:hint="default" w:ascii="Times New Roman" w:hAnsi="Times New Roman" w:cs="Times New Roman"/>
                <w:color w:val="000000" w:themeColor="text1"/>
                <w:sz w:val="24"/>
                <w:lang w:eastAsia="zh-CN"/>
                <w14:textFill>
                  <w14:solidFill>
                    <w14:schemeClr w14:val="tx1"/>
                  </w14:solidFill>
                </w14:textFill>
              </w:rPr>
              <w:t>铝灰渣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铝灰渣主要来自：</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eastAsia="宋体" w:cs="Times New Roman"/>
                <w:color w:val="000000" w:themeColor="text1"/>
                <w:sz w:val="24"/>
                <w:lang w:eastAsia="zh-CN"/>
                <w14:textFill>
                  <w14:solidFill>
                    <w14:schemeClr w14:val="tx1"/>
                  </w14:solidFill>
                </w14:textFill>
              </w:rPr>
              <w:t>过程中产生</w:t>
            </w:r>
            <w:r>
              <w:rPr>
                <w:rFonts w:hint="default" w:ascii="Times New Roman" w:hAnsi="Times New Roman" w:cs="Times New Roman"/>
                <w:color w:val="000000" w:themeColor="text1"/>
                <w:sz w:val="24"/>
                <w:lang w:eastAsia="zh-CN"/>
                <w14:textFill>
                  <w14:solidFill>
                    <w14:schemeClr w14:val="tx1"/>
                  </w14:solidFill>
                </w14:textFill>
              </w:rPr>
              <w:t>铝灰渣</w:t>
            </w:r>
            <w:r>
              <w:rPr>
                <w:rFonts w:hint="default" w:ascii="Times New Roman" w:hAnsi="Times New Roman" w:eastAsia="宋体" w:cs="Times New Roman"/>
                <w:color w:val="000000" w:themeColor="text1"/>
                <w:sz w:val="24"/>
                <w:lang w:eastAsia="zh-CN"/>
                <w14:textFill>
                  <w14:solidFill>
                    <w14:schemeClr w14:val="tx1"/>
                  </w14:solidFill>
                </w14:textFill>
              </w:rPr>
              <w:t>，耐高温布袋除尘器收集的</w:t>
            </w:r>
            <w:r>
              <w:rPr>
                <w:rFonts w:hint="default" w:ascii="Times New Roman" w:hAnsi="Times New Roman" w:cs="Times New Roman"/>
                <w:color w:val="000000" w:themeColor="text1"/>
                <w:sz w:val="24"/>
                <w:lang w:eastAsia="zh-CN"/>
                <w14:textFill>
                  <w14:solidFill>
                    <w14:schemeClr w14:val="tx1"/>
                  </w14:solidFill>
                </w14:textFill>
              </w:rPr>
              <w:t>铝灰渣。</w:t>
            </w:r>
            <w:r>
              <w:rPr>
                <w:rFonts w:hint="default" w:ascii="Times New Roman" w:hAnsi="Times New Roman" w:eastAsia="宋体" w:cs="Times New Roman"/>
                <w:color w:val="000000" w:themeColor="text1"/>
                <w:sz w:val="24"/>
                <w:lang w:eastAsia="zh-CN"/>
                <w14:textFill>
                  <w14:solidFill>
                    <w14:schemeClr w14:val="tx1"/>
                  </w14:solidFill>
                </w14:textFill>
              </w:rPr>
              <w:t>根据建设单位提供的资料，</w:t>
            </w:r>
            <w:r>
              <w:rPr>
                <w:rFonts w:hint="default" w:ascii="Times New Roman" w:hAnsi="Times New Roman" w:eastAsia="宋体" w:cs="Times New Roman"/>
                <w:color w:val="000000" w:themeColor="text1"/>
                <w:sz w:val="24"/>
                <w:lang w:val="en-US" w:eastAsia="zh-CN"/>
                <w14:textFill>
                  <w14:solidFill>
                    <w14:schemeClr w14:val="tx1"/>
                  </w14:solidFill>
                </w14:textFill>
              </w:rPr>
              <w:t>其产生量约为</w:t>
            </w:r>
            <w:r>
              <w:rPr>
                <w:rFonts w:hint="default" w:ascii="Times New Roman" w:hAnsi="Times New Roman" w:cs="Times New Roman"/>
                <w:color w:val="000000" w:themeColor="text1"/>
                <w:sz w:val="24"/>
                <w:lang w:val="en-US" w:eastAsia="zh-CN"/>
                <w14:textFill>
                  <w14:solidFill>
                    <w14:schemeClr w14:val="tx1"/>
                  </w14:solidFill>
                </w14:textFill>
              </w:rPr>
              <w:t>铝合金锭</w:t>
            </w:r>
            <w:r>
              <w:rPr>
                <w:rFonts w:hint="default" w:ascii="Times New Roman" w:hAnsi="Times New Roman" w:eastAsia="宋体" w:cs="Times New Roman"/>
                <w:color w:val="000000" w:themeColor="text1"/>
                <w:sz w:val="24"/>
                <w:lang w:eastAsia="zh-CN"/>
                <w14:textFill>
                  <w14:solidFill>
                    <w14:schemeClr w14:val="tx1"/>
                  </w14:solidFill>
                </w14:textFill>
              </w:rPr>
              <w:t>原料使用量的0.</w:t>
            </w:r>
            <w:r>
              <w:rPr>
                <w:rFonts w:hint="default" w:ascii="Times New Roman" w:hAnsi="Times New Roman" w:eastAsia="宋体" w:cs="Times New Roman"/>
                <w:color w:val="000000" w:themeColor="text1"/>
                <w:sz w:val="24"/>
                <w:lang w:val="en-US" w:eastAsia="zh-CN"/>
                <w14:textFill>
                  <w14:solidFill>
                    <w14:schemeClr w14:val="tx1"/>
                  </w14:solidFill>
                </w14:textFill>
              </w:rPr>
              <w:t>01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铝合金锭</w:t>
            </w:r>
            <w:r>
              <w:rPr>
                <w:rFonts w:hint="default" w:ascii="Times New Roman" w:hAnsi="Times New Roman" w:eastAsia="宋体" w:cs="Times New Roman"/>
                <w:color w:val="000000" w:themeColor="text1"/>
                <w:sz w:val="24"/>
                <w:lang w:val="en-US" w:eastAsia="zh-CN"/>
                <w14:textFill>
                  <w14:solidFill>
                    <w14:schemeClr w14:val="tx1"/>
                  </w14:solidFill>
                </w14:textFill>
              </w:rPr>
              <w:t>用量为</w:t>
            </w:r>
            <w:r>
              <w:rPr>
                <w:rFonts w:hint="default" w:ascii="Times New Roman" w:hAnsi="Times New Roman" w:cs="Times New Roman"/>
                <w:color w:val="000000" w:themeColor="text1"/>
                <w:sz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lang w:val="en-US" w:eastAsia="zh-CN"/>
                <w14:textFill>
                  <w14:solidFill>
                    <w14:schemeClr w14:val="tx1"/>
                  </w14:solidFill>
                </w14:textFill>
              </w:rPr>
              <w:t>00t/a</w:t>
            </w:r>
            <w:r>
              <w:rPr>
                <w:rFonts w:hint="default" w:ascii="Times New Roman" w:hAnsi="Times New Roman" w:eastAsia="宋体" w:cs="Times New Roman"/>
                <w:color w:val="000000" w:themeColor="text1"/>
                <w:sz w:val="24"/>
                <w:lang w:eastAsia="zh-CN"/>
                <w14:textFill>
                  <w14:solidFill>
                    <w14:schemeClr w14:val="tx1"/>
                  </w14:solidFill>
                </w14:textFill>
              </w:rPr>
              <w:t>，则</w:t>
            </w:r>
            <w:r>
              <w:rPr>
                <w:rFonts w:hint="default" w:ascii="Times New Roman" w:hAnsi="Times New Roman" w:eastAsia="宋体" w:cs="Times New Roman"/>
                <w:color w:val="000000" w:themeColor="text1"/>
                <w:sz w:val="24"/>
                <w:lang w:val="en-US" w:eastAsia="zh-CN"/>
                <w14:textFill>
                  <w14:solidFill>
                    <w14:schemeClr w14:val="tx1"/>
                  </w14:solidFill>
                </w14:textFill>
              </w:rPr>
              <w:t>产生量约为0.</w:t>
            </w:r>
            <w:r>
              <w:rPr>
                <w:rFonts w:hint="default" w:ascii="Times New Roman" w:hAnsi="Times New Roman" w:cs="Times New Roman"/>
                <w:color w:val="000000" w:themeColor="text1"/>
                <w:sz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cs="Times New Roman"/>
                <w:color w:val="000000" w:themeColor="text1"/>
                <w:sz w:val="24"/>
                <w:lang w:val="en-US" w:eastAsia="zh-CN"/>
                <w14:textFill>
                  <w14:solidFill>
                    <w14:schemeClr w14:val="tx1"/>
                  </w14:solidFill>
                </w14:textFill>
              </w:rPr>
              <w:t>铝灰渣属于危险废物，危废类别为</w:t>
            </w:r>
            <w:r>
              <w:rPr>
                <w:rFonts w:hint="default" w:ascii="Times New Roman" w:hAnsi="Times New Roman" w:eastAsia="宋体" w:cs="Times New Roman"/>
                <w:color w:val="000000" w:themeColor="text1"/>
                <w:sz w:val="24"/>
                <w:lang w:eastAsia="zh-CN"/>
                <w14:textFill>
                  <w14:solidFill>
                    <w14:schemeClr w14:val="tx1"/>
                  </w14:solidFill>
                </w14:textFill>
              </w:rPr>
              <w:t>危废</w:t>
            </w:r>
            <w:r>
              <w:rPr>
                <w:rFonts w:hint="default" w:ascii="Times New Roman" w:hAnsi="Times New Roman" w:eastAsia="宋体" w:cs="Times New Roman"/>
                <w:color w:val="000000" w:themeColor="text1"/>
                <w:sz w:val="24"/>
                <w:lang w:val="en-US" w:eastAsia="zh-CN"/>
                <w14:textFill>
                  <w14:solidFill>
                    <w14:schemeClr w14:val="tx1"/>
                  </w14:solidFill>
                </w14:textFill>
              </w:rPr>
              <w:t>类别为HW48有色金属采选和冶炼废物</w:t>
            </w:r>
            <w:r>
              <w:rPr>
                <w:rFonts w:hint="default" w:ascii="Times New Roman" w:hAnsi="Times New Roman" w:eastAsia="宋体" w:cs="Times New Roman"/>
                <w:color w:val="000000" w:themeColor="text1"/>
                <w:sz w:val="24"/>
                <w:lang w:eastAsia="zh-CN"/>
                <w14:textFill>
                  <w14:solidFill>
                    <w14:schemeClr w14:val="tx1"/>
                  </w14:solidFill>
                </w14:textFill>
              </w:rPr>
              <w:t>，危废代码为321-02</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eastAsia="zh-CN"/>
                <w14:textFill>
                  <w14:solidFill>
                    <w14:schemeClr w14:val="tx1"/>
                  </w14:solidFill>
                </w14:textFill>
              </w:rPr>
              <w:t>-48（</w:t>
            </w:r>
            <w:r>
              <w:rPr>
                <w:rFonts w:hint="default" w:ascii="Times New Roman" w:hAnsi="Times New Roman" w:eastAsia="宋体" w:cs="Times New Roman"/>
                <w:color w:val="000000" w:themeColor="text1"/>
                <w:sz w:val="24"/>
                <w:lang w:val="en-US" w:eastAsia="zh-CN"/>
                <w14:textFill>
                  <w14:solidFill>
                    <w14:schemeClr w14:val="tx1"/>
                  </w14:solidFill>
                </w14:textFill>
              </w:rPr>
              <w:t>再生铝和铝材加工过程中，废铝及</w:t>
            </w:r>
            <w:r>
              <w:rPr>
                <w:rFonts w:hint="default" w:ascii="Times New Roman" w:hAnsi="Times New Roman" w:cs="Times New Roman"/>
                <w:color w:val="000000" w:themeColor="text1"/>
                <w:sz w:val="24"/>
                <w:lang w:val="en-US" w:eastAsia="zh-CN"/>
                <w14:textFill>
                  <w14:solidFill>
                    <w14:schemeClr w14:val="tx1"/>
                  </w14:solidFill>
                </w14:textFill>
              </w:rPr>
              <w:t>铝合金锭</w:t>
            </w:r>
            <w:r>
              <w:rPr>
                <w:rFonts w:hint="default" w:ascii="Times New Roman" w:hAnsi="Times New Roman" w:eastAsia="宋体" w:cs="Times New Roman"/>
                <w:color w:val="000000" w:themeColor="text1"/>
                <w:sz w:val="24"/>
                <w:lang w:val="en-US" w:eastAsia="zh-CN"/>
                <w14:textFill>
                  <w14:solidFill>
                    <w14:schemeClr w14:val="tx1"/>
                  </w14:solidFill>
                </w14:textFill>
              </w:rPr>
              <w:t>重熔、精炼、合金化、铸造熔体表面产生的铝灰渣，及其回收铝过程产生的盐渣和二次铝灰</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定期交有资质单位进行处理。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sz w:val="24"/>
                <w:lang w:eastAsia="zh-CN"/>
                <w14:textFill>
                  <w14:solidFill>
                    <w14:schemeClr w14:val="tx1"/>
                  </w14:solidFill>
                </w14:textFill>
              </w:rPr>
              <w:t>熔</w:t>
            </w:r>
            <w:r>
              <w:rPr>
                <w:rFonts w:hint="default" w:ascii="Times New Roman" w:hAnsi="Times New Roman" w:cs="Times New Roman"/>
                <w:color w:val="000000" w:themeColor="text1"/>
                <w:sz w:val="24"/>
                <w:lang w:val="en-US" w:eastAsia="zh-CN"/>
                <w14:textFill>
                  <w14:solidFill>
                    <w14:schemeClr w14:val="tx1"/>
                  </w14:solidFill>
                </w14:textFill>
              </w:rPr>
              <w:t>化</w:t>
            </w:r>
            <w:r>
              <w:rPr>
                <w:rFonts w:hint="default" w:ascii="Times New Roman" w:hAnsi="Times New Roman" w:cs="Times New Roman"/>
                <w:color w:val="000000" w:themeColor="text1"/>
                <w:sz w:val="24"/>
                <w:lang w:eastAsia="zh-CN"/>
                <w14:textFill>
                  <w14:solidFill>
                    <w14:schemeClr w14:val="tx1"/>
                  </w14:solidFill>
                </w14:textFill>
              </w:rPr>
              <w:t>、压</w:t>
            </w:r>
            <w:r>
              <w:rPr>
                <w:rFonts w:hint="default" w:ascii="Times New Roman" w:hAnsi="Times New Roman" w:eastAsia="宋体" w:cs="Times New Roman"/>
                <w:color w:val="000000" w:themeColor="text1"/>
                <w:sz w:val="24"/>
                <w:lang w:val="en-US" w:eastAsia="zh-CN"/>
                <w14:textFill>
                  <w14:solidFill>
                    <w14:schemeClr w14:val="tx1"/>
                  </w14:solidFill>
                </w14:textFill>
              </w:rPr>
              <w:t>铸耐高温布袋除尘器收集的粉尘：本项目</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eastAsia="宋体" w:cs="Times New Roman"/>
                <w:color w:val="000000" w:themeColor="text1"/>
                <w:sz w:val="24"/>
                <w:lang w:val="en-US" w:eastAsia="zh-CN"/>
                <w14:textFill>
                  <w14:solidFill>
                    <w14:schemeClr w14:val="tx1"/>
                  </w14:solidFill>
                </w14:textFill>
              </w:rPr>
              <w:t>、压铸产生的颗粒物经布袋除尘器收集，根据工程分析，耐高温布袋除尘器收集的铝灰渣粉尘量为</w:t>
            </w:r>
            <w:r>
              <w:rPr>
                <w:rFonts w:hint="default" w:ascii="Times New Roman" w:hAnsi="Times New Roman" w:cs="Times New Roman"/>
                <w:color w:val="000000" w:themeColor="text1"/>
                <w:sz w:val="24"/>
                <w:lang w:val="en-US" w:eastAsia="zh-CN"/>
                <w14:textFill>
                  <w14:solidFill>
                    <w14:schemeClr w14:val="tx1"/>
                  </w14:solidFill>
                </w14:textFill>
              </w:rPr>
              <w:t>3.254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熔化、</w:t>
            </w:r>
            <w:r>
              <w:rPr>
                <w:rFonts w:hint="default" w:ascii="Times New Roman" w:hAnsi="Times New Roman" w:eastAsia="宋体" w:cs="Times New Roman"/>
                <w:color w:val="000000" w:themeColor="text1"/>
                <w:sz w:val="24"/>
                <w:lang w:val="en-US" w:eastAsia="zh-CN"/>
                <w14:textFill>
                  <w14:solidFill>
                    <w14:schemeClr w14:val="tx1"/>
                  </w14:solidFill>
                </w14:textFill>
              </w:rPr>
              <w:t>压铸耐高温布袋除尘器收集的粉尘属于危险废物，危废类别为HW48有色金属采选和冶炼废物，危废代码为321-034-48（铝灰热回收铝过程烟气处理集（除）尘装置收集的粉尘，铝冶炼和再生过程烟气（包括：再生铝熔炼烟气、铝液熔体净化、除杂、合金化、铸造烟气）处理集（除）尘装置收集的粉尘</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定期交有资质单位进行处理。</w:t>
            </w:r>
          </w:p>
          <w:p>
            <w:pPr>
              <w:pStyle w:val="8"/>
              <w:ind w:left="0" w:leftChars="0"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w:t>
            </w:r>
            <w:r>
              <w:rPr>
                <w:rFonts w:hint="default" w:ascii="Times New Roman" w:hAnsi="Times New Roman" w:cs="Times New Roman"/>
                <w:color w:val="000000" w:themeColor="text1"/>
                <w:sz w:val="24"/>
                <w:lang w:eastAsia="zh-CN"/>
                <w14:textFill>
                  <w14:solidFill>
                    <w14:schemeClr w14:val="tx1"/>
                  </w14:solidFill>
                </w14:textFill>
              </w:rPr>
              <w:t>废脱模剂油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废</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脱模剂油</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压铸过程中会产生废脱模剂油</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pacing w:val="0"/>
                <w:sz w:val="24"/>
                <w:szCs w:val="24"/>
                <w:highlight w:val="none"/>
                <w:lang w:eastAsia="zh-CN"/>
                <w14:textFill>
                  <w14:solidFill>
                    <w14:schemeClr w14:val="tx1"/>
                  </w14:solidFill>
                </w14:textFill>
              </w:rPr>
              <w:t>根据</w:t>
            </w:r>
            <w:r>
              <w:rPr>
                <w:rFonts w:hint="default" w:ascii="Times New Roman" w:hAnsi="Times New Roman" w:cs="Times New Roman"/>
                <w:b w:val="0"/>
                <w:bCs w:val="0"/>
                <w:i w:val="0"/>
                <w:iCs w:val="0"/>
                <w:color w:val="000000" w:themeColor="text1"/>
                <w:spacing w:val="0"/>
                <w:sz w:val="24"/>
                <w:szCs w:val="24"/>
                <w:highlight w:val="none"/>
                <w:lang w:val="en-US" w:eastAsia="zh-CN"/>
                <w14:textFill>
                  <w14:solidFill>
                    <w14:schemeClr w14:val="tx1"/>
                  </w14:solidFill>
                </w14:textFill>
              </w:rPr>
              <w:t>前述工程可知</w:t>
            </w:r>
            <w:r>
              <w:rPr>
                <w:rFonts w:hint="default" w:ascii="Times New Roman" w:hAnsi="Times New Roman" w:eastAsia="宋体" w:cs="Times New Roman"/>
                <w:b w:val="0"/>
                <w:bCs w:val="0"/>
                <w:i w:val="0"/>
                <w:iCs w:val="0"/>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废</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脱模剂油</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产生量为</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0.81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t/a。废</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脱模剂油</w:t>
            </w:r>
            <w:r>
              <w:rPr>
                <w:rFonts w:hint="default" w:ascii="Times New Roman" w:hAnsi="Times New Roman" w:eastAsia="宋体" w:cs="Times New Roman"/>
                <w:color w:val="000000" w:themeColor="text1"/>
                <w:sz w:val="24"/>
                <w:lang w:val="en-US" w:eastAsia="zh-CN"/>
                <w14:textFill>
                  <w14:solidFill>
                    <w14:schemeClr w14:val="tx1"/>
                  </w14:solidFill>
                </w14:textFill>
              </w:rPr>
              <w:t>属于危险废物，危废类别为HW08废矿物油与含矿物油废物，危废代码为900-210-08（含油废水处理中隔油、气浮、沉淀等处理过程中产生的浮油、浮渣和污泥（不包括废水生化处理污泥）</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定期交有资质单位进行处理。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废机油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机加工</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设备需要定期进行检修维护，</w:t>
            </w:r>
            <w:r>
              <w:rPr>
                <w:rFonts w:hint="default" w:ascii="Times New Roman" w:hAnsi="Times New Roman" w:eastAsia="宋体" w:cs="Times New Roman"/>
                <w:b w:val="0"/>
                <w:bCs w:val="0"/>
                <w:i w:val="0"/>
                <w:iCs w:val="0"/>
                <w:color w:val="000000" w:themeColor="text1"/>
                <w:spacing w:val="0"/>
                <w:sz w:val="24"/>
                <w:szCs w:val="24"/>
                <w:highlight w:val="none"/>
                <w:lang w:eastAsia="zh-CN"/>
                <w14:textFill>
                  <w14:solidFill>
                    <w14:schemeClr w14:val="tx1"/>
                  </w14:solidFill>
                </w14:textFill>
              </w:rPr>
              <w:t>根据建设单位提供的资料，</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定期进行检修维护</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产生的废机油量为0.1t/a。</w:t>
            </w:r>
            <w:r>
              <w:rPr>
                <w:rFonts w:hint="default" w:ascii="Times New Roman" w:hAnsi="Times New Roman" w:cs="Times New Roman"/>
                <w:color w:val="000000" w:themeColor="text1"/>
                <w:spacing w:val="0"/>
                <w:sz w:val="24"/>
                <w:szCs w:val="24"/>
                <w:highlight w:val="none"/>
                <w:lang w:eastAsia="zh-CN"/>
                <w14:textFill>
                  <w14:solidFill>
                    <w14:schemeClr w14:val="tx1"/>
                  </w14:solidFill>
                </w14:textFill>
              </w:rPr>
              <w:t>废机油</w:t>
            </w:r>
            <w:r>
              <w:rPr>
                <w:rFonts w:hint="default" w:ascii="Times New Roman" w:hAnsi="Times New Roman" w:eastAsia="宋体" w:cs="Times New Roman"/>
                <w:color w:val="000000" w:themeColor="text1"/>
                <w:sz w:val="24"/>
                <w:lang w:val="en-US" w:eastAsia="zh-CN"/>
                <w14:textFill>
                  <w14:solidFill>
                    <w14:schemeClr w14:val="tx1"/>
                  </w14:solidFill>
                </w14:textFill>
              </w:rPr>
              <w:t>属于危险废物</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危废类别为HW08废矿物油与含矿物油废物，危废代码为</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900-214-08（车辆、轮船及其它机械维修过程中产生的废发动机油、制动器油、自动变速器油、齿轮油等废润滑油）</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定期交有资质单位进行处理。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⑤</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废化学品包装桶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废化学品包装桶（废水性脱模剂桶</w:t>
            </w:r>
            <w:r>
              <w:rPr>
                <w:rFonts w:hint="default" w:ascii="Times New Roman" w:hAnsi="Times New Roman" w:cs="Times New Roman"/>
                <w:color w:val="000000" w:themeColor="text1"/>
                <w:sz w:val="24"/>
                <w:lang w:eastAsia="zh-CN"/>
                <w14:textFill>
                  <w14:solidFill>
                    <w14:schemeClr w14:val="tx1"/>
                  </w14:solidFill>
                </w14:textFill>
              </w:rPr>
              <w:t>、废切削液桶、废机油桶、</w:t>
            </w:r>
            <w:r>
              <w:rPr>
                <w:rFonts w:hint="default" w:ascii="Times New Roman" w:hAnsi="Times New Roman" w:cs="Times New Roman"/>
                <w:color w:val="000000" w:themeColor="text1"/>
                <w:sz w:val="24"/>
                <w:lang w:val="en-US" w:eastAsia="zh-CN"/>
                <w14:textFill>
                  <w14:solidFill>
                    <w14:schemeClr w14:val="tx1"/>
                  </w14:solidFill>
                </w14:textFill>
              </w:rPr>
              <w:t>废振动研磨剂桶</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szCs w:val="20"/>
                <w14:textFill>
                  <w14:solidFill>
                    <w14:schemeClr w14:val="tx1"/>
                  </w14:solidFill>
                </w14:textFill>
              </w:rPr>
              <w:t>项目</w:t>
            </w:r>
            <w:r>
              <w:rPr>
                <w:rFonts w:hint="default" w:ascii="Times New Roman" w:hAnsi="Times New Roman" w:cs="Times New Roman"/>
                <w:color w:val="000000" w:themeColor="text1"/>
                <w:kern w:val="0"/>
                <w:sz w:val="24"/>
                <w:szCs w:val="20"/>
                <w:lang w:eastAsia="zh-CN"/>
                <w14:textFill>
                  <w14:solidFill>
                    <w14:schemeClr w14:val="tx1"/>
                  </w14:solidFill>
                </w14:textFill>
              </w:rPr>
              <w:t>生产过程中会产生</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废水性脱模剂桶</w:t>
            </w:r>
            <w:r>
              <w:rPr>
                <w:rFonts w:hint="default" w:ascii="Times New Roman" w:hAnsi="Times New Roman" w:cs="Times New Roman"/>
                <w:color w:val="000000" w:themeColor="text1"/>
                <w:sz w:val="24"/>
                <w:lang w:eastAsia="zh-CN"/>
                <w14:textFill>
                  <w14:solidFill>
                    <w14:schemeClr w14:val="tx1"/>
                  </w14:solidFill>
                </w14:textFill>
              </w:rPr>
              <w:t>、废切削液桶、废机油桶、</w:t>
            </w:r>
            <w:r>
              <w:rPr>
                <w:rFonts w:hint="default" w:ascii="Times New Roman" w:hAnsi="Times New Roman" w:cs="Times New Roman"/>
                <w:color w:val="000000" w:themeColor="text1"/>
                <w:sz w:val="24"/>
                <w:lang w:val="en-US" w:eastAsia="zh-CN"/>
                <w14:textFill>
                  <w14:solidFill>
                    <w14:schemeClr w14:val="tx1"/>
                  </w14:solidFill>
                </w14:textFill>
              </w:rPr>
              <w:t>废振动研磨剂桶</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szCs w:val="20"/>
                <w14:textFill>
                  <w14:solidFill>
                    <w14:schemeClr w14:val="tx1"/>
                  </w14:solidFill>
                </w14:textFill>
              </w:rPr>
              <w:t>根据建设单位提供资料，项目年消耗</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水性脱模剂</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切削</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液0.5t，</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机</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油0.6t，</w:t>
            </w:r>
            <w:r>
              <w:rPr>
                <w:rFonts w:hint="default" w:ascii="Times New Roman" w:hAnsi="Times New Roman" w:cs="Times New Roman"/>
                <w:color w:val="000000" w:themeColor="text1"/>
                <w:sz w:val="24"/>
                <w:lang w:val="en-US" w:eastAsia="zh-CN"/>
                <w14:textFill>
                  <w14:solidFill>
                    <w14:schemeClr w14:val="tx1"/>
                  </w14:solidFill>
                </w14:textFill>
              </w:rPr>
              <w:t>振动研磨剂1t，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水性脱模剂和</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机油</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采用200kg/桶储存，切削液</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和</w:t>
            </w:r>
            <w:r>
              <w:rPr>
                <w:rFonts w:hint="default" w:ascii="Times New Roman" w:hAnsi="Times New Roman" w:cs="Times New Roman"/>
                <w:color w:val="000000" w:themeColor="text1"/>
                <w:sz w:val="24"/>
                <w:lang w:val="en-US" w:eastAsia="zh-CN"/>
                <w14:textFill>
                  <w14:solidFill>
                    <w14:schemeClr w14:val="tx1"/>
                  </w14:solidFill>
                </w14:textFill>
              </w:rPr>
              <w:t>振动研磨剂</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采用20kg/桶储存，桶重分别约10.4kg和1.04kg。经计算，200kg废水性脱模剂桶</w:t>
            </w:r>
            <w:r>
              <w:rPr>
                <w:rFonts w:hint="default" w:ascii="Times New Roman" w:hAnsi="Times New Roman" w:cs="Times New Roman"/>
                <w:color w:val="000000" w:themeColor="text1"/>
                <w:sz w:val="24"/>
                <w:lang w:eastAsia="zh-CN"/>
                <w14:textFill>
                  <w14:solidFill>
                    <w14:schemeClr w14:val="tx1"/>
                  </w14:solidFill>
                </w14:textFill>
              </w:rPr>
              <w:t>和废机油桶</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产生量约0.</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t/a，20kg废切削液桶</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和</w:t>
            </w:r>
            <w:r>
              <w:rPr>
                <w:rFonts w:hint="default" w:ascii="Times New Roman" w:hAnsi="Times New Roman" w:cs="Times New Roman"/>
                <w:color w:val="000000" w:themeColor="text1"/>
                <w:sz w:val="24"/>
                <w:lang w:val="en-US" w:eastAsia="zh-CN"/>
                <w14:textFill>
                  <w14:solidFill>
                    <w14:schemeClr w14:val="tx1"/>
                  </w14:solidFill>
                </w14:textFill>
              </w:rPr>
              <w:t>废振动研磨剂桶</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产生量约0.0</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78</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lang w:val="en-US" w:eastAsia="zh-CN"/>
                <w14:textFill>
                  <w14:solidFill>
                    <w14:schemeClr w14:val="tx1"/>
                  </w14:solidFill>
                </w14:textFill>
              </w:rPr>
              <w:t>折合项目废化学品包装桶共计产生量</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约0.</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158</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废化学品包装</w:t>
            </w:r>
            <w:r>
              <w:rPr>
                <w:rFonts w:hint="default" w:ascii="Times New Roman" w:hAnsi="Times New Roman" w:cs="Times New Roman"/>
                <w:color w:val="000000" w:themeColor="text1"/>
                <w:kern w:val="0"/>
                <w:sz w:val="24"/>
                <w:szCs w:val="20"/>
                <w14:textFill>
                  <w14:solidFill>
                    <w14:schemeClr w14:val="tx1"/>
                  </w14:solidFill>
                </w14:textFill>
              </w:rPr>
              <w:t>桶</w:t>
            </w:r>
            <w:r>
              <w:rPr>
                <w:rFonts w:hint="default" w:ascii="Times New Roman" w:hAnsi="Times New Roman" w:cs="Times New Roman"/>
                <w:color w:val="000000" w:themeColor="text1"/>
                <w:sz w:val="24"/>
                <w14:textFill>
                  <w14:solidFill>
                    <w14:schemeClr w14:val="tx1"/>
                  </w14:solidFill>
                </w14:textFill>
              </w:rPr>
              <w:t>危废类别为HW49 其他废物，危废代码：900-041-49（含有或沾染毒性、感染性危险废物的废弃包装物、容器、过滤吸附介质）</w:t>
            </w:r>
            <w:r>
              <w:rPr>
                <w:rFonts w:hint="default" w:ascii="Times New Roman" w:hAnsi="Times New Roman" w:cs="Times New Roman"/>
                <w:color w:val="000000" w:themeColor="text1"/>
                <w:kern w:val="0"/>
                <w:sz w:val="24"/>
                <w:szCs w:val="20"/>
                <w:lang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，定期交</w:t>
            </w:r>
            <w:r>
              <w:rPr>
                <w:rFonts w:hint="default" w:ascii="Times New Roman" w:hAnsi="Times New Roman" w:cs="Times New Roman"/>
                <w:color w:val="000000" w:themeColor="text1"/>
                <w:sz w:val="24"/>
                <w14:textFill>
                  <w14:solidFill>
                    <w14:schemeClr w14:val="tx1"/>
                  </w14:solidFill>
                </w14:textFill>
              </w:rPr>
              <w:t>由</w:t>
            </w:r>
            <w:r>
              <w:rPr>
                <w:rFonts w:hint="default" w:ascii="Times New Roman" w:hAnsi="Times New Roman" w:cs="Times New Roman"/>
                <w:color w:val="000000" w:themeColor="text1"/>
                <w:sz w:val="24"/>
                <w:lang w:val="zh-CN"/>
                <w14:textFill>
                  <w14:solidFill>
                    <w14:schemeClr w14:val="tx1"/>
                  </w14:solidFill>
                </w14:textFill>
              </w:rPr>
              <w:t>有资质单位进行处理。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end"/>
            </w:r>
            <w:r>
              <w:rPr>
                <w:rFonts w:hint="default" w:ascii="Times New Roman" w:hAnsi="Times New Roman" w:cs="Times New Roman"/>
                <w:color w:val="000000" w:themeColor="text1"/>
                <w:sz w:val="24"/>
                <w:lang w:eastAsia="zh-CN"/>
                <w14:textFill>
                  <w14:solidFill>
                    <w14:schemeClr w14:val="tx1"/>
                  </w14:solidFill>
                </w14:textFill>
              </w:rPr>
              <w:t>含油</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铝屑</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本项目铣床、钻床、加工中心等机加工过程中会产生沾有废切削液的含油铝屑。根据建设单位提供的资料，含油铝屑产生量约为1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.55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t/a（约为原料使用量的0.05%）。含油铝屑属于危险废物，危废类别为HW09油/水、烃 /水混合物或乳化液 ，危废代码为900-006-09（其他工艺过程中产生的油/水、烃/水混合物或乳化液）。</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收集后暂存于厂区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危险废物暂存场所</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定期交有资质单位进行处理。</w:t>
            </w:r>
          </w:p>
          <w:p>
            <w:pPr>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⑦</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含油木屑</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本项目生产车间地面清洁采取干式清洁的方式，用尘推推动干木屑对车间地面进行清洁。本项目车间地面会有少量废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机油</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、废切削液洒落，清洁时废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机油</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及废切削液会沾到木屑上，产生含油木屑。本项目车间每2天清理一次，木屑可多次使用约10天更换一次，每次产生量为2kg，则含油木屑产生量为0.06t/a。更换下的含油木屑属于危险废物，危废类别为HW49其他废物，危废代码为900-041-49（含有或沾染毒性、感染性危险废物的废弃包装物、容器、过滤吸附介质）。</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收集后暂存于厂区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危险废物暂存场所</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定期交有资质单位进行处理。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⑧</w:t>
            </w: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废切削液</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本项目机加工工等设备使用切削液，</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根据前述工程可知，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废切削液产生量为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0.205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废切削液</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属于危险废物，危废类别为HW09油/水、烃 /水混合物或乳化液 ，危废代码为900-006-09（其他工艺过程中产生的油/水、烃/水混合物或乳化液）。</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收集后暂存于厂区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危险废物暂存场所</w:t>
            </w: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定期交有资质单位进行处理。</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⑨</w:t>
            </w:r>
            <w:r>
              <w:rPr>
                <w:rFonts w:hint="default" w:ascii="Times New Roman" w:hAnsi="Times New Roman" w:eastAsia="宋体" w:cs="Times New Roman"/>
                <w:color w:val="000000" w:themeColor="text1"/>
                <w:sz w:val="24"/>
                <w:lang w:val="en-US" w:eastAsia="zh-CN"/>
                <w14:textFill>
                  <w14:solidFill>
                    <w14:schemeClr w14:val="tx1"/>
                  </w14:solidFill>
                </w14:textFill>
              </w:rPr>
              <w:t>污泥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光</w:t>
            </w:r>
            <w:r>
              <w:rPr>
                <w:rFonts w:hint="default" w:ascii="Times New Roman" w:hAnsi="Times New Roman" w:eastAsia="宋体" w:cs="Times New Roman"/>
                <w:color w:val="000000" w:themeColor="text1"/>
                <w:sz w:val="24"/>
                <w:lang w:eastAsia="zh-CN"/>
                <w14:textFill>
                  <w14:solidFill>
                    <w14:schemeClr w14:val="tx1"/>
                  </w14:solidFill>
                </w14:textFill>
              </w:rPr>
              <w:t>饰废水</w:t>
            </w:r>
            <w:r>
              <w:rPr>
                <w:rFonts w:hint="default" w:ascii="Times New Roman" w:hAnsi="Times New Roman" w:eastAsia="宋体" w:cs="Times New Roman"/>
                <w:color w:val="000000" w:themeColor="text1"/>
                <w:sz w:val="24"/>
                <w:lang w:val="en-US" w:eastAsia="zh-CN"/>
                <w14:textFill>
                  <w14:solidFill>
                    <w14:schemeClr w14:val="tx1"/>
                  </w14:solidFill>
                </w14:textFill>
              </w:rPr>
              <w:t>经自建污水处理设施（处理工艺为混凝沉淀，处理能力为1t/d）处理后会伴随污泥产生，项目</w:t>
            </w:r>
            <w:r>
              <w:rPr>
                <w:rFonts w:hint="default" w:ascii="Times New Roman" w:hAnsi="Times New Roman" w:cs="Times New Roman"/>
                <w:color w:val="000000" w:themeColor="text1"/>
                <w:sz w:val="24"/>
                <w:lang w:eastAsia="zh-CN"/>
                <w14:textFill>
                  <w14:solidFill>
                    <w14:schemeClr w14:val="tx1"/>
                  </w14:solidFill>
                </w14:textFill>
              </w:rPr>
              <w:t>光</w:t>
            </w:r>
            <w:r>
              <w:rPr>
                <w:rFonts w:hint="default" w:ascii="Times New Roman" w:hAnsi="Times New Roman" w:eastAsia="宋体" w:cs="Times New Roman"/>
                <w:color w:val="000000" w:themeColor="text1"/>
                <w:sz w:val="24"/>
                <w:lang w:eastAsia="zh-CN"/>
                <w14:textFill>
                  <w14:solidFill>
                    <w14:schemeClr w14:val="tx1"/>
                  </w14:solidFill>
                </w14:textFill>
              </w:rPr>
              <w:t>饰废水产生量为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32.8t/a，废水中SS浓度从400</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mg/L处理到20mg/L，污泥含水率约80%，经计算，污泥产生量为0.06。</w:t>
            </w:r>
            <w:r>
              <w:rPr>
                <w:rFonts w:hint="default" w:ascii="Times New Roman" w:hAnsi="Times New Roman" w:eastAsia="宋体" w:cs="Times New Roman"/>
                <w:color w:val="000000" w:themeColor="text1"/>
                <w:sz w:val="24"/>
                <w:lang w:eastAsia="zh-CN"/>
                <w14:textFill>
                  <w14:solidFill>
                    <w14:schemeClr w14:val="tx1"/>
                  </w14:solidFill>
                </w14:textFill>
              </w:rPr>
              <w:t>污泥属于危险废物，危废类别为</w:t>
            </w:r>
            <w:r>
              <w:rPr>
                <w:rFonts w:hint="default" w:ascii="Times New Roman" w:hAnsi="Times New Roman" w:eastAsia="宋体" w:cs="Times New Roman"/>
                <w:color w:val="000000" w:themeColor="text1"/>
                <w:sz w:val="24"/>
                <w:lang w:val="en-US" w:eastAsia="zh-CN"/>
                <w14:textFill>
                  <w14:solidFill>
                    <w14:schemeClr w14:val="tx1"/>
                  </w14:solidFill>
                </w14:textFill>
              </w:rPr>
              <w:t>HW08废矿物油与含矿物油废物，危废代码为900-210-08（含油废水处理中隔油、气浮、沉淀等处理过程中产生的浮油、浮渣和污泥（不包括废水生化处理污泥）</w:t>
            </w:r>
            <w:r>
              <w:rPr>
                <w:rFonts w:hint="default" w:ascii="Times New Roman" w:hAnsi="Times New Roman" w:cs="Times New Roman"/>
                <w:color w:val="000000" w:themeColor="text1"/>
                <w:kern w:val="0"/>
                <w:sz w:val="24"/>
                <w:szCs w:val="20"/>
                <w:lang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，定期交</w:t>
            </w:r>
            <w:r>
              <w:rPr>
                <w:rFonts w:hint="default" w:ascii="Times New Roman" w:hAnsi="Times New Roman" w:cs="Times New Roman"/>
                <w:color w:val="000000" w:themeColor="text1"/>
                <w:sz w:val="24"/>
                <w14:textFill>
                  <w14:solidFill>
                    <w14:schemeClr w14:val="tx1"/>
                  </w14:solidFill>
                </w14:textFill>
              </w:rPr>
              <w:t>由</w:t>
            </w:r>
            <w:r>
              <w:rPr>
                <w:rFonts w:hint="default" w:ascii="Times New Roman" w:hAnsi="Times New Roman" w:cs="Times New Roman"/>
                <w:color w:val="000000" w:themeColor="text1"/>
                <w:sz w:val="24"/>
                <w:lang w:val="zh-CN"/>
                <w14:textFill>
                  <w14:solidFill>
                    <w14:schemeClr w14:val="tx1"/>
                  </w14:solidFill>
                </w14:textFill>
              </w:rPr>
              <w:t>有资质单位进行处理。</w:t>
            </w:r>
          </w:p>
          <w:p>
            <w:pPr>
              <w:keepNext w:val="0"/>
              <w:keepLines w:val="0"/>
              <w:widowControl/>
              <w:suppressLineNumbers w:val="0"/>
              <w:spacing w:line="360" w:lineRule="auto"/>
              <w:ind w:firstLine="480" w:firstLineChars="200"/>
              <w:jc w:val="left"/>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⑩</w:t>
            </w:r>
            <w:r>
              <w:rPr>
                <w:rFonts w:hint="default" w:ascii="Times New Roman" w:hAnsi="Times New Roman" w:cs="Times New Roman"/>
                <w:bCs/>
                <w:color w:val="000000" w:themeColor="text1"/>
                <w:sz w:val="24"/>
                <w:lang w:val="en-US" w:eastAsia="zh-CN"/>
                <w14:textFill>
                  <w14:solidFill>
                    <w14:schemeClr w14:val="tx1"/>
                  </w14:solidFill>
                </w14:textFill>
              </w:rPr>
              <w:t>废活性炭</w:t>
            </w:r>
          </w:p>
          <w:p>
            <w:pPr>
              <w:keepNext w:val="0"/>
              <w:keepLines w:val="0"/>
              <w:widowControl/>
              <w:suppressLineNumbers w:val="0"/>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根据项目有</w:t>
            </w:r>
            <w:r>
              <w:rPr>
                <w:rFonts w:hint="default" w:ascii="Times New Roman" w:hAnsi="Times New Roman" w:cs="Times New Roman"/>
                <w:bCs/>
                <w:color w:val="000000" w:themeColor="text1"/>
                <w:sz w:val="24"/>
                <w14:textFill>
                  <w14:solidFill>
                    <w14:schemeClr w14:val="tx1"/>
                  </w14:solidFill>
                </w14:textFill>
              </w:rPr>
              <w:t>机废气产生量与处理后排放量核算，项目活性炭年吸附处理有机废气</w:t>
            </w:r>
            <w:r>
              <w:rPr>
                <w:rFonts w:hint="default" w:ascii="Times New Roman" w:hAnsi="Times New Roman" w:eastAsia="宋体" w:cs="Times New Roman"/>
                <w:bCs/>
                <w:color w:val="000000" w:themeColor="text1"/>
                <w:sz w:val="24"/>
                <w14:textFill>
                  <w14:solidFill>
                    <w14:schemeClr w14:val="tx1"/>
                  </w14:solidFill>
                </w14:textFill>
              </w:rPr>
              <w:t>约</w:t>
            </w:r>
            <w:r>
              <w:rPr>
                <w:rFonts w:hint="default" w:ascii="Times New Roman" w:hAnsi="Times New Roman" w:eastAsia="宋体" w:cs="Times New Roman"/>
                <w:bCs/>
                <w:color w:val="000000" w:themeColor="text1"/>
                <w:sz w:val="24"/>
                <w:lang w:val="en-US" w:eastAsia="zh-CN"/>
                <w14:textFill>
                  <w14:solidFill>
                    <w14:schemeClr w14:val="tx1"/>
                  </w14:solidFill>
                </w14:textFill>
              </w:rPr>
              <w:t>0.373</w:t>
            </w:r>
            <w:r>
              <w:rPr>
                <w:rFonts w:hint="default" w:ascii="Times New Roman" w:hAnsi="Times New Roman" w:eastAsia="宋体" w:cs="Times New Roman"/>
                <w:bCs/>
                <w:color w:val="000000" w:themeColor="text1"/>
                <w:sz w:val="24"/>
                <w14:textFill>
                  <w14:solidFill>
                    <w14:schemeClr w14:val="tx1"/>
                  </w14:solidFill>
                </w14:textFill>
              </w:rPr>
              <w:t>t，</w:t>
            </w:r>
            <w:r>
              <w:rPr>
                <w:rFonts w:hint="default" w:ascii="Times New Roman" w:hAnsi="Times New Roman" w:cs="Times New Roman"/>
                <w:bCs/>
                <w:color w:val="000000" w:themeColor="text1"/>
                <w:sz w:val="24"/>
                <w14:textFill>
                  <w14:solidFill>
                    <w14:schemeClr w14:val="tx1"/>
                  </w14:solidFill>
                </w14:textFill>
              </w:rPr>
              <w:t>活性炭碘值&gt;800mg/g，每吨活性炭可净化有机废气0.3t，因此项目年用活性炭</w:t>
            </w:r>
            <w:r>
              <w:rPr>
                <w:rFonts w:hint="default" w:ascii="Times New Roman" w:hAnsi="Times New Roman" w:cs="Times New Roman"/>
                <w:bCs/>
                <w:color w:val="000000" w:themeColor="text1"/>
                <w:sz w:val="24"/>
                <w:lang w:val="en-US" w:eastAsia="zh-CN"/>
                <w14:textFill>
                  <w14:solidFill>
                    <w14:schemeClr w14:val="tx1"/>
                  </w14:solidFill>
                </w14:textFill>
              </w:rPr>
              <w:t>1.24</w:t>
            </w:r>
            <w:r>
              <w:rPr>
                <w:rFonts w:hint="default" w:ascii="Times New Roman" w:hAnsi="Times New Roman" w:cs="Times New Roman"/>
                <w:bCs/>
                <w:color w:val="000000" w:themeColor="text1"/>
                <w:sz w:val="24"/>
                <w14:textFill>
                  <w14:solidFill>
                    <w14:schemeClr w14:val="tx1"/>
                  </w14:solidFill>
                </w14:textFill>
              </w:rPr>
              <w:t>t，废活性炭量包括新活性炭及其吸附的有机废气，则废活性炭量理论产生量约</w:t>
            </w:r>
            <w:r>
              <w:rPr>
                <w:rFonts w:hint="default" w:ascii="Times New Roman" w:hAnsi="Times New Roman" w:cs="Times New Roman"/>
                <w:bCs/>
                <w:color w:val="000000" w:themeColor="text1"/>
                <w:sz w:val="24"/>
                <w:lang w:val="en-US" w:eastAsia="zh-CN"/>
                <w14:textFill>
                  <w14:solidFill>
                    <w14:schemeClr w14:val="tx1"/>
                  </w14:solidFill>
                </w14:textFill>
              </w:rPr>
              <w:t>1.613</w:t>
            </w:r>
            <w:r>
              <w:rPr>
                <w:rFonts w:hint="default" w:ascii="Times New Roman" w:hAnsi="Times New Roman" w:cs="Times New Roman"/>
                <w:bCs/>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活性炭更换频次：颗粒状活性炭的堆积密度约0.45～0.65g/cm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，本次评价取均值按0.5g/cm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。根据设计方案，活性炭碳箱截面积为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，活性炭厚0.3m，则一次填充量=0.5×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szCs w:val="24"/>
                <w14:textFill>
                  <w14:solidFill>
                    <w14:schemeClr w14:val="tx1"/>
                  </w14:solidFill>
                </w14:textFill>
              </w:rPr>
              <w:t>×0.3=0.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66</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则平均一年</w:t>
            </w:r>
            <w:r>
              <w:rPr>
                <w:rFonts w:hint="default" w:ascii="Times New Roman" w:hAnsi="Times New Roman" w:eastAsia="宋体" w:cs="Times New Roman"/>
                <w:color w:val="000000" w:themeColor="text1"/>
                <w:sz w:val="24"/>
                <w:szCs w:val="24"/>
                <w14:textFill>
                  <w14:solidFill>
                    <w14:schemeClr w14:val="tx1"/>
                  </w14:solidFill>
                </w14:textFill>
              </w:rPr>
              <w:t>更换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次活性炭</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项目危废库废气</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产生量较小，本次环评</w:t>
            </w:r>
            <w:r>
              <w:rPr>
                <w:rFonts w:hint="default" w:ascii="Times New Roman" w:hAnsi="Times New Roman" w:cs="Times New Roman"/>
                <w:color w:val="000000" w:themeColor="text1"/>
                <w:kern w:val="0"/>
                <w:sz w:val="24"/>
                <w:szCs w:val="20"/>
                <w:lang w:val="en-US" w:eastAsia="zh-CN"/>
                <w14:textFill>
                  <w14:solidFill>
                    <w14:schemeClr w14:val="tx1"/>
                  </w14:solidFill>
                </w14:textFill>
              </w:rPr>
              <w:t>未对</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其进行定量计算</w:t>
            </w:r>
            <w:r>
              <w:rPr>
                <w:rFonts w:hint="default" w:ascii="Times New Roman" w:hAnsi="Times New Roman" w:cs="Times New Roman"/>
                <w:color w:val="000000" w:themeColor="text1"/>
                <w:kern w:val="0"/>
                <w:sz w:val="24"/>
                <w:szCs w:val="20"/>
                <w:lang w:val="en-US" w:eastAsia="zh-CN"/>
                <w14:textFill>
                  <w14:solidFill>
                    <w14:schemeClr w14:val="tx1"/>
                  </w14:solidFill>
                </w14:textFill>
              </w:rPr>
              <w:t>，则危废库产生的有机废气平均一年更换一次活性炭。</w:t>
            </w:r>
            <w:r>
              <w:rPr>
                <w:rFonts w:hint="default" w:ascii="Times New Roman" w:hAnsi="Times New Roman" w:cs="Times New Roman"/>
                <w:bCs/>
                <w:color w:val="000000" w:themeColor="text1"/>
                <w:sz w:val="24"/>
                <w14:textFill>
                  <w14:solidFill>
                    <w14:schemeClr w14:val="tx1"/>
                  </w14:solidFill>
                </w14:textFill>
              </w:rPr>
              <w:t>产生的废活性炭属于危险废物，危废代码为HW49 900-039-49</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收集后暂存于厂区危废暂存场所，定期交由有资质的单位接收处理。</w:t>
            </w:r>
          </w:p>
          <w:p>
            <w:pPr>
              <w:keepNext w:val="0"/>
              <w:keepLines w:val="0"/>
              <w:widowControl/>
              <w:suppressLineNumbers w:val="0"/>
              <w:spacing w:line="360" w:lineRule="auto"/>
              <w:ind w:firstLine="480" w:firstLineChars="200"/>
              <w:jc w:val="left"/>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⑪</w:t>
            </w:r>
            <w:r>
              <w:rPr>
                <w:rFonts w:hint="default" w:ascii="Times New Roman" w:hAnsi="Times New Roman" w:cs="Times New Roman"/>
                <w:bCs/>
                <w:color w:val="000000" w:themeColor="text1"/>
                <w:sz w:val="24"/>
                <w:lang w:val="en-US" w:eastAsia="zh-CN"/>
                <w14:textFill>
                  <w14:solidFill>
                    <w14:schemeClr w14:val="tx1"/>
                  </w14:solidFill>
                </w14:textFill>
              </w:rPr>
              <w:t>油雾净化器收集的废油</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类比同类项目</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油雾净化器收集的废油产生量为0.05t/a。项目油雾净化器收集的废油属于危废，</w:t>
            </w:r>
            <w:r>
              <w:rPr>
                <w:rFonts w:hint="default" w:ascii="Times New Roman" w:hAnsi="Times New Roman" w:eastAsia="宋体" w:cs="Times New Roman"/>
                <w:color w:val="000000" w:themeColor="text1"/>
                <w:sz w:val="24"/>
                <w:lang w:val="en-US" w:eastAsia="zh-CN"/>
                <w14:textFill>
                  <w14:solidFill>
                    <w14:schemeClr w14:val="tx1"/>
                  </w14:solidFill>
                </w14:textFill>
              </w:rPr>
              <w:t>危废类别为HW08废矿物油与含矿物油废物，危废代码为</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900-214-08（车辆、轮船及其它机械维修过程中产生的废发动机油、制动器油、自动变速器油、齿轮油等废润滑油）</w:t>
            </w:r>
            <w:r>
              <w:rPr>
                <w:rFonts w:hint="default" w:ascii="Times New Roman" w:hAnsi="Times New Roman" w:cs="Times New Roman"/>
                <w:color w:val="000000" w:themeColor="text1"/>
                <w:sz w:val="24"/>
                <w:lang w:val="zh-CN"/>
                <w14:textFill>
                  <w14:solidFill>
                    <w14:schemeClr w14:val="tx1"/>
                  </w14:solidFill>
                </w14:textFill>
              </w:rPr>
              <w:t>收集后暂存于厂区</w:t>
            </w:r>
            <w:r>
              <w:rPr>
                <w:rFonts w:hint="default" w:ascii="Times New Roman" w:hAnsi="Times New Roman" w:cs="Times New Roman"/>
                <w:color w:val="000000" w:themeColor="text1"/>
                <w:sz w:val="24"/>
                <w14:textFill>
                  <w14:solidFill>
                    <w14:schemeClr w14:val="tx1"/>
                  </w14:solidFill>
                </w14:textFill>
              </w:rPr>
              <w:t>危险废物暂存场所</w:t>
            </w:r>
            <w:r>
              <w:rPr>
                <w:rFonts w:hint="default" w:ascii="Times New Roman" w:hAnsi="Times New Roman"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定期交有资质单位进行处理。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⑫含油手套及抹布</w:t>
            </w:r>
          </w:p>
          <w:p>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根据建设单位提供的资料，含油手套及抹布产生量约为0.05t/a，根据《国家危险废物名录》（2021年版），含油手套及抹布属于危险废物，</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危废类别为HW49其他废物，危废代码为900-041-49（含有或沾染毒性、感染性危险废物的废弃包装物、容器、过滤吸附介质）。</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混入生活垃圾内，委托环卫部门定期清运处置。</w:t>
            </w:r>
          </w:p>
          <w:p>
            <w:pPr>
              <w:pStyle w:val="14"/>
              <w:spacing w:before="0" w:after="0" w:line="360" w:lineRule="auto"/>
              <w:ind w:right="0"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项目固废产生及排放情况见表4-</w:t>
            </w:r>
            <w:r>
              <w:rPr>
                <w:rFonts w:hint="default" w:ascii="Times New Roman" w:hAnsi="Times New Roman"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w:t>
            </w:r>
          </w:p>
          <w:p>
            <w:pPr>
              <w:spacing w:before="100" w:beforeAutospacing="1"/>
              <w:jc w:val="center"/>
              <w:rPr>
                <w:rFonts w:hint="default" w:ascii="Times New Roman" w:hAnsi="Times New Roman" w:cs="Times New Roman"/>
                <w:b/>
                <w:color w:val="000000" w:themeColor="text1"/>
                <w:kern w:val="0"/>
                <w:sz w:val="24"/>
                <w:szCs w:val="20"/>
                <w14:textFill>
                  <w14:solidFill>
                    <w14:schemeClr w14:val="tx1"/>
                  </w14:solidFill>
                </w14:textFill>
              </w:rPr>
            </w:pPr>
          </w:p>
          <w:p>
            <w:pPr>
              <w:spacing w:before="100" w:beforeAutospacing="1"/>
              <w:jc w:val="center"/>
              <w:rPr>
                <w:rFonts w:hint="default" w:ascii="Times New Roman" w:hAnsi="Times New Roman" w:cs="Times New Roman"/>
                <w:b/>
                <w:color w:val="000000" w:themeColor="text1"/>
                <w:kern w:val="0"/>
                <w:sz w:val="24"/>
                <w:szCs w:val="20"/>
                <w14:textFill>
                  <w14:solidFill>
                    <w14:schemeClr w14:val="tx1"/>
                  </w14:solidFill>
                </w14:textFill>
              </w:rPr>
            </w:pPr>
          </w:p>
          <w:p>
            <w:pPr>
              <w:spacing w:before="100" w:beforeAutospacing="1"/>
              <w:jc w:val="center"/>
              <w:rPr>
                <w:rFonts w:hint="default" w:ascii="Times New Roman" w:hAnsi="Times New Roman" w:cs="Times New Roman"/>
                <w:b/>
                <w:color w:val="000000" w:themeColor="text1"/>
                <w:kern w:val="0"/>
                <w:sz w:val="24"/>
                <w:szCs w:val="20"/>
                <w14:textFill>
                  <w14:solidFill>
                    <w14:schemeClr w14:val="tx1"/>
                  </w14:solidFill>
                </w14:textFill>
              </w:rPr>
            </w:pPr>
            <w:r>
              <w:rPr>
                <w:rFonts w:hint="default" w:ascii="Times New Roman" w:hAnsi="Times New Roman" w:cs="Times New Roman"/>
                <w:b/>
                <w:color w:val="000000" w:themeColor="text1"/>
                <w:kern w:val="0"/>
                <w:sz w:val="24"/>
                <w:szCs w:val="20"/>
                <w14:textFill>
                  <w14:solidFill>
                    <w14:schemeClr w14:val="tx1"/>
                  </w14:solidFill>
                </w14:textFill>
              </w:rPr>
              <w:t>表4-</w:t>
            </w:r>
            <w:r>
              <w:rPr>
                <w:rFonts w:hint="default" w:ascii="Times New Roman" w:hAnsi="Times New Roman" w:cs="Times New Roman"/>
                <w:b/>
                <w:color w:val="000000" w:themeColor="text1"/>
                <w:kern w:val="0"/>
                <w:sz w:val="24"/>
                <w:szCs w:val="20"/>
                <w:lang w:val="en-US" w:eastAsia="zh-CN"/>
                <w14:textFill>
                  <w14:solidFill>
                    <w14:schemeClr w14:val="tx1"/>
                  </w14:solidFill>
                </w14:textFill>
              </w:rPr>
              <w:t>26</w:t>
            </w:r>
            <w:r>
              <w:rPr>
                <w:rFonts w:hint="default" w:ascii="Times New Roman" w:hAnsi="Times New Roman" w:cs="Times New Roman"/>
                <w:b/>
                <w:color w:val="000000" w:themeColor="text1"/>
                <w:kern w:val="0"/>
                <w:sz w:val="24"/>
                <w:szCs w:val="20"/>
                <w14:textFill>
                  <w14:solidFill>
                    <w14:schemeClr w14:val="tx1"/>
                  </w14:solidFill>
                </w14:textFill>
              </w:rPr>
              <w:t xml:space="preserve">  固体废弃物处理措施一览表</w:t>
            </w:r>
          </w:p>
          <w:tbl>
            <w:tblPr>
              <w:tblStyle w:val="3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18"/>
              <w:gridCol w:w="1488"/>
              <w:gridCol w:w="734"/>
              <w:gridCol w:w="734"/>
              <w:gridCol w:w="911"/>
              <w:gridCol w:w="938"/>
              <w:gridCol w:w="938"/>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7" w:type="pct"/>
                  <w:vAlign w:val="center"/>
                </w:tcPr>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固废种类</w:t>
                  </w:r>
                </w:p>
              </w:tc>
              <w:tc>
                <w:tcPr>
                  <w:tcW w:w="745" w:type="pct"/>
                  <w:vAlign w:val="center"/>
                </w:tcPr>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固废名称</w:t>
                  </w:r>
                </w:p>
              </w:tc>
              <w:tc>
                <w:tcPr>
                  <w:tcW w:w="841" w:type="pct"/>
                  <w:vAlign w:val="center"/>
                </w:tcPr>
                <w:p>
                  <w:pPr>
                    <w:widowControl/>
                    <w:jc w:val="center"/>
                    <w:textAlignment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分类编号</w:t>
                  </w:r>
                </w:p>
              </w:tc>
              <w:tc>
                <w:tcPr>
                  <w:tcW w:w="415" w:type="pct"/>
                  <w:vAlign w:val="center"/>
                </w:tcPr>
                <w:p>
                  <w:pPr>
                    <w:widowControl/>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有害成分</w:t>
                  </w:r>
                </w:p>
              </w:tc>
              <w:tc>
                <w:tcPr>
                  <w:tcW w:w="415" w:type="pct"/>
                  <w:vAlign w:val="center"/>
                </w:tcPr>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物理性状</w:t>
                  </w:r>
                </w:p>
              </w:tc>
              <w:tc>
                <w:tcPr>
                  <w:tcW w:w="515" w:type="pct"/>
                  <w:vAlign w:val="center"/>
                </w:tcPr>
                <w:p>
                  <w:pPr>
                    <w:pStyle w:val="38"/>
                    <w:spacing w:line="360" w:lineRule="exact"/>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环境</w:t>
                  </w:r>
                </w:p>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危险性</w:t>
                  </w:r>
                </w:p>
              </w:tc>
              <w:tc>
                <w:tcPr>
                  <w:tcW w:w="530" w:type="pct"/>
                  <w:vAlign w:val="center"/>
                </w:tcPr>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产生量（t/a）</w:t>
                  </w:r>
                </w:p>
              </w:tc>
              <w:tc>
                <w:tcPr>
                  <w:tcW w:w="530" w:type="pct"/>
                  <w:vAlign w:val="center"/>
                </w:tcPr>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排放量（t/a）</w:t>
                  </w:r>
                </w:p>
              </w:tc>
              <w:tc>
                <w:tcPr>
                  <w:tcW w:w="749" w:type="pct"/>
                  <w:vAlign w:val="center"/>
                </w:tcPr>
                <w:p>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处置途径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restar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一般固废</w:t>
                  </w:r>
                </w:p>
              </w:tc>
              <w:tc>
                <w:tcPr>
                  <w:tcW w:w="745" w:type="pct"/>
                  <w:vAlign w:val="center"/>
                </w:tcPr>
                <w:p>
                  <w:pPr>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废边角料</w:t>
                  </w:r>
                  <w:r>
                    <w:rPr>
                      <w:rFonts w:hint="default" w:ascii="Times New Roman" w:hAnsi="Times New Roman" w:cs="Times New Roman"/>
                      <w:color w:val="000000" w:themeColor="text1"/>
                      <w:spacing w:val="-4"/>
                      <w:sz w:val="21"/>
                      <w:szCs w:val="21"/>
                      <w:lang w:eastAsia="zh-CN"/>
                      <w14:textFill>
                        <w14:solidFill>
                          <w14:schemeClr w14:val="tx1"/>
                        </w14:solidFill>
                      </w14:textFill>
                    </w:rPr>
                    <w:t>、废铝屑</w:t>
                  </w:r>
                </w:p>
              </w:tc>
              <w:tc>
                <w:tcPr>
                  <w:tcW w:w="841" w:type="pct"/>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900-002-S17</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收集后</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回用于</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废包装材料</w:t>
                  </w:r>
                </w:p>
              </w:tc>
              <w:tc>
                <w:tcPr>
                  <w:tcW w:w="841"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900-003-S17</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Merge w:val="restart"/>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废滤渣</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、废滤芯</w:t>
                  </w:r>
                </w:p>
              </w:tc>
              <w:tc>
                <w:tcPr>
                  <w:tcW w:w="841"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900-009-S59</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Merge w:val="continue"/>
                  <w:vAlign w:val="center"/>
                </w:tcPr>
                <w:p>
                  <w:pPr>
                    <w:widowControl/>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不合格品</w:t>
                  </w:r>
                </w:p>
              </w:tc>
              <w:tc>
                <w:tcPr>
                  <w:tcW w:w="841" w:type="pct"/>
                  <w:vAlign w:val="center"/>
                </w:tcPr>
                <w:p>
                  <w:pPr>
                    <w:widowControl/>
                    <w:jc w:val="center"/>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900-099-S59</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10</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Align w:val="center"/>
                </w:tcPr>
                <w:p>
                  <w:pPr>
                    <w:widowControl/>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收集后</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回用于</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废钢丸</w:t>
                  </w:r>
                </w:p>
              </w:tc>
              <w:tc>
                <w:tcPr>
                  <w:tcW w:w="841"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900-099-S59</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0.01</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Merge w:val="restart"/>
                  <w:vAlign w:val="center"/>
                </w:tcPr>
                <w:p>
                  <w:pPr>
                    <w:widowControl/>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抛丸除尘装置收集的粉尘</w:t>
                  </w:r>
                </w:p>
              </w:tc>
              <w:tc>
                <w:tcPr>
                  <w:tcW w:w="841"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900-099-S59</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Merge w:val="continue"/>
                  <w:vAlign w:val="center"/>
                </w:tcPr>
                <w:p>
                  <w:pPr>
                    <w:widowControl/>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restar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危险废物</w:t>
                  </w:r>
                </w:p>
              </w:tc>
              <w:tc>
                <w:tcPr>
                  <w:tcW w:w="745" w:type="pct"/>
                  <w:vAlign w:val="center"/>
                </w:tcPr>
                <w:p>
                  <w:pPr>
                    <w:jc w:val="center"/>
                    <w:rPr>
                      <w:rFonts w:hint="default" w:ascii="Times New Roman" w:hAnsi="Times New Roman" w:eastAsia="宋体" w:cs="Times New Roman"/>
                      <w:color w:val="000000" w:themeColor="text1"/>
                      <w:spacing w:val="-4"/>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841" w:type="pct"/>
                  <w:vAlign w:val="center"/>
                </w:tcPr>
                <w:p>
                  <w:pPr>
                    <w:widowControl/>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HW48 </w:t>
                  </w:r>
                  <w:r>
                    <w:rPr>
                      <w:rFonts w:hint="default" w:ascii="Times New Roman" w:hAnsi="Times New Roman" w:eastAsia="宋体" w:cs="Times New Roman"/>
                      <w:color w:val="000000" w:themeColor="text1"/>
                      <w:kern w:val="0"/>
                      <w:szCs w:val="21"/>
                      <w:lang w:eastAsia="zh-CN"/>
                      <w14:textFill>
                        <w14:solidFill>
                          <w14:schemeClr w14:val="tx1"/>
                        </w14:solidFill>
                      </w14:textFill>
                    </w:rPr>
                    <w:t>321-02</w:t>
                  </w:r>
                  <w:r>
                    <w:rPr>
                      <w:rFonts w:hint="default" w:ascii="Times New Roman" w:hAnsi="Times New Roman" w:cs="Times New Roman"/>
                      <w:color w:val="000000" w:themeColor="text1"/>
                      <w:kern w:val="0"/>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1"/>
                      <w:lang w:eastAsia="zh-CN"/>
                      <w14:textFill>
                        <w14:solidFill>
                          <w14:schemeClr w14:val="tx1"/>
                        </w14:solidFill>
                      </w14:textFill>
                    </w:rPr>
                    <w:t>-48</w:t>
                  </w:r>
                </w:p>
              </w:tc>
              <w:tc>
                <w:tcPr>
                  <w:tcW w:w="415" w:type="pct"/>
                  <w:vAlign w:val="center"/>
                </w:tcPr>
                <w:p>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R，T</w:t>
                  </w:r>
                </w:p>
              </w:tc>
              <w:tc>
                <w:tcPr>
                  <w:tcW w:w="530" w:type="pct"/>
                  <w:vAlign w:val="center"/>
                </w:tcPr>
                <w:p>
                  <w:pPr>
                    <w:widowControl/>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Merge w:val="restart"/>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定期委托有资质单位处理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HW48 </w:t>
                  </w:r>
                  <w:r>
                    <w:rPr>
                      <w:rFonts w:hint="default" w:ascii="Times New Roman" w:hAnsi="Times New Roman" w:eastAsia="宋体" w:cs="Times New Roman"/>
                      <w:color w:val="000000" w:themeColor="text1"/>
                      <w:kern w:val="0"/>
                      <w:szCs w:val="21"/>
                      <w:lang w:eastAsia="zh-CN"/>
                      <w14:textFill>
                        <w14:solidFill>
                          <w14:schemeClr w14:val="tx1"/>
                        </w14:solidFill>
                      </w14:textFill>
                    </w:rPr>
                    <w:t>321-0</w:t>
                  </w:r>
                  <w:r>
                    <w:rPr>
                      <w:rFonts w:hint="default" w:ascii="Times New Roman" w:hAnsi="Times New Roman" w:cs="Times New Roman"/>
                      <w:color w:val="000000" w:themeColor="text1"/>
                      <w:kern w:val="0"/>
                      <w:szCs w:val="21"/>
                      <w:lang w:val="en-US" w:eastAsia="zh-CN"/>
                      <w14:textFill>
                        <w14:solidFill>
                          <w14:schemeClr w14:val="tx1"/>
                        </w14:solidFill>
                      </w14:textFill>
                    </w:rPr>
                    <w:t>34</w:t>
                  </w:r>
                  <w:r>
                    <w:rPr>
                      <w:rFonts w:hint="default" w:ascii="Times New Roman" w:hAnsi="Times New Roman" w:eastAsia="宋体" w:cs="Times New Roman"/>
                      <w:color w:val="000000" w:themeColor="text1"/>
                      <w:kern w:val="0"/>
                      <w:szCs w:val="21"/>
                      <w:lang w:eastAsia="zh-CN"/>
                      <w14:textFill>
                        <w14:solidFill>
                          <w14:schemeClr w14:val="tx1"/>
                        </w14:solidFill>
                      </w14:textFill>
                    </w:rPr>
                    <w:t>-48</w:t>
                  </w:r>
                </w:p>
              </w:tc>
              <w:tc>
                <w:tcPr>
                  <w:tcW w:w="415"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415" w:type="pct"/>
                  <w:vAlign w:val="center"/>
                </w:tcPr>
                <w:p>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R</w:t>
                  </w:r>
                </w:p>
              </w:tc>
              <w:tc>
                <w:tcPr>
                  <w:tcW w:w="530" w:type="pct"/>
                  <w:vAlign w:val="center"/>
                </w:tcPr>
                <w:p>
                  <w:pPr>
                    <w:widowControl/>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HW08 900-21</w:t>
                  </w:r>
                  <w:r>
                    <w:rPr>
                      <w:rFonts w:hint="default" w:ascii="Times New Roman" w:hAnsi="Times New Roman" w:cs="Times New Roman"/>
                      <w:color w:val="000000" w:themeColor="text1"/>
                      <w:kern w:val="0"/>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-08</w:t>
                  </w:r>
                </w:p>
              </w:tc>
              <w:tc>
                <w:tcPr>
                  <w:tcW w:w="415" w:type="pct"/>
                  <w:vAlign w:val="center"/>
                </w:tcPr>
                <w:p>
                  <w:pPr>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废脱模剂</w:t>
                  </w:r>
                </w:p>
              </w:tc>
              <w:tc>
                <w:tcPr>
                  <w:tcW w:w="415"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液态</w:t>
                  </w:r>
                </w:p>
              </w:tc>
              <w:tc>
                <w:tcPr>
                  <w:tcW w:w="51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w:t>
                  </w:r>
                </w:p>
              </w:tc>
              <w:tc>
                <w:tcPr>
                  <w:tcW w:w="530" w:type="pct"/>
                  <w:vAlign w:val="center"/>
                </w:tcPr>
                <w:p>
                  <w:pPr>
                    <w:widowControl/>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废机油</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HW08 900-214-08</w:t>
                  </w:r>
                </w:p>
              </w:tc>
              <w:tc>
                <w:tcPr>
                  <w:tcW w:w="415" w:type="pct"/>
                  <w:vAlign w:val="center"/>
                </w:tcPr>
                <w:p>
                  <w:pPr>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废机油</w:t>
                  </w:r>
                </w:p>
              </w:tc>
              <w:tc>
                <w:tcPr>
                  <w:tcW w:w="415"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液态</w:t>
                  </w:r>
                </w:p>
              </w:tc>
              <w:tc>
                <w:tcPr>
                  <w:tcW w:w="515"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w:t>
                  </w:r>
                </w:p>
              </w:tc>
              <w:tc>
                <w:tcPr>
                  <w:tcW w:w="530"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HW49 900-041-49</w:t>
                  </w:r>
                </w:p>
              </w:tc>
              <w:tc>
                <w:tcPr>
                  <w:tcW w:w="415" w:type="pct"/>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废矿物油</w:t>
                  </w:r>
                </w:p>
              </w:tc>
              <w:tc>
                <w:tcPr>
                  <w:tcW w:w="415"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T/In</w:t>
                  </w:r>
                </w:p>
              </w:tc>
              <w:tc>
                <w:tcPr>
                  <w:tcW w:w="530"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含油</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铝屑</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HW09 900-006-09</w:t>
                  </w:r>
                </w:p>
              </w:tc>
              <w:tc>
                <w:tcPr>
                  <w:tcW w:w="415" w:type="pct"/>
                  <w:vAlign w:val="center"/>
                </w:tcPr>
                <w:p>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废切削液</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w:t>
                  </w:r>
                </w:p>
              </w:tc>
              <w:tc>
                <w:tcPr>
                  <w:tcW w:w="530"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含油木屑</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HW49 900-041-49</w:t>
                  </w:r>
                </w:p>
              </w:tc>
              <w:tc>
                <w:tcPr>
                  <w:tcW w:w="415" w:type="pct"/>
                  <w:vAlign w:val="center"/>
                </w:tcPr>
                <w:p>
                  <w:pPr>
                    <w:widowControl/>
                    <w:adjustRightInd w:val="0"/>
                    <w:spacing w:line="360" w:lineRule="exact"/>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废矿物油</w:t>
                  </w:r>
                </w:p>
              </w:tc>
              <w:tc>
                <w:tcPr>
                  <w:tcW w:w="4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T/In</w:t>
                  </w:r>
                </w:p>
              </w:tc>
              <w:tc>
                <w:tcPr>
                  <w:tcW w:w="530"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c>
                <w:tcPr>
                  <w:tcW w:w="530"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HW09 900-006-09</w:t>
                  </w:r>
                </w:p>
              </w:tc>
              <w:tc>
                <w:tcPr>
                  <w:tcW w:w="415"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废切削液</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w:t>
                  </w:r>
                </w:p>
              </w:tc>
              <w:tc>
                <w:tcPr>
                  <w:tcW w:w="530"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污泥</w:t>
                  </w:r>
                </w:p>
              </w:tc>
              <w:tc>
                <w:tcPr>
                  <w:tcW w:w="841"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HW08 900-21</w:t>
                  </w:r>
                  <w:r>
                    <w:rPr>
                      <w:rFonts w:hint="default" w:ascii="Times New Roman" w:hAnsi="Times New Roman" w:cs="Times New Roman"/>
                      <w:color w:val="000000" w:themeColor="text1"/>
                      <w:kern w:val="0"/>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-08</w:t>
                  </w:r>
                </w:p>
              </w:tc>
              <w:tc>
                <w:tcPr>
                  <w:tcW w:w="415" w:type="pct"/>
                  <w:vAlign w:val="center"/>
                </w:tcPr>
                <w:p>
                  <w:pPr>
                    <w:jc w:val="cente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污泥</w:t>
                  </w:r>
                </w:p>
              </w:tc>
              <w:tc>
                <w:tcPr>
                  <w:tcW w:w="415"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液态</w:t>
                  </w:r>
                </w:p>
              </w:tc>
              <w:tc>
                <w:tcPr>
                  <w:tcW w:w="515"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w:t>
                  </w:r>
                </w:p>
              </w:tc>
              <w:tc>
                <w:tcPr>
                  <w:tcW w:w="530"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废活性炭</w:t>
                  </w:r>
                </w:p>
              </w:tc>
              <w:tc>
                <w:tcPr>
                  <w:tcW w:w="8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HW49 900-039-49</w:t>
                  </w:r>
                </w:p>
              </w:tc>
              <w:tc>
                <w:tcPr>
                  <w:tcW w:w="415" w:type="pct"/>
                  <w:vAlign w:val="center"/>
                </w:tcPr>
                <w:p>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挥发性有机物</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w:t>
                  </w:r>
                </w:p>
              </w:tc>
              <w:tc>
                <w:tcPr>
                  <w:tcW w:w="530"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油雾净化器收集的废油</w:t>
                  </w:r>
                </w:p>
              </w:tc>
              <w:tc>
                <w:tcPr>
                  <w:tcW w:w="841"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HW08 900-214-08</w:t>
                  </w:r>
                </w:p>
              </w:tc>
              <w:tc>
                <w:tcPr>
                  <w:tcW w:w="415" w:type="pct"/>
                  <w:vAlign w:val="center"/>
                </w:tcPr>
                <w:p>
                  <w:pPr>
                    <w:jc w:val="cente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矿物油</w:t>
                  </w:r>
                </w:p>
              </w:tc>
              <w:tc>
                <w:tcPr>
                  <w:tcW w:w="415"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液态</w:t>
                  </w:r>
                </w:p>
              </w:tc>
              <w:tc>
                <w:tcPr>
                  <w:tcW w:w="515"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w:t>
                  </w:r>
                </w:p>
              </w:tc>
              <w:tc>
                <w:tcPr>
                  <w:tcW w:w="530"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Merge w:val="continue"/>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7" w:type="pct"/>
                  <w:vMerge w:val="continue"/>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745"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p>
              </w:tc>
              <w:tc>
                <w:tcPr>
                  <w:tcW w:w="841" w:type="pct"/>
                  <w:vAlign w:val="center"/>
                </w:tcPr>
                <w:p>
                  <w:pPr>
                    <w:pStyle w:val="38"/>
                    <w:keepNext w:val="0"/>
                    <w:keepLines w:val="0"/>
                    <w:pageBreakBefore w:val="0"/>
                    <w:kinsoku/>
                    <w:wordWrap/>
                    <w:overflowPunct/>
                    <w:topLinePunct w:val="0"/>
                    <w:bidi w:val="0"/>
                    <w:snapToGrid/>
                    <w:spacing w:line="240" w:lineRule="auto"/>
                    <w:ind w:left="-42" w:leftChars="-20" w:right="-42" w:rightChars="-20"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HW49</w:t>
                  </w:r>
                </w:p>
                <w:p>
                  <w:pPr>
                    <w:pStyle w:val="38"/>
                    <w:keepNext w:val="0"/>
                    <w:keepLines w:val="0"/>
                    <w:pageBreakBefore w:val="0"/>
                    <w:kinsoku/>
                    <w:wordWrap/>
                    <w:overflowPunct/>
                    <w:topLinePunct w:val="0"/>
                    <w:bidi w:val="0"/>
                    <w:snapToGrid/>
                    <w:spacing w:line="240" w:lineRule="auto"/>
                    <w:ind w:left="-42" w:leftChars="-20" w:right="-42" w:rightChars="-2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41</w:t>
                  </w:r>
                  <w:r>
                    <w:rPr>
                      <w:rFonts w:hint="default" w:ascii="Times New Roman" w:hAnsi="Times New Roman" w:eastAsia="宋体" w:cs="Times New Roman"/>
                      <w:b w:val="0"/>
                      <w:bCs/>
                      <w:color w:val="000000" w:themeColor="text1"/>
                      <w:sz w:val="21"/>
                      <w:szCs w:val="21"/>
                      <w14:textFill>
                        <w14:solidFill>
                          <w14:schemeClr w14:val="tx1"/>
                        </w14:solidFill>
                      </w14:textFill>
                    </w:rPr>
                    <w:t>-49</w:t>
                  </w:r>
                </w:p>
              </w:tc>
              <w:tc>
                <w:tcPr>
                  <w:tcW w:w="415" w:type="pct"/>
                  <w:vAlign w:val="center"/>
                </w:tcPr>
                <w:p>
                  <w:pPr>
                    <w:jc w:val="cente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废油</w:t>
                  </w:r>
                </w:p>
              </w:tc>
              <w:tc>
                <w:tcPr>
                  <w:tcW w:w="415"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液态</w:t>
                  </w:r>
                </w:p>
              </w:tc>
              <w:tc>
                <w:tcPr>
                  <w:tcW w:w="515"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T，I</w:t>
                  </w:r>
                </w:p>
              </w:tc>
              <w:tc>
                <w:tcPr>
                  <w:tcW w:w="530"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p>
              </w:tc>
              <w:tc>
                <w:tcPr>
                  <w:tcW w:w="749" w:type="pct"/>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02" w:type="pct"/>
                  <w:gridSpan w:val="2"/>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841" w:type="pct"/>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900-099-S64</w:t>
                  </w:r>
                </w:p>
              </w:tc>
              <w:tc>
                <w:tcPr>
                  <w:tcW w:w="41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4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固态</w:t>
                  </w:r>
                </w:p>
              </w:tc>
              <w:tc>
                <w:tcPr>
                  <w:tcW w:w="51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53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w:t>
                  </w:r>
                </w:p>
              </w:tc>
              <w:tc>
                <w:tcPr>
                  <w:tcW w:w="530" w:type="pct"/>
                  <w:vAlign w:val="center"/>
                </w:tcPr>
                <w:p>
                  <w:pPr>
                    <w:widowControl/>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0</w:t>
                  </w:r>
                </w:p>
              </w:tc>
              <w:tc>
                <w:tcPr>
                  <w:tcW w:w="749" w:type="pct"/>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环卫部门定期清运处理</w:t>
                  </w:r>
                </w:p>
              </w:tc>
            </w:tr>
          </w:tbl>
          <w:p>
            <w:pPr>
              <w:snapToGrid w:val="0"/>
              <w:spacing w:before="100" w:beforeAutospacing="1" w:line="360" w:lineRule="auto"/>
              <w:ind w:firstLine="472" w:firstLineChars="196"/>
              <w:outlineLvl w:val="3"/>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2、一般固废环境影响分析</w:t>
            </w:r>
            <w:r>
              <w:rPr>
                <w:rFonts w:hint="default" w:ascii="Times New Roman" w:hAnsi="Times New Roman" w:cs="Times New Roman"/>
                <w:b/>
                <w:bCs/>
                <w:color w:val="000000" w:themeColor="text1"/>
                <w:sz w:val="24"/>
                <w14:textFill>
                  <w14:solidFill>
                    <w14:schemeClr w14:val="tx1"/>
                  </w14:solidFill>
                </w14:textFill>
              </w:rPr>
              <w:t>和保护措施</w:t>
            </w:r>
          </w:p>
          <w:p>
            <w:pPr>
              <w:widowControl/>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一般工业固废临时堆放场根据</w:t>
            </w:r>
            <w:r>
              <w:rPr>
                <w:rFonts w:hint="default" w:ascii="Times New Roman" w:hAnsi="Times New Roman" w:cs="Times New Roman"/>
                <w:color w:val="000000" w:themeColor="text1"/>
                <w:sz w:val="24"/>
                <w14:textFill>
                  <w14:solidFill>
                    <w14:schemeClr w14:val="tx1"/>
                  </w14:solidFill>
                </w14:textFill>
              </w:rPr>
              <w:t>《一般工业固体废物贮存和填埋污染控制标准》（GB18599-2020）</w:t>
            </w:r>
            <w:r>
              <w:rPr>
                <w:rFonts w:hint="default" w:ascii="Times New Roman" w:hAnsi="Times New Roman" w:cs="Times New Roman"/>
                <w:color w:val="000000" w:themeColor="text1"/>
                <w:kern w:val="0"/>
                <w:sz w:val="24"/>
                <w14:textFill>
                  <w14:solidFill>
                    <w14:schemeClr w14:val="tx1"/>
                  </w14:solidFill>
                </w14:textFill>
              </w:rPr>
              <w:t>中的要求规范化建设，固废临时贮存场满足如下要求：</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①临时堆放场应选在防渗性能好的地基上天然基础层地表距地下水位的距离不得小于1.5m。临时堆放场四周应建有围墙，防止固废流失以及造成粉尘污染。</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②临时堆放场应建有防雨淋、防渗透措施。本项目储存在钢结构仓库内，地面进行硬化，可以满足防雨淋、防渗透要求。</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③为了便于管理，临时堆放场应《环境保护图形标识—固体废物贮存（处置）场》（按GB15562.2-1995）设置环境保护图形标志。</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企业在生产过程中，应加强一般固废库的管理，定点收集堆存，并及时处理，不会对环境造成不利影响。</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eastAsia="zh-CN"/>
                <w14:textFill>
                  <w14:solidFill>
                    <w14:schemeClr w14:val="tx1"/>
                  </w14:solidFill>
                </w14:textFill>
              </w:rPr>
              <w:t>一般工业固废</w:t>
            </w:r>
            <w:r>
              <w:rPr>
                <w:rFonts w:hint="default" w:ascii="Times New Roman" w:hAnsi="Times New Roman" w:cs="Times New Roman"/>
                <w:color w:val="000000" w:themeColor="text1"/>
                <w:sz w:val="24"/>
                <w14:textFill>
                  <w14:solidFill>
                    <w14:schemeClr w14:val="tx1"/>
                  </w14:solidFill>
                </w14:textFill>
              </w:rPr>
              <w:t>贮存场所的名称、位置、占地面积、贮存方式、贮存容积、贮存周期等基本信息见下表。</w:t>
            </w:r>
          </w:p>
          <w:p>
            <w:pPr>
              <w:topLinePunct/>
              <w:adjustRightInd w:val="0"/>
              <w:snapToGrid w:val="0"/>
              <w:spacing w:before="100" w:beforeAutospacing="1"/>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27</w:t>
            </w:r>
            <w:r>
              <w:rPr>
                <w:rFonts w:hint="default" w:ascii="Times New Roman" w:hAnsi="Times New Roman" w:cs="Times New Roman"/>
                <w:b/>
                <w:color w:val="000000" w:themeColor="text1"/>
                <w:sz w:val="24"/>
                <w14:textFill>
                  <w14:solidFill>
                    <w14:schemeClr w14:val="tx1"/>
                  </w14:solidFill>
                </w14:textFill>
              </w:rPr>
              <w:t xml:space="preserve">  建设项目</w:t>
            </w:r>
            <w:r>
              <w:rPr>
                <w:rFonts w:hint="default" w:ascii="Times New Roman" w:hAnsi="Times New Roman" w:cs="Times New Roman"/>
                <w:b/>
                <w:color w:val="000000" w:themeColor="text1"/>
                <w:sz w:val="24"/>
                <w:lang w:eastAsia="zh-CN"/>
                <w14:textFill>
                  <w14:solidFill>
                    <w14:schemeClr w14:val="tx1"/>
                  </w14:solidFill>
                </w14:textFill>
              </w:rPr>
              <w:t>一般工业固废</w:t>
            </w:r>
            <w:r>
              <w:rPr>
                <w:rFonts w:hint="default" w:ascii="Times New Roman" w:hAnsi="Times New Roman" w:cs="Times New Roman"/>
                <w:b/>
                <w:color w:val="000000" w:themeColor="text1"/>
                <w:sz w:val="24"/>
                <w14:textFill>
                  <w14:solidFill>
                    <w14:schemeClr w14:val="tx1"/>
                  </w14:solidFill>
                </w14:textFill>
              </w:rPr>
              <w:t>贮存场所（设施）基本情况</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977"/>
              <w:gridCol w:w="1020"/>
              <w:gridCol w:w="1653"/>
              <w:gridCol w:w="1110"/>
              <w:gridCol w:w="1018"/>
              <w:gridCol w:w="1622"/>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贮存场所名称</w:t>
                  </w:r>
                </w:p>
              </w:tc>
              <w:tc>
                <w:tcPr>
                  <w:tcW w:w="552"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占地</w:t>
                  </w:r>
                </w:p>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面积（m</w:t>
                  </w:r>
                  <w:r>
                    <w:rPr>
                      <w:rFonts w:hint="default" w:ascii="Times New Roman" w:hAnsi="Times New Roman" w:cs="Times New Roman"/>
                      <w:b/>
                      <w:color w:val="000000" w:themeColor="text1"/>
                      <w:kern w:val="0"/>
                      <w:szCs w:val="21"/>
                      <w:vertAlign w:val="superscript"/>
                      <w14:textFill>
                        <w14:solidFill>
                          <w14:schemeClr w14:val="tx1"/>
                        </w14:solidFill>
                      </w14:textFill>
                    </w:rPr>
                    <w:t>2</w:t>
                  </w:r>
                  <w:r>
                    <w:rPr>
                      <w:rFonts w:hint="default" w:ascii="Times New Roman" w:hAnsi="Times New Roman" w:cs="Times New Roman"/>
                      <w:b/>
                      <w:color w:val="000000" w:themeColor="text1"/>
                      <w:kern w:val="0"/>
                      <w:szCs w:val="21"/>
                      <w14:textFill>
                        <w14:solidFill>
                          <w14:schemeClr w14:val="tx1"/>
                        </w14:solidFill>
                      </w14:textFill>
                    </w:rPr>
                    <w:t>）</w:t>
                  </w:r>
                </w:p>
              </w:tc>
              <w:tc>
                <w:tcPr>
                  <w:tcW w:w="576"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危险废物名称</w:t>
                  </w:r>
                </w:p>
              </w:tc>
              <w:tc>
                <w:tcPr>
                  <w:tcW w:w="934" w:type="pct"/>
                  <w:vMerge w:val="restart"/>
                  <w:vAlign w:val="center"/>
                </w:tcPr>
                <w:p>
                  <w:pPr>
                    <w:widowControl/>
                    <w:jc w:val="center"/>
                    <w:textAlignment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分类编号</w:t>
                  </w:r>
                </w:p>
              </w:tc>
              <w:tc>
                <w:tcPr>
                  <w:tcW w:w="627"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估算产生量（t/a）</w:t>
                  </w:r>
                </w:p>
              </w:tc>
              <w:tc>
                <w:tcPr>
                  <w:tcW w:w="575"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贮存方式</w:t>
                  </w:r>
                </w:p>
              </w:tc>
              <w:tc>
                <w:tcPr>
                  <w:tcW w:w="916"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厂区贮存量（t/a）</w:t>
                  </w:r>
                </w:p>
              </w:tc>
              <w:tc>
                <w:tcPr>
                  <w:tcW w:w="468"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贮存</w:t>
                  </w:r>
                </w:p>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52"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76"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934"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627"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75"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916"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468"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348" w:type="pct"/>
                  <w:vMerge w:val="restart"/>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一般固废</w:t>
                  </w:r>
                  <w:r>
                    <w:rPr>
                      <w:rFonts w:hint="default" w:ascii="Times New Roman" w:hAnsi="Times New Roman" w:cs="Times New Roman"/>
                      <w:color w:val="000000" w:themeColor="text1"/>
                      <w:kern w:val="0"/>
                      <w:szCs w:val="21"/>
                      <w14:textFill>
                        <w14:solidFill>
                          <w14:schemeClr w14:val="tx1"/>
                        </w14:solidFill>
                      </w14:textFill>
                    </w:rPr>
                    <w:t>仓库</w:t>
                  </w:r>
                </w:p>
              </w:tc>
              <w:tc>
                <w:tcPr>
                  <w:tcW w:w="55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76" w:type="pct"/>
                  <w:vAlign w:val="center"/>
                </w:tcPr>
                <w:p>
                  <w:pPr>
                    <w:jc w:val="center"/>
                    <w:rPr>
                      <w:rFonts w:hint="default" w:ascii="Times New Roman" w:hAnsi="Times New Roman" w:eastAsia="宋体" w:cs="Times New Roman"/>
                      <w:bCs/>
                      <w:color w:val="000000" w:themeColor="text1"/>
                      <w:kern w:val="0"/>
                      <w:sz w:val="21"/>
                      <w:szCs w:val="21"/>
                      <w:lang w:val="zh-CN"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废边角料</w:t>
                  </w:r>
                  <w:r>
                    <w:rPr>
                      <w:rFonts w:hint="default" w:ascii="Times New Roman" w:hAnsi="Times New Roman" w:cs="Times New Roman"/>
                      <w:color w:val="000000" w:themeColor="text1"/>
                      <w:spacing w:val="-4"/>
                      <w:sz w:val="21"/>
                      <w:szCs w:val="21"/>
                      <w:lang w:eastAsia="zh-CN"/>
                      <w14:textFill>
                        <w14:solidFill>
                          <w14:schemeClr w14:val="tx1"/>
                        </w14:solidFill>
                      </w14:textFill>
                    </w:rPr>
                    <w:t>、废铝屑</w:t>
                  </w:r>
                </w:p>
              </w:tc>
              <w:tc>
                <w:tcPr>
                  <w:tcW w:w="934"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900-002-S17</w:t>
                  </w:r>
                </w:p>
              </w:tc>
              <w:tc>
                <w:tcPr>
                  <w:tcW w:w="62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57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袋装</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3.875</w:t>
                  </w:r>
                </w:p>
              </w:tc>
              <w:tc>
                <w:tcPr>
                  <w:tcW w:w="468"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eastAsia="zh-CN"/>
                      <w14:textFill>
                        <w14:solidFill>
                          <w14:schemeClr w14:val="tx1"/>
                        </w14:solidFill>
                      </w14:textFill>
                    </w:rPr>
                    <w:t>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5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576" w:type="pc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废包装材料</w:t>
                  </w:r>
                </w:p>
              </w:tc>
              <w:tc>
                <w:tcPr>
                  <w:tcW w:w="934"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900-003-S17</w:t>
                  </w:r>
                </w:p>
              </w:tc>
              <w:tc>
                <w:tcPr>
                  <w:tcW w:w="62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57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袋装</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1.25</w:t>
                  </w:r>
                </w:p>
              </w:tc>
              <w:tc>
                <w:tcPr>
                  <w:tcW w:w="46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5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576"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废滤渣</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、废滤芯</w:t>
                  </w:r>
                </w:p>
              </w:tc>
              <w:tc>
                <w:tcPr>
                  <w:tcW w:w="934" w:type="pct"/>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900-009-S59</w:t>
                  </w:r>
                </w:p>
              </w:tc>
              <w:tc>
                <w:tcPr>
                  <w:tcW w:w="62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c>
                <w:tcPr>
                  <w:tcW w:w="57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袋装</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0.8</w:t>
                  </w:r>
                </w:p>
              </w:tc>
              <w:tc>
                <w:tcPr>
                  <w:tcW w:w="46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5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576"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不合格品</w:t>
                  </w:r>
                </w:p>
              </w:tc>
              <w:tc>
                <w:tcPr>
                  <w:tcW w:w="934"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900-099-S59</w:t>
                  </w:r>
                </w:p>
              </w:tc>
              <w:tc>
                <w:tcPr>
                  <w:tcW w:w="62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10</w:t>
                  </w:r>
                </w:p>
              </w:tc>
              <w:tc>
                <w:tcPr>
                  <w:tcW w:w="57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袋装</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2.5</w:t>
                  </w:r>
                </w:p>
              </w:tc>
              <w:tc>
                <w:tcPr>
                  <w:tcW w:w="46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5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576"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废钢丸</w:t>
                  </w:r>
                </w:p>
              </w:tc>
              <w:tc>
                <w:tcPr>
                  <w:tcW w:w="934" w:type="pct"/>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900-099-S59</w:t>
                  </w:r>
                </w:p>
              </w:tc>
              <w:tc>
                <w:tcPr>
                  <w:tcW w:w="62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0.01</w:t>
                  </w:r>
                </w:p>
              </w:tc>
              <w:tc>
                <w:tcPr>
                  <w:tcW w:w="57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袋装</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0.003</w:t>
                  </w:r>
                </w:p>
              </w:tc>
              <w:tc>
                <w:tcPr>
                  <w:tcW w:w="46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552" w:type="pct"/>
                  <w:vAlign w:val="center"/>
                </w:tcPr>
                <w:p>
                  <w:pPr>
                    <w:topLinePunct/>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576"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抛丸除尘装置收集的粉尘</w:t>
                  </w:r>
                </w:p>
              </w:tc>
              <w:tc>
                <w:tcPr>
                  <w:tcW w:w="934"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900-099-S59</w:t>
                  </w:r>
                </w:p>
              </w:tc>
              <w:tc>
                <w:tcPr>
                  <w:tcW w:w="62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c>
                <w:tcPr>
                  <w:tcW w:w="575"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袋装</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w:t>
                  </w:r>
                </w:p>
              </w:tc>
              <w:tc>
                <w:tcPr>
                  <w:tcW w:w="468"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8" w:type="pct"/>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合计</w:t>
                  </w:r>
                </w:p>
              </w:tc>
              <w:tc>
                <w:tcPr>
                  <w:tcW w:w="552"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36</w:t>
                  </w:r>
                </w:p>
              </w:tc>
              <w:tc>
                <w:tcPr>
                  <w:tcW w:w="576"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w:t>
                  </w:r>
                </w:p>
              </w:tc>
              <w:tc>
                <w:tcPr>
                  <w:tcW w:w="934"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w:t>
                  </w:r>
                </w:p>
              </w:tc>
              <w:tc>
                <w:tcPr>
                  <w:tcW w:w="1031" w:type="dxa"/>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39.569</w:t>
                  </w:r>
                </w:p>
              </w:tc>
              <w:tc>
                <w:tcPr>
                  <w:tcW w:w="945" w:type="dxa"/>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w:t>
                  </w:r>
                </w:p>
              </w:tc>
              <w:tc>
                <w:tcPr>
                  <w:tcW w:w="916" w:type="pct"/>
                  <w:vAlign w:val="center"/>
                </w:tcPr>
                <w:p>
                  <w:pPr>
                    <w:widowControl/>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9.928</w:t>
                  </w:r>
                </w:p>
              </w:tc>
              <w:tc>
                <w:tcPr>
                  <w:tcW w:w="468" w:type="pct"/>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bl>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bCs/>
                <w:color w:val="000000" w:themeColor="text1"/>
                <w:sz w:val="24"/>
                <w:szCs w:val="21"/>
                <w14:textFill>
                  <w14:solidFill>
                    <w14:schemeClr w14:val="tx1"/>
                  </w14:solidFill>
                </w14:textFill>
              </w:rPr>
              <w:t>本项目</w:t>
            </w:r>
            <w:r>
              <w:rPr>
                <w:rFonts w:hint="default" w:ascii="Times New Roman" w:hAnsi="Times New Roman" w:cs="Times New Roman"/>
                <w:bCs/>
                <w:color w:val="000000" w:themeColor="text1"/>
                <w:sz w:val="24"/>
                <w:szCs w:val="21"/>
                <w:lang w:eastAsia="zh-CN"/>
                <w14:textFill>
                  <w14:solidFill>
                    <w14:schemeClr w14:val="tx1"/>
                  </w14:solidFill>
                </w14:textFill>
              </w:rPr>
              <w:t>一般固废</w:t>
            </w:r>
            <w:r>
              <w:rPr>
                <w:rFonts w:hint="default" w:ascii="Times New Roman" w:hAnsi="Times New Roman" w:cs="Times New Roman"/>
                <w:bCs/>
                <w:color w:val="000000" w:themeColor="text1"/>
                <w:sz w:val="24"/>
                <w:szCs w:val="21"/>
                <w14:textFill>
                  <w14:solidFill>
                    <w14:schemeClr w14:val="tx1"/>
                  </w14:solidFill>
                </w14:textFill>
              </w:rPr>
              <w:t>储存容器总占地</w:t>
            </w:r>
            <w:r>
              <w:rPr>
                <w:rFonts w:hint="default" w:ascii="Times New Roman" w:hAnsi="Times New Roman" w:cs="Times New Roman"/>
                <w:bCs/>
                <w:color w:val="000000" w:themeColor="text1"/>
                <w:sz w:val="24"/>
                <w:szCs w:val="21"/>
                <w:lang w:val="en-US" w:eastAsia="zh-CN"/>
                <w14:textFill>
                  <w14:solidFill>
                    <w14:schemeClr w14:val="tx1"/>
                  </w14:solidFill>
                </w14:textFill>
              </w:rPr>
              <w:t>36</w:t>
            </w:r>
            <w:r>
              <w:rPr>
                <w:rFonts w:hint="default" w:ascii="Times New Roman" w:hAnsi="Times New Roman" w:cs="Times New Roman"/>
                <w:bCs/>
                <w:color w:val="000000" w:themeColor="text1"/>
                <w:sz w:val="24"/>
                <w:szCs w:val="21"/>
                <w14:textFill>
                  <w14:solidFill>
                    <w14:schemeClr w14:val="tx1"/>
                  </w14:solidFill>
                </w14:textFill>
              </w:rPr>
              <w:t>m</w:t>
            </w:r>
            <w:r>
              <w:rPr>
                <w:rFonts w:hint="default" w:ascii="Times New Roman" w:hAnsi="Times New Roman" w:cs="Times New Roman"/>
                <w:bCs/>
                <w:color w:val="000000" w:themeColor="text1"/>
                <w:sz w:val="24"/>
                <w:szCs w:val="21"/>
                <w:vertAlign w:val="superscript"/>
                <w14:textFill>
                  <w14:solidFill>
                    <w14:schemeClr w14:val="tx1"/>
                  </w14:solidFill>
                </w14:textFill>
              </w:rPr>
              <w:t>2</w:t>
            </w:r>
            <w:r>
              <w:rPr>
                <w:rFonts w:hint="default" w:ascii="Times New Roman" w:hAnsi="Times New Roman" w:cs="Times New Roman"/>
                <w:bCs/>
                <w:color w:val="000000" w:themeColor="text1"/>
                <w:sz w:val="24"/>
                <w:szCs w:val="21"/>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本项目新建</w:t>
            </w:r>
            <w:r>
              <w:rPr>
                <w:rFonts w:hint="default" w:ascii="Times New Roman" w:hAnsi="Times New Roman" w:cs="Times New Roman"/>
                <w:bCs/>
                <w:color w:val="000000" w:themeColor="text1"/>
                <w:sz w:val="24"/>
                <w:szCs w:val="21"/>
                <w:lang w:eastAsia="zh-CN"/>
                <w14:textFill>
                  <w14:solidFill>
                    <w14:schemeClr w14:val="tx1"/>
                  </w14:solidFill>
                </w14:textFill>
              </w:rPr>
              <w:t>一般固废</w:t>
            </w:r>
            <w:r>
              <w:rPr>
                <w:rFonts w:hint="default" w:ascii="Times New Roman" w:hAnsi="Times New Roman" w:cs="Times New Roman"/>
                <w:color w:val="000000" w:themeColor="text1"/>
                <w:kern w:val="0"/>
                <w:sz w:val="24"/>
                <w14:textFill>
                  <w14:solidFill>
                    <w14:schemeClr w14:val="tx1"/>
                  </w14:solidFill>
                </w14:textFill>
              </w:rPr>
              <w:t>暂存场所，位于</w:t>
            </w:r>
            <w:r>
              <w:rPr>
                <w:rFonts w:hint="default" w:ascii="Times New Roman" w:hAnsi="Times New Roman" w:cs="Times New Roman"/>
                <w:color w:val="000000" w:themeColor="text1"/>
                <w:kern w:val="0"/>
                <w:sz w:val="24"/>
                <w:lang w:eastAsia="zh-CN"/>
                <w14:textFill>
                  <w14:solidFill>
                    <w14:schemeClr w14:val="tx1"/>
                  </w14:solidFill>
                </w14:textFill>
              </w:rPr>
              <w:t>生产车间北</w:t>
            </w:r>
            <w:r>
              <w:rPr>
                <w:rFonts w:hint="default" w:ascii="Times New Roman" w:hAnsi="Times New Roman" w:eastAsia="宋体" w:cs="Times New Roman"/>
                <w:color w:val="000000" w:themeColor="text1"/>
                <w:kern w:val="0"/>
                <w:sz w:val="24"/>
                <w14:textFill>
                  <w14:solidFill>
                    <w14:schemeClr w14:val="tx1"/>
                  </w14:solidFill>
                </w14:textFill>
              </w:rPr>
              <w:t>侧，</w:t>
            </w:r>
            <w:r>
              <w:rPr>
                <w:rFonts w:hint="default" w:ascii="Times New Roman" w:hAnsi="Times New Roman" w:cs="Times New Roman"/>
                <w:color w:val="000000" w:themeColor="text1"/>
                <w:kern w:val="0"/>
                <w:sz w:val="24"/>
                <w14:textFill>
                  <w14:solidFill>
                    <w14:schemeClr w14:val="tx1"/>
                  </w14:solidFill>
                </w14:textFill>
              </w:rPr>
              <w:t>占地面积约</w:t>
            </w:r>
            <w:r>
              <w:rPr>
                <w:rFonts w:hint="default" w:ascii="Times New Roman" w:hAnsi="Times New Roman" w:cs="Times New Roman"/>
                <w:color w:val="000000" w:themeColor="text1"/>
                <w:kern w:val="0"/>
                <w:sz w:val="24"/>
                <w:lang w:val="en-US" w:eastAsia="zh-CN"/>
                <w14:textFill>
                  <w14:solidFill>
                    <w14:schemeClr w14:val="tx1"/>
                  </w14:solidFill>
                </w14:textFill>
              </w:rPr>
              <w:t>50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bCs/>
                <w:color w:val="000000" w:themeColor="text1"/>
                <w:sz w:val="24"/>
                <w:szCs w:val="21"/>
                <w14:textFill>
                  <w14:solidFill>
                    <w14:schemeClr w14:val="tx1"/>
                  </w14:solidFill>
                </w14:textFill>
              </w:rPr>
              <w:t>新建</w:t>
            </w:r>
            <w:r>
              <w:rPr>
                <w:rFonts w:hint="default" w:ascii="Times New Roman" w:hAnsi="Times New Roman" w:cs="Times New Roman"/>
                <w:bCs/>
                <w:color w:val="000000" w:themeColor="text1"/>
                <w:sz w:val="24"/>
                <w:szCs w:val="21"/>
                <w:lang w:eastAsia="zh-CN"/>
                <w14:textFill>
                  <w14:solidFill>
                    <w14:schemeClr w14:val="tx1"/>
                  </w14:solidFill>
                </w14:textFill>
              </w:rPr>
              <w:t>固废</w:t>
            </w:r>
            <w:r>
              <w:rPr>
                <w:rFonts w:hint="default" w:ascii="Times New Roman" w:hAnsi="Times New Roman" w:cs="Times New Roman"/>
                <w:bCs/>
                <w:color w:val="000000" w:themeColor="text1"/>
                <w:sz w:val="24"/>
                <w:szCs w:val="21"/>
                <w14:textFill>
                  <w14:solidFill>
                    <w14:schemeClr w14:val="tx1"/>
                  </w14:solidFill>
                </w14:textFill>
              </w:rPr>
              <w:t>库满足存放需求。</w:t>
            </w:r>
          </w:p>
          <w:p>
            <w:pPr>
              <w:snapToGrid w:val="0"/>
              <w:spacing w:line="360" w:lineRule="auto"/>
              <w:ind w:firstLine="472" w:firstLineChars="196"/>
              <w:outlineLvl w:val="3"/>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3、危险废物环境影响分析</w:t>
            </w:r>
            <w:r>
              <w:rPr>
                <w:rFonts w:hint="default" w:ascii="Times New Roman" w:hAnsi="Times New Roman" w:cs="Times New Roman"/>
                <w:b/>
                <w:bCs/>
                <w:color w:val="000000" w:themeColor="text1"/>
                <w:sz w:val="24"/>
                <w14:textFill>
                  <w14:solidFill>
                    <w14:schemeClr w14:val="tx1"/>
                  </w14:solidFill>
                </w14:textFill>
              </w:rPr>
              <w:t>和保护措施</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本项目产生的危险废物分别按照废物特性</w:t>
            </w:r>
            <w:r>
              <w:rPr>
                <w:rFonts w:hint="default" w:ascii="Times New Roman" w:hAnsi="Times New Roman" w:cs="Times New Roman"/>
                <w:color w:val="000000" w:themeColor="text1"/>
                <w:kern w:val="0"/>
                <w:sz w:val="24"/>
                <w14:textFill>
                  <w14:solidFill>
                    <w14:schemeClr w14:val="tx1"/>
                  </w14:solidFill>
                </w14:textFill>
              </w:rPr>
              <w:t>采用专门的容器收集后暂存于厂区危废暂存场所，定期交资质单位处理。本项目新建危废暂存场所，位于</w:t>
            </w:r>
            <w:r>
              <w:rPr>
                <w:rFonts w:hint="default" w:ascii="Times New Roman" w:hAnsi="Times New Roman" w:cs="Times New Roman"/>
                <w:color w:val="000000" w:themeColor="text1"/>
                <w:kern w:val="0"/>
                <w:sz w:val="24"/>
                <w:lang w:eastAsia="zh-CN"/>
                <w14:textFill>
                  <w14:solidFill>
                    <w14:schemeClr w14:val="tx1"/>
                  </w14:solidFill>
                </w14:textFill>
              </w:rPr>
              <w:t>生产车间北</w:t>
            </w:r>
            <w:r>
              <w:rPr>
                <w:rFonts w:hint="default" w:ascii="Times New Roman" w:hAnsi="Times New Roman" w:eastAsia="宋体" w:cs="Times New Roman"/>
                <w:color w:val="000000" w:themeColor="text1"/>
                <w:kern w:val="0"/>
                <w:sz w:val="24"/>
                <w14:textFill>
                  <w14:solidFill>
                    <w14:schemeClr w14:val="tx1"/>
                  </w14:solidFill>
                </w14:textFill>
              </w:rPr>
              <w:t>侧，</w:t>
            </w:r>
            <w:r>
              <w:rPr>
                <w:rFonts w:hint="default" w:ascii="Times New Roman" w:hAnsi="Times New Roman" w:cs="Times New Roman"/>
                <w:color w:val="000000" w:themeColor="text1"/>
                <w:kern w:val="0"/>
                <w:sz w:val="24"/>
                <w14:textFill>
                  <w14:solidFill>
                    <w14:schemeClr w14:val="tx1"/>
                  </w14:solidFill>
                </w14:textFill>
              </w:rPr>
              <w:t>占地面积约15m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《危险废物贮存污染控制标准》（GB18597-2023）</w:t>
            </w:r>
            <w:r>
              <w:rPr>
                <w:rFonts w:hint="default" w:ascii="Times New Roman" w:hAnsi="Times New Roman" w:cs="Times New Roman"/>
                <w:color w:val="000000" w:themeColor="text1"/>
                <w:kern w:val="0"/>
                <w:sz w:val="24"/>
                <w14:textFill>
                  <w14:solidFill>
                    <w14:schemeClr w14:val="tx1"/>
                  </w14:solidFill>
                </w14:textFill>
              </w:rPr>
              <w:t>的要求。危险废物按照不同的类别和性质，分别存放于专门的容器中。</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（1）危险废物贮存环境影响</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本项目危险废物贮存场所的名称、位置、占地面积、贮存方式、贮存容积、贮存周期等基本信息见下表。</w:t>
            </w:r>
          </w:p>
          <w:p>
            <w:pPr>
              <w:topLinePunct/>
              <w:adjustRightInd w:val="0"/>
              <w:snapToGrid w:val="0"/>
              <w:spacing w:before="100" w:beforeAutospacing="1"/>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28</w:t>
            </w:r>
            <w:r>
              <w:rPr>
                <w:rFonts w:hint="default" w:ascii="Times New Roman" w:hAnsi="Times New Roman" w:cs="Times New Roman"/>
                <w:b/>
                <w:color w:val="000000" w:themeColor="text1"/>
                <w:sz w:val="24"/>
                <w14:textFill>
                  <w14:solidFill>
                    <w14:schemeClr w14:val="tx1"/>
                  </w14:solidFill>
                </w14:textFill>
              </w:rPr>
              <w:t xml:space="preserve">  建设项目危险废物贮存场所（设施）基本情况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836"/>
              <w:gridCol w:w="1171"/>
              <w:gridCol w:w="1024"/>
              <w:gridCol w:w="1288"/>
              <w:gridCol w:w="968"/>
              <w:gridCol w:w="888"/>
              <w:gridCol w:w="1171"/>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贮存场所名称</w:t>
                  </w:r>
                </w:p>
              </w:tc>
              <w:tc>
                <w:tcPr>
                  <w:tcW w:w="472"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占地</w:t>
                  </w:r>
                </w:p>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面积（m</w:t>
                  </w:r>
                  <w:r>
                    <w:rPr>
                      <w:rFonts w:hint="default" w:ascii="Times New Roman" w:hAnsi="Times New Roman" w:cs="Times New Roman"/>
                      <w:b/>
                      <w:color w:val="000000" w:themeColor="text1"/>
                      <w:kern w:val="0"/>
                      <w:szCs w:val="21"/>
                      <w:vertAlign w:val="superscript"/>
                      <w14:textFill>
                        <w14:solidFill>
                          <w14:schemeClr w14:val="tx1"/>
                        </w14:solidFill>
                      </w14:textFill>
                    </w:rPr>
                    <w:t>2</w:t>
                  </w:r>
                  <w:r>
                    <w:rPr>
                      <w:rFonts w:hint="default" w:ascii="Times New Roman" w:hAnsi="Times New Roman" w:cs="Times New Roman"/>
                      <w:b/>
                      <w:color w:val="000000" w:themeColor="text1"/>
                      <w:kern w:val="0"/>
                      <w:szCs w:val="21"/>
                      <w14:textFill>
                        <w14:solidFill>
                          <w14:schemeClr w14:val="tx1"/>
                        </w14:solidFill>
                      </w14:textFill>
                    </w:rPr>
                    <w:t>）</w:t>
                  </w:r>
                </w:p>
              </w:tc>
              <w:tc>
                <w:tcPr>
                  <w:tcW w:w="661"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危险废物名称</w:t>
                  </w:r>
                </w:p>
              </w:tc>
              <w:tc>
                <w:tcPr>
                  <w:tcW w:w="578"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危险废物类别</w:t>
                  </w:r>
                </w:p>
              </w:tc>
              <w:tc>
                <w:tcPr>
                  <w:tcW w:w="727"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危险废物代码</w:t>
                  </w:r>
                </w:p>
              </w:tc>
              <w:tc>
                <w:tcPr>
                  <w:tcW w:w="546"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估算产生量（t/a）</w:t>
                  </w:r>
                </w:p>
              </w:tc>
              <w:tc>
                <w:tcPr>
                  <w:tcW w:w="501"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贮存方式</w:t>
                  </w:r>
                </w:p>
              </w:tc>
              <w:tc>
                <w:tcPr>
                  <w:tcW w:w="661"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厂区贮存量（t/a）</w:t>
                  </w:r>
                </w:p>
              </w:tc>
              <w:tc>
                <w:tcPr>
                  <w:tcW w:w="541" w:type="pct"/>
                  <w:vMerge w:val="restart"/>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贮存</w:t>
                  </w:r>
                </w:p>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472"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661"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78"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727"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46"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01"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661"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541" w:type="pct"/>
                  <w:vMerge w:val="continue"/>
                  <w:vAlign w:val="center"/>
                </w:tcPr>
                <w:p>
                  <w:pPr>
                    <w:topLinePunct/>
                    <w:adjustRightInd w:val="0"/>
                    <w:snapToGrid w:val="0"/>
                    <w:jc w:val="center"/>
                    <w:rPr>
                      <w:rFonts w:hint="default" w:ascii="Times New Roman" w:hAnsi="Times New Roman" w:cs="Times New Roman"/>
                      <w:b/>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restart"/>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危险废物仓库</w:t>
                  </w:r>
                </w:p>
              </w:tc>
              <w:tc>
                <w:tcPr>
                  <w:tcW w:w="47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661"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HW48 </w:t>
                  </w:r>
                </w:p>
              </w:tc>
              <w:tc>
                <w:tcPr>
                  <w:tcW w:w="727"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321-02</w:t>
                  </w:r>
                  <w:r>
                    <w:rPr>
                      <w:rFonts w:hint="default" w:ascii="Times New Roman" w:hAnsi="Times New Roman" w:cs="Times New Roman"/>
                      <w:color w:val="000000" w:themeColor="text1"/>
                      <w:kern w:val="0"/>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1"/>
                      <w:lang w:eastAsia="zh-CN"/>
                      <w14:textFill>
                        <w14:solidFill>
                          <w14:schemeClr w14:val="tx1"/>
                        </w14:solidFill>
                      </w14:textFill>
                    </w:rPr>
                    <w:t>-48</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c>
                <w:tcPr>
                  <w:tcW w:w="501" w:type="pct"/>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袋装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w:t>
                  </w:r>
                </w:p>
              </w:tc>
              <w:tc>
                <w:tcPr>
                  <w:tcW w:w="541"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eastAsia="zh-CN"/>
                      <w14:textFill>
                        <w14:solidFill>
                          <w14:schemeClr w14:val="tx1"/>
                        </w14:solidFill>
                      </w14:textFill>
                    </w:rPr>
                    <w:t>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bookmarkStart w:id="9" w:name="OLE_LINK3" w:colFirst="5" w:colLast="5"/>
                </w:p>
              </w:tc>
              <w:tc>
                <w:tcPr>
                  <w:tcW w:w="472" w:type="pct"/>
                  <w:vAlign w:val="center"/>
                </w:tcPr>
                <w:p>
                  <w:pPr>
                    <w:topLinePunct/>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661"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HW48 </w:t>
                  </w:r>
                </w:p>
              </w:tc>
              <w:tc>
                <w:tcPr>
                  <w:tcW w:w="727"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321-0</w:t>
                  </w:r>
                  <w:r>
                    <w:rPr>
                      <w:rFonts w:hint="default" w:ascii="Times New Roman" w:hAnsi="Times New Roman" w:cs="Times New Roman"/>
                      <w:color w:val="000000" w:themeColor="text1"/>
                      <w:kern w:val="0"/>
                      <w:szCs w:val="21"/>
                      <w:lang w:val="en-US" w:eastAsia="zh-CN"/>
                      <w14:textFill>
                        <w14:solidFill>
                          <w14:schemeClr w14:val="tx1"/>
                        </w14:solidFill>
                      </w14:textFill>
                    </w:rPr>
                    <w:t>34</w:t>
                  </w:r>
                  <w:r>
                    <w:rPr>
                      <w:rFonts w:hint="default" w:ascii="Times New Roman" w:hAnsi="Times New Roman" w:eastAsia="宋体" w:cs="Times New Roman"/>
                      <w:color w:val="000000" w:themeColor="text1"/>
                      <w:kern w:val="0"/>
                      <w:szCs w:val="21"/>
                      <w:lang w:eastAsia="zh-CN"/>
                      <w14:textFill>
                        <w14:solidFill>
                          <w14:schemeClr w14:val="tx1"/>
                        </w14:solidFill>
                      </w14:textFill>
                    </w:rPr>
                    <w:t>-48</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c>
                <w:tcPr>
                  <w:tcW w:w="501" w:type="pct"/>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袋装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w:t>
                  </w:r>
                </w:p>
              </w:tc>
              <w:tc>
                <w:tcPr>
                  <w:tcW w:w="541"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661"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HW08 </w:t>
                  </w:r>
                </w:p>
              </w:tc>
              <w:tc>
                <w:tcPr>
                  <w:tcW w:w="727"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900-21</w:t>
                  </w:r>
                  <w:r>
                    <w:rPr>
                      <w:rFonts w:hint="default" w:ascii="Times New Roman" w:hAnsi="Times New Roman" w:cs="Times New Roman"/>
                      <w:color w:val="000000" w:themeColor="text1"/>
                      <w:kern w:val="0"/>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-08</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c>
                <w:tcPr>
                  <w:tcW w:w="501" w:type="pct"/>
                  <w:vAlign w:val="center"/>
                </w:tcPr>
                <w:p>
                  <w:pPr>
                    <w:widowControl/>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桶装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541"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topLinePunct/>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661" w:type="pct"/>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废机油</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HW08 </w:t>
                  </w:r>
                </w:p>
              </w:tc>
              <w:tc>
                <w:tcPr>
                  <w:tcW w:w="727"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900-214-08</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501"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桶装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541"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topLinePunct/>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661"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 xml:space="preserve">HW49 </w:t>
                  </w:r>
                </w:p>
              </w:tc>
              <w:tc>
                <w:tcPr>
                  <w:tcW w:w="727"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900-041-49</w:t>
                  </w:r>
                </w:p>
              </w:tc>
              <w:tc>
                <w:tcPr>
                  <w:tcW w:w="546"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c>
                <w:tcPr>
                  <w:tcW w:w="501" w:type="pct"/>
                  <w:vAlign w:val="center"/>
                </w:tcPr>
                <w:p>
                  <w:pPr>
                    <w:widowControl/>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200</w:t>
                  </w:r>
                  <w:r>
                    <w:rPr>
                      <w:rFonts w:hint="default" w:ascii="Times New Roman" w:hAnsi="Times New Roman" w:cs="Times New Roman"/>
                      <w:bCs/>
                      <w:color w:val="000000" w:themeColor="text1"/>
                      <w:kern w:val="0"/>
                      <w:szCs w:val="21"/>
                      <w14:textFill>
                        <w14:solidFill>
                          <w14:schemeClr w14:val="tx1"/>
                        </w14:solidFill>
                      </w14:textFill>
                    </w:rPr>
                    <w:t>kg/桶</w:t>
                  </w:r>
                  <w:r>
                    <w:rPr>
                      <w:rFonts w:hint="default" w:ascii="Times New Roman" w:hAnsi="Times New Roman" w:cs="Times New Roman"/>
                      <w:bCs/>
                      <w:color w:val="000000" w:themeColor="text1"/>
                      <w:kern w:val="0"/>
                      <w:szCs w:val="21"/>
                      <w:lang w:eastAsia="zh-CN"/>
                      <w14:textFill>
                        <w14:solidFill>
                          <w14:schemeClr w14:val="tx1"/>
                        </w14:solidFill>
                      </w14:textFill>
                    </w:rPr>
                    <w:t>、</w:t>
                  </w:r>
                  <w:r>
                    <w:rPr>
                      <w:rFonts w:hint="default" w:ascii="Times New Roman" w:hAnsi="Times New Roman" w:cs="Times New Roman"/>
                      <w:bCs/>
                      <w:color w:val="000000" w:themeColor="text1"/>
                      <w:kern w:val="0"/>
                      <w:szCs w:val="21"/>
                      <w:lang w:val="en-US" w:eastAsia="zh-CN"/>
                      <w14:textFill>
                        <w14:solidFill>
                          <w14:schemeClr w14:val="tx1"/>
                        </w14:solidFill>
                      </w14:textFill>
                    </w:rPr>
                    <w:t>20</w:t>
                  </w:r>
                  <w:r>
                    <w:rPr>
                      <w:rFonts w:hint="default" w:ascii="Times New Roman" w:hAnsi="Times New Roman" w:cs="Times New Roman"/>
                      <w:bCs/>
                      <w:color w:val="000000" w:themeColor="text1"/>
                      <w:kern w:val="0"/>
                      <w:szCs w:val="21"/>
                      <w14:textFill>
                        <w14:solidFill>
                          <w14:schemeClr w14:val="tx1"/>
                        </w14:solidFill>
                      </w14:textFill>
                    </w:rPr>
                    <w:t>kg/桶</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w:t>
                  </w:r>
                </w:p>
              </w:tc>
              <w:tc>
                <w:tcPr>
                  <w:tcW w:w="541"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66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含油铝屑</w:t>
                  </w:r>
                </w:p>
              </w:tc>
              <w:tc>
                <w:tcPr>
                  <w:tcW w:w="578"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HW09 </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900-006-09</w:t>
                  </w:r>
                </w:p>
              </w:tc>
              <w:tc>
                <w:tcPr>
                  <w:tcW w:w="546"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桶装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66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含油木屑</w:t>
                  </w:r>
                </w:p>
              </w:tc>
              <w:tc>
                <w:tcPr>
                  <w:tcW w:w="578"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HW49 </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900-041-49</w:t>
                  </w:r>
                </w:p>
              </w:tc>
              <w:tc>
                <w:tcPr>
                  <w:tcW w:w="546"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桶装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66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p>
              </w:tc>
              <w:tc>
                <w:tcPr>
                  <w:tcW w:w="578"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HW09 </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900-006-09</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袋装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661"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污泥</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HW08 </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900-21</w:t>
                  </w:r>
                  <w:r>
                    <w:rPr>
                      <w:rFonts w:hint="default" w:ascii="Times New Roman" w:hAnsi="Times New Roman" w:cs="Times New Roman"/>
                      <w:color w:val="000000" w:themeColor="text1"/>
                      <w:kern w:val="0"/>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-08</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袋装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3</w:t>
                  </w:r>
                </w:p>
              </w:tc>
              <w:tc>
                <w:tcPr>
                  <w:tcW w:w="66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废活性炭</w:t>
                  </w:r>
                </w:p>
              </w:tc>
              <w:tc>
                <w:tcPr>
                  <w:tcW w:w="578"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HW49 </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900-039-49</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吨袋</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0.5</w:t>
                  </w:r>
                </w:p>
              </w:tc>
              <w:tc>
                <w:tcPr>
                  <w:tcW w:w="661"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油雾净化器收集的废油</w:t>
                  </w:r>
                </w:p>
              </w:tc>
              <w:tc>
                <w:tcPr>
                  <w:tcW w:w="57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 xml:space="preserve">HW08 </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900-214-08</w:t>
                  </w:r>
                </w:p>
              </w:tc>
              <w:tc>
                <w:tcPr>
                  <w:tcW w:w="546"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桶装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Merge w:val="continue"/>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72"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0.5</w:t>
                  </w:r>
                </w:p>
              </w:tc>
              <w:tc>
                <w:tcPr>
                  <w:tcW w:w="661" w:type="pct"/>
                  <w:vAlign w:val="center"/>
                </w:tcPr>
                <w:p>
                  <w:pPr>
                    <w:pStyle w:val="77"/>
                    <w:keepNext w:val="0"/>
                    <w:keepLines w:val="0"/>
                    <w:pageBreakBefore w:val="0"/>
                    <w:kinsoku/>
                    <w:wordWrap/>
                    <w:overflowPunct/>
                    <w:topLinePunct w:val="0"/>
                    <w:bidi w:val="0"/>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p>
              </w:tc>
              <w:tc>
                <w:tcPr>
                  <w:tcW w:w="578" w:type="pct"/>
                  <w:vAlign w:val="center"/>
                </w:tcPr>
                <w:p>
                  <w:pPr>
                    <w:pStyle w:val="38"/>
                    <w:keepNext w:val="0"/>
                    <w:keepLines w:val="0"/>
                    <w:pageBreakBefore w:val="0"/>
                    <w:kinsoku/>
                    <w:wordWrap/>
                    <w:overflowPunct/>
                    <w:topLinePunct w:val="0"/>
                    <w:bidi w:val="0"/>
                    <w:snapToGrid/>
                    <w:spacing w:line="240" w:lineRule="auto"/>
                    <w:ind w:left="-42" w:leftChars="-20" w:right="-42" w:rightChars="-2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HW49</w:t>
                  </w:r>
                </w:p>
              </w:tc>
              <w:tc>
                <w:tcPr>
                  <w:tcW w:w="727" w:type="pct"/>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41</w:t>
                  </w:r>
                  <w:r>
                    <w:rPr>
                      <w:rFonts w:hint="default" w:ascii="Times New Roman" w:hAnsi="Times New Roman" w:eastAsia="宋体" w:cs="Times New Roman"/>
                      <w:b w:val="0"/>
                      <w:bCs/>
                      <w:color w:val="000000" w:themeColor="text1"/>
                      <w:sz w:val="21"/>
                      <w:szCs w:val="21"/>
                      <w14:textFill>
                        <w14:solidFill>
                          <w14:schemeClr w14:val="tx1"/>
                        </w14:solidFill>
                      </w14:textFill>
                    </w:rPr>
                    <w:t>-49</w:t>
                  </w:r>
                </w:p>
              </w:tc>
              <w:tc>
                <w:tcPr>
                  <w:tcW w:w="546" w:type="pct"/>
                  <w:vAlign w:val="center"/>
                </w:tcPr>
                <w:p>
                  <w:pPr>
                    <w:widowControl/>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501" w:type="pct"/>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袋装</w:t>
                  </w:r>
                </w:p>
              </w:tc>
              <w:tc>
                <w:tcPr>
                  <w:tcW w:w="66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0.01</w:t>
                  </w:r>
                </w:p>
              </w:tc>
              <w:tc>
                <w:tcPr>
                  <w:tcW w:w="541" w:type="pct"/>
                  <w:vMerge w:val="continue"/>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09" w:type="pct"/>
                  <w:vAlign w:val="center"/>
                </w:tcPr>
                <w:p>
                  <w:pPr>
                    <w:topLinePunct/>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合计</w:t>
                  </w:r>
                </w:p>
              </w:tc>
              <w:tc>
                <w:tcPr>
                  <w:tcW w:w="472"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12.5</w:t>
                  </w:r>
                </w:p>
              </w:tc>
              <w:tc>
                <w:tcPr>
                  <w:tcW w:w="66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578"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727"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54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8.22</w:t>
                  </w:r>
                </w:p>
              </w:tc>
              <w:tc>
                <w:tcPr>
                  <w:tcW w:w="5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661"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2.14</w:t>
                  </w:r>
                </w:p>
              </w:tc>
              <w:tc>
                <w:tcPr>
                  <w:tcW w:w="54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r>
          </w:tbl>
          <w:p>
            <w:pPr>
              <w:spacing w:before="100" w:beforeAutospacing="1" w:line="360" w:lineRule="auto"/>
              <w:ind w:firstLine="480" w:firstLineChars="200"/>
              <w:rPr>
                <w:rFonts w:hint="default" w:ascii="Times New Roman" w:hAnsi="Times New Roman" w:cs="Times New Roman"/>
                <w:bCs/>
                <w:color w:val="000000" w:themeColor="text1"/>
                <w:sz w:val="24"/>
                <w:szCs w:val="21"/>
                <w14:textFill>
                  <w14:solidFill>
                    <w14:schemeClr w14:val="tx1"/>
                  </w14:solidFill>
                </w14:textFill>
              </w:rPr>
            </w:pPr>
            <w:r>
              <w:rPr>
                <w:rFonts w:hint="default" w:ascii="Times New Roman" w:hAnsi="Times New Roman" w:cs="Times New Roman"/>
                <w:bCs/>
                <w:color w:val="000000" w:themeColor="text1"/>
                <w:sz w:val="24"/>
                <w:szCs w:val="21"/>
                <w14:textFill>
                  <w14:solidFill>
                    <w14:schemeClr w14:val="tx1"/>
                  </w14:solidFill>
                </w14:textFill>
              </w:rPr>
              <w:t>本项目危险废物储存容器总占地</w:t>
            </w:r>
            <w:r>
              <w:rPr>
                <w:rFonts w:hint="default" w:ascii="Times New Roman" w:hAnsi="Times New Roman" w:cs="Times New Roman"/>
                <w:bCs/>
                <w:color w:val="000000" w:themeColor="text1"/>
                <w:sz w:val="24"/>
                <w:szCs w:val="21"/>
                <w:lang w:val="en-US" w:eastAsia="zh-CN"/>
                <w14:textFill>
                  <w14:solidFill>
                    <w14:schemeClr w14:val="tx1"/>
                  </w14:solidFill>
                </w14:textFill>
              </w:rPr>
              <w:t>12.5</w:t>
            </w:r>
            <w:r>
              <w:rPr>
                <w:rFonts w:hint="default" w:ascii="Times New Roman" w:hAnsi="Times New Roman" w:cs="Times New Roman"/>
                <w:bCs/>
                <w:color w:val="000000" w:themeColor="text1"/>
                <w:sz w:val="24"/>
                <w:szCs w:val="21"/>
                <w14:textFill>
                  <w14:solidFill>
                    <w14:schemeClr w14:val="tx1"/>
                  </w14:solidFill>
                </w14:textFill>
              </w:rPr>
              <w:t>m</w:t>
            </w:r>
            <w:r>
              <w:rPr>
                <w:rFonts w:hint="default" w:ascii="Times New Roman" w:hAnsi="Times New Roman" w:cs="Times New Roman"/>
                <w:bCs/>
                <w:color w:val="000000" w:themeColor="text1"/>
                <w:sz w:val="24"/>
                <w:szCs w:val="21"/>
                <w:vertAlign w:val="superscript"/>
                <w14:textFill>
                  <w14:solidFill>
                    <w14:schemeClr w14:val="tx1"/>
                  </w14:solidFill>
                </w14:textFill>
              </w:rPr>
              <w:t>2</w:t>
            </w:r>
            <w:r>
              <w:rPr>
                <w:rFonts w:hint="default" w:ascii="Times New Roman" w:hAnsi="Times New Roman" w:cs="Times New Roman"/>
                <w:bCs/>
                <w:color w:val="000000" w:themeColor="text1"/>
                <w:sz w:val="24"/>
                <w:szCs w:val="21"/>
                <w14:textFill>
                  <w14:solidFill>
                    <w14:schemeClr w14:val="tx1"/>
                  </w14:solidFill>
                </w14:textFill>
              </w:rPr>
              <w:t>，新建危废库满足存放需求。</w:t>
            </w:r>
            <w:r>
              <w:rPr>
                <w:rFonts w:hint="default" w:ascii="Times New Roman" w:hAnsi="Times New Roman" w:cs="Times New Roman"/>
                <w:color w:val="000000" w:themeColor="text1"/>
                <w:sz w:val="24"/>
                <w14:textFill>
                  <w14:solidFill>
                    <w14:schemeClr w14:val="tx1"/>
                  </w14:solidFill>
                </w14:textFill>
              </w:rPr>
              <w:t>企业需按照《危险废物贮存污染控制标准》（GB18597-2023）相关规定，规范建设危废库，具体措施如下：</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①危废库应建有堵截泄漏的裙脚，地面与裙脚要用坚固、防渗材料建造，地面与裙角所围建的容积不低于总储量的1/5；应有隔离设施和防风、防晒、防雨设施；</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②贮存设施基础必须做防渗处理，防渗层为至少1m厚粘土层（渗透系数≤10-7cm/s），或2mm厚高密度聚乙烯，或至少2mm厚的其它人工材料，渗透系数≤10-10 cm/s。</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盛装危险废物的容器应根据危险废物的不同特性而设计，采用不易破损、变形、老化且能有效地防止渗漏、扩散的装置，危险废物包装执行《危险货物运输包装通用技术条件》（GB12463-2009）、《危险货物运输包装标志》（GB190-2009）；</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④存放危废为液体的仓库内必须有泄漏液体收集装置（例如托盘、导流沟、收集池，导流沟、收集池四周壁及底部同样要求防腐防渗），存放危废为具有挥发性气体的仓库内必须有导出口及气体净化装置；</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⑤装载液体、半固体危险废物的容器内须留足够空间，容器顶部与液体表面之间保留100毫米以上的空间。用以存放装载液体、半固体危险废物容器的地方，必须有耐腐蚀的硬化地面，且表面无裂隙。</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⑥危险废物要注重“四防”，即防风、防雨、防晒、防渗漏，危废库建设时应采用混凝土、砖或经防腐处理的钢材等作为建材材料建成的相对封闭式场所，并设通风口；外部配套建设雨水导排系统，防止雨水进入危废暂存库内。</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⑦危废仓库门上要张贴包含所有危废的标识、标牌，仓库内对应墙上有标志标识，无法装入常用容器的危险废物可用防漏胶袋等盛装，包装桶、袋上有标签，危废仓库管理责任制要上墙。</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⑧危废仓库需上锁防盗，制定严格的暂存保管措施，专人负责。</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⑨危险废物定期交由有资质的处置单位接收处理，转运过程严格按照有关规定，实行联单制度。</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⑩配备满足其突发环境事件应急要求的应急人员、装备和物资，并应设置应急照明系统；相关部门发布自然灾害或恶劣天气预警后，启动相应防控措施，若有必要可将危险废物转移至其他具有防护条件的地点贮存。</w:t>
            </w:r>
          </w:p>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采取上述措施后，能够确保本项目危险废物在厂内贮存时得到有效的处置，对环境影响较小。</w:t>
            </w:r>
          </w:p>
          <w:p>
            <w:pPr>
              <w:spacing w:line="360" w:lineRule="auto"/>
              <w:ind w:firstLine="48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（2）危险废物运输及转移过程环境影响分析</w:t>
            </w:r>
          </w:p>
          <w:p>
            <w:pPr>
              <w:autoSpaceDE w:val="0"/>
              <w:autoSpaceDN w:val="0"/>
              <w:adjustRightInd w:val="0"/>
              <w:spacing w:line="360" w:lineRule="auto"/>
              <w:ind w:firstLine="480" w:firstLineChars="200"/>
              <w:jc w:val="left"/>
              <w:rPr>
                <w:rFonts w:hint="default" w:ascii="Times New Roman" w:hAnsi="Times New Roman" w:cs="Times New Roman"/>
                <w:bCs/>
                <w:color w:val="000000" w:themeColor="text1"/>
                <w:kern w:val="0"/>
                <w:sz w:val="24"/>
                <w:szCs w:val="20"/>
                <w14:textFill>
                  <w14:solidFill>
                    <w14:schemeClr w14:val="tx1"/>
                  </w14:solidFill>
                </w14:textFill>
              </w:rPr>
            </w:pPr>
            <w:r>
              <w:rPr>
                <w:rFonts w:hint="default" w:ascii="Times New Roman" w:hAnsi="Times New Roman" w:cs="Times New Roman"/>
                <w:bCs/>
                <w:color w:val="000000" w:themeColor="text1"/>
                <w:kern w:val="0"/>
                <w:sz w:val="24"/>
                <w:szCs w:val="20"/>
                <w14:textFill>
                  <w14:solidFill>
                    <w14:schemeClr w14:val="tx1"/>
                  </w14:solidFill>
                </w14:textFill>
              </w:rPr>
              <w:t>危险废物外运时严格按照生态环境部、公安部、交通运输部令第23号文件《危险废物转移管理办法》的相关规定报批危险废物转移计划，转移危险废物时按照规定填报危险废物电子转移联单，并依照国家有关规定公开危险废物转移相关污染环境防治信息。运输危险废物的人员应具有相应经营范围的有效危险货物运输许可证件。移出入、承运人、接受人应当依法制定突发环境事件的防范措施和应急预案，并报有关部门报告；发生危险废物突发环境事件时，应当立即采取有效措施消除或者减轻对环境的污染危害，并按相关规定向事故发生地有关部门报告，接受调查。运输过程中应当采取防扬散、防流失、防渗漏或者其他防止污染环境的措施，不得擅自倾倒、堆放、丢弃、遗撒危险废物，并对所造成的环境污染及生态破坏依法承担责任。做到妥善包装，设置相应的识别标志。</w:t>
            </w:r>
          </w:p>
          <w:p>
            <w:pPr>
              <w:autoSpaceDE w:val="0"/>
              <w:autoSpaceDN w:val="0"/>
              <w:adjustRightInd w:val="0"/>
              <w:spacing w:line="360" w:lineRule="auto"/>
              <w:ind w:firstLine="480" w:firstLineChars="200"/>
              <w:jc w:val="left"/>
              <w:rPr>
                <w:rFonts w:hint="default" w:ascii="Times New Roman" w:hAnsi="Times New Roman" w:cs="Times New Roman"/>
                <w:bCs/>
                <w:color w:val="000000" w:themeColor="text1"/>
                <w:kern w:val="0"/>
                <w:sz w:val="24"/>
                <w:szCs w:val="20"/>
                <w14:textFill>
                  <w14:solidFill>
                    <w14:schemeClr w14:val="tx1"/>
                  </w14:solidFill>
                </w14:textFill>
              </w:rPr>
            </w:pPr>
            <w:r>
              <w:rPr>
                <w:rFonts w:hint="default" w:ascii="Times New Roman" w:hAnsi="Times New Roman" w:cs="Times New Roman"/>
                <w:bCs/>
                <w:color w:val="000000" w:themeColor="text1"/>
                <w:kern w:val="0"/>
                <w:sz w:val="24"/>
                <w:szCs w:val="20"/>
                <w14:textFill>
                  <w14:solidFill>
                    <w14:schemeClr w14:val="tx1"/>
                  </w14:solidFill>
                </w14:textFill>
              </w:rPr>
              <w:t>环评要求危险废物应及时转运，废物的转运过程中应封闭，以防散落，转运车辆应加盖蓬布，以防散入路面。危险废物的内部转运应综合考虑厂区的实际情况确定转运路线，尽量避开生活区和办公区；危险废物内部转运应采用专用的工具。</w:t>
            </w:r>
          </w:p>
          <w:p>
            <w:pPr>
              <w:adjustRightIn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eastAsia="zh-CN"/>
                <w14:textFill>
                  <w14:solidFill>
                    <w14:schemeClr w14:val="tx1"/>
                  </w14:solidFill>
                </w14:textFill>
              </w:rPr>
              <w:t>）铝灰渣暂存污染防范</w:t>
            </w:r>
            <w:r>
              <w:rPr>
                <w:rFonts w:hint="default" w:ascii="Times New Roman" w:hAnsi="Times New Roman" w:cs="Times New Roman"/>
                <w:color w:val="000000" w:themeColor="text1"/>
                <w:kern w:val="0"/>
                <w:sz w:val="24"/>
                <w:lang w:val="en-US" w:eastAsia="zh-CN"/>
                <w14:textFill>
                  <w14:solidFill>
                    <w14:schemeClr w14:val="tx1"/>
                  </w14:solidFill>
                </w14:textFill>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铝灰渣的主要成分是氧化铝，氮化铝和偏铝酸盐。氮化铝与空气中的水蒸气发生反应，产生氨气，受潮也易自燃，环境风险较高。本项目铝灰渣污染</w:t>
            </w:r>
            <w:r>
              <w:rPr>
                <w:rFonts w:hint="default" w:ascii="Times New Roman" w:hAnsi="Times New Roman" w:eastAsia="宋体" w:cs="Times New Roman"/>
                <w:color w:val="000000" w:themeColor="text1"/>
                <w:kern w:val="0"/>
                <w:sz w:val="24"/>
                <w:lang w:eastAsia="zh-CN"/>
                <w14:textFill>
                  <w14:solidFill>
                    <w14:schemeClr w14:val="tx1"/>
                  </w14:solidFill>
                </w14:textFill>
              </w:rPr>
              <w:t>暂存污染防范</w:t>
            </w:r>
            <w:r>
              <w:rPr>
                <w:rFonts w:hint="default" w:ascii="Times New Roman" w:hAnsi="Times New Roman" w:cs="Times New Roman"/>
                <w:color w:val="000000" w:themeColor="text1"/>
                <w:kern w:val="0"/>
                <w:sz w:val="24"/>
                <w:lang w:val="en-US" w:eastAsia="zh-CN"/>
                <w14:textFill>
                  <w14:solidFill>
                    <w14:schemeClr w14:val="tx1"/>
                  </w14:solidFill>
                </w14:textFill>
              </w:rPr>
              <w:t>要求</w:t>
            </w:r>
            <w:r>
              <w:rPr>
                <w:rFonts w:hint="default" w:ascii="Times New Roman" w:hAnsi="Times New Roman" w:eastAsia="宋体" w:cs="Times New Roman"/>
                <w:color w:val="000000" w:themeColor="text1"/>
                <w:kern w:val="0"/>
                <w:sz w:val="24"/>
                <w:lang w:eastAsia="zh-CN"/>
                <w14:textFill>
                  <w14:solidFill>
                    <w14:schemeClr w14:val="tx1"/>
                  </w14:solidFill>
                </w14:textFill>
              </w:rPr>
              <w:t>如下：</w:t>
            </w:r>
          </w:p>
          <w:p>
            <w:pPr>
              <w:adjustRightIn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w:t>
            </w:r>
            <w:r>
              <w:rPr>
                <w:rFonts w:hint="default" w:ascii="Times New Roman" w:hAnsi="Times New Roman" w:eastAsia="宋体" w:cs="Times New Roman"/>
                <w:color w:val="000000" w:themeColor="text1"/>
                <w:sz w:val="24"/>
                <w:lang w:eastAsia="zh-CN"/>
                <w14:textFill>
                  <w14:solidFill>
                    <w14:schemeClr w14:val="tx1"/>
                  </w14:solidFill>
                </w14:textFill>
              </w:rPr>
              <w:t>妥善贮存：贮存场所必须配备防渗漏、防雨淋、防流失设施，确保铝灰渣不会因雨水或其他液体渗入而污染环境。铝灰渣应单独堆放，并设置标识标志，严禁露天堆放。</w:t>
            </w:r>
          </w:p>
          <w:p>
            <w:pPr>
              <w:adjustRightInd w:val="0"/>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②密封储存：将铝灰渣储存在密封且防水的容器中，如特殊的储存桶或储存池，以防止其与外界环境接触。</w:t>
            </w:r>
          </w:p>
          <w:p>
            <w:pPr>
              <w:adjustRightInd w:val="0"/>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③台账管理：建立台账，准确反映铝灰渣的产生量、转移量和贮存量等相关信息，确保产生量、自行利用处置量、转移量及去向之间形成闭环。</w:t>
            </w:r>
          </w:p>
          <w:p>
            <w:pPr>
              <w:adjustRightInd w:val="0"/>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④严格转移管理：铝灰渣接收单位需持相关文件到生态环境局报备，经审查同意后方可办理购销手续。</w:t>
            </w:r>
          </w:p>
          <w:p>
            <w:pPr>
              <w:adjustRightInd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⑤防治违法犯罪行为：生态环境局需对铝灰渣的产生、利用处置、转移及去向进行精准把控，防止铝灰</w:t>
            </w:r>
            <w:r>
              <w:rPr>
                <w:rFonts w:hint="default" w:ascii="Times New Roman" w:hAnsi="Times New Roman" w:eastAsia="宋体" w:cs="Times New Roman"/>
                <w:color w:val="000000" w:themeColor="text1"/>
                <w:sz w:val="24"/>
                <w:lang w:eastAsia="zh-CN"/>
                <w14:textFill>
                  <w14:solidFill>
                    <w14:schemeClr w14:val="tx1"/>
                  </w14:solidFill>
                </w14:textFill>
              </w:rPr>
              <w:t>渣被非法转移或倾倒</w:t>
            </w:r>
            <w:r>
              <w:rPr>
                <w:rFonts w:hint="default" w:ascii="Times New Roman" w:hAnsi="Times New Roman" w:cs="Times New Roman"/>
                <w:color w:val="000000" w:themeColor="text1"/>
                <w:sz w:val="24"/>
                <w:lang w:eastAsia="zh-CN"/>
                <w14:textFill>
                  <w14:solidFill>
                    <w14:schemeClr w14:val="tx1"/>
                  </w14:solidFill>
                </w14:textFill>
              </w:rPr>
              <w:t>。</w:t>
            </w:r>
          </w:p>
          <w:p>
            <w:pPr>
              <w:adjustRightInd w:val="0"/>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综上所述，本评价认为，在落实上述危险废物管理要求后，项目各类危废从收集、转运、运输、处理处置环节均可以得到有效的控制，能够确保妥善处置，不会对区域环境造成较大不利影响。</w:t>
            </w:r>
          </w:p>
          <w:p>
            <w:pPr>
              <w:adjustRightIn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五、地下水、土壤影响分析及防范措施</w:t>
            </w:r>
          </w:p>
          <w:p>
            <w:pPr>
              <w:pStyle w:val="104"/>
              <w:adjustRightInd/>
              <w:snapToGrid/>
              <w:spacing w:line="360" w:lineRule="auto"/>
              <w:ind w:firstLine="482" w:firstLineChars="200"/>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污染源及污染途径识别</w:t>
            </w:r>
          </w:p>
          <w:p>
            <w:pPr>
              <w:adjustRightInd w:val="0"/>
              <w:spacing w:line="360" w:lineRule="auto"/>
              <w:ind w:firstLine="480" w:firstLineChars="200"/>
              <w:jc w:val="left"/>
              <w:textAlignment w:val="baseline"/>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根据项目实际，在正常运营期可能对地下水及土壤产生的影响途径主要为</w:t>
            </w:r>
            <w:r>
              <w:rPr>
                <w:rFonts w:hint="default" w:ascii="Times New Roman" w:hAnsi="Times New Roman" w:cs="Times New Roman"/>
                <w:color w:val="000000" w:themeColor="text1"/>
                <w:sz w:val="24"/>
                <w:szCs w:val="24"/>
                <w:lang w:eastAsia="zh-CN"/>
                <w14:textFill>
                  <w14:solidFill>
                    <w14:schemeClr w14:val="tx1"/>
                  </w14:solidFill>
                </w14:textFill>
              </w:rPr>
              <w:t>脱模剂</w:t>
            </w:r>
            <w:r>
              <w:rPr>
                <w:rFonts w:hint="default" w:ascii="Times New Roman" w:hAnsi="Times New Roman" w:cs="Times New Roman"/>
                <w:color w:val="000000" w:themeColor="text1"/>
                <w:sz w:val="24"/>
                <w:szCs w:val="24"/>
                <w14:textFill>
                  <w14:solidFill>
                    <w14:schemeClr w14:val="tx1"/>
                  </w14:solidFill>
                </w14:textFill>
              </w:rPr>
              <w:t>及危险废物垂直入渗将有毒有害物质带入地下，对浅层地下水造成影响。</w:t>
            </w:r>
          </w:p>
          <w:p>
            <w:pPr>
              <w:pStyle w:val="104"/>
              <w:adjustRightInd/>
              <w:snapToGrid/>
              <w:spacing w:line="360" w:lineRule="auto"/>
              <w:ind w:firstLine="482" w:firstLineChars="200"/>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（2）污染防治措施</w:t>
            </w:r>
          </w:p>
          <w:p>
            <w:pPr>
              <w:pStyle w:val="104"/>
              <w:adjustRightInd/>
              <w:snapToGrid/>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本项目污染途径，按照“源头控制、末端防治、污染监控、应急响应相结合”的原则，对项目区进行分区防渗。根据项目区地质情况以及项目区对地下水的污染途径，项目区分为简单防渗区、一般防渗区和重点防渗区，具体如下表。</w:t>
            </w:r>
          </w:p>
          <w:p>
            <w:pPr>
              <w:ind w:firstLine="48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表4-</w:t>
            </w:r>
            <w:r>
              <w:rPr>
                <w:rFonts w:hint="default" w:ascii="Times New Roman" w:hAnsi="Times New Roman" w:cs="Times New Roman"/>
                <w:b/>
                <w:bCs/>
                <w:color w:val="000000" w:themeColor="text1"/>
                <w:sz w:val="24"/>
                <w:szCs w:val="24"/>
                <w:lang w:val="en-US" w:eastAsia="zh-CN"/>
                <w14:textFill>
                  <w14:solidFill>
                    <w14:schemeClr w14:val="tx1"/>
                  </w14:solidFill>
                </w14:textFill>
              </w:rPr>
              <w:t>29</w:t>
            </w:r>
            <w:r>
              <w:rPr>
                <w:rFonts w:hint="default" w:ascii="Times New Roman" w:hAnsi="Times New Roman" w:cs="Times New Roman"/>
                <w:b/>
                <w:bCs/>
                <w:color w:val="000000" w:themeColor="text1"/>
                <w:sz w:val="24"/>
                <w:szCs w:val="24"/>
                <w14:textFill>
                  <w14:solidFill>
                    <w14:schemeClr w14:val="tx1"/>
                  </w14:solidFill>
                </w14:textFill>
              </w:rPr>
              <w:t xml:space="preserve">  项目防渗分区一览表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7"/>
              <w:gridCol w:w="2898"/>
              <w:gridCol w:w="1376"/>
              <w:gridCol w:w="1592"/>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0" w:type="pct"/>
                  <w:noWrap w:val="0"/>
                  <w:vAlign w:val="center"/>
                </w:tcPr>
                <w:p>
                  <w:pPr>
                    <w:pStyle w:val="7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636" w:type="pct"/>
                  <w:noWrap w:val="0"/>
                  <w:vAlign w:val="center"/>
                </w:tcPr>
                <w:p>
                  <w:pPr>
                    <w:pStyle w:val="7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装置、单元名称</w:t>
                  </w:r>
                </w:p>
              </w:tc>
              <w:tc>
                <w:tcPr>
                  <w:tcW w:w="777" w:type="pct"/>
                  <w:noWrap w:val="0"/>
                  <w:vAlign w:val="center"/>
                </w:tcPr>
                <w:p>
                  <w:pPr>
                    <w:pStyle w:val="7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污染防治区域及部位</w:t>
                  </w:r>
                </w:p>
              </w:tc>
              <w:tc>
                <w:tcPr>
                  <w:tcW w:w="899" w:type="pct"/>
                  <w:noWrap w:val="0"/>
                  <w:vAlign w:val="center"/>
                </w:tcPr>
                <w:p>
                  <w:pPr>
                    <w:pStyle w:val="7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污染防治区类别</w:t>
                  </w:r>
                </w:p>
              </w:tc>
              <w:tc>
                <w:tcPr>
                  <w:tcW w:w="1236" w:type="pct"/>
                  <w:noWrap w:val="0"/>
                  <w:vAlign w:val="center"/>
                </w:tcPr>
                <w:p>
                  <w:pPr>
                    <w:pStyle w:val="7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0"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636" w:type="pct"/>
                  <w:noWrap w:val="0"/>
                  <w:vAlign w:val="center"/>
                </w:tcPr>
                <w:p>
                  <w:pPr>
                    <w:pStyle w:val="71"/>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辅料区、生产作业区、危废库</w:t>
                  </w:r>
                </w:p>
              </w:tc>
              <w:tc>
                <w:tcPr>
                  <w:tcW w:w="777" w:type="pct"/>
                  <w:noWrap w:val="0"/>
                  <w:vAlign w:val="center"/>
                </w:tcPr>
                <w:p>
                  <w:pPr>
                    <w:pStyle w:val="71"/>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地面</w:t>
                  </w:r>
                </w:p>
              </w:tc>
              <w:tc>
                <w:tcPr>
                  <w:tcW w:w="899" w:type="pct"/>
                  <w:vMerge w:val="restart"/>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重点防渗区</w:t>
                  </w:r>
                </w:p>
              </w:tc>
              <w:tc>
                <w:tcPr>
                  <w:tcW w:w="1236" w:type="pct"/>
                  <w:vMerge w:val="restart"/>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等效黏土防渗层Mb≥6.0m，K≤1×10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0" w:type="pct"/>
                  <w:vMerge w:val="continue"/>
                  <w:noWrap w:val="0"/>
                  <w:vAlign w:val="center"/>
                </w:tcPr>
                <w:p>
                  <w:pPr>
                    <w:pStyle w:val="71"/>
                    <w:jc w:val="center"/>
                    <w:rPr>
                      <w:rFonts w:hint="default" w:ascii="Times New Roman" w:hAnsi="Times New Roman" w:cs="Times New Roman"/>
                      <w:color w:val="000000" w:themeColor="text1"/>
                      <w14:textFill>
                        <w14:solidFill>
                          <w14:schemeClr w14:val="tx1"/>
                        </w14:solidFill>
                      </w14:textFill>
                    </w:rPr>
                  </w:pPr>
                </w:p>
              </w:tc>
              <w:tc>
                <w:tcPr>
                  <w:tcW w:w="1636" w:type="pct"/>
                  <w:noWrap w:val="0"/>
                  <w:vAlign w:val="center"/>
                </w:tcPr>
                <w:p>
                  <w:pPr>
                    <w:pStyle w:val="71"/>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隔油池、</w:t>
                  </w:r>
                  <w:r>
                    <w:rPr>
                      <w:rFonts w:hint="default" w:ascii="Times New Roman" w:hAnsi="Times New Roman" w:cs="Times New Roman"/>
                      <w:color w:val="000000" w:themeColor="text1"/>
                      <w:kern w:val="0"/>
                      <w:szCs w:val="21"/>
                      <w:lang w:eastAsia="zh-CN"/>
                      <w14:textFill>
                        <w14:solidFill>
                          <w14:schemeClr w14:val="tx1"/>
                        </w14:solidFill>
                      </w14:textFill>
                    </w:rPr>
                    <w:t>油水分离池、自建污水处理设施</w:t>
                  </w:r>
                </w:p>
              </w:tc>
              <w:tc>
                <w:tcPr>
                  <w:tcW w:w="777" w:type="pct"/>
                  <w:noWrap w:val="0"/>
                  <w:vAlign w:val="center"/>
                </w:tcPr>
                <w:p>
                  <w:pPr>
                    <w:pStyle w:val="71"/>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池底及四周</w:t>
                  </w:r>
                </w:p>
              </w:tc>
              <w:tc>
                <w:tcPr>
                  <w:tcW w:w="899" w:type="pct"/>
                  <w:vMerge w:val="continue"/>
                  <w:noWrap w:val="0"/>
                  <w:vAlign w:val="center"/>
                </w:tcPr>
                <w:p>
                  <w:pPr>
                    <w:pStyle w:val="71"/>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p>
              </w:tc>
              <w:tc>
                <w:tcPr>
                  <w:tcW w:w="1236" w:type="pct"/>
                  <w:vMerge w:val="continue"/>
                  <w:noWrap w:val="0"/>
                  <w:vAlign w:val="center"/>
                </w:tcPr>
                <w:p>
                  <w:pPr>
                    <w:pStyle w:val="71"/>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50"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636" w:type="pct"/>
                  <w:noWrap w:val="0"/>
                  <w:vAlign w:val="center"/>
                </w:tcPr>
                <w:p>
                  <w:pPr>
                    <w:pStyle w:val="71"/>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一般固废库</w:t>
                  </w:r>
                  <w:r>
                    <w:rPr>
                      <w:rFonts w:hint="default" w:ascii="Times New Roman" w:hAnsi="Times New Roman" w:cs="Times New Roman" w:eastAsiaTheme="minorEastAsia"/>
                      <w:color w:val="000000" w:themeColor="text1"/>
                      <w:szCs w:val="21"/>
                      <w:lang w:eastAsia="zh-CN"/>
                      <w14:textFill>
                        <w14:solidFill>
                          <w14:schemeClr w14:val="tx1"/>
                        </w14:solidFill>
                      </w14:textFill>
                    </w:rPr>
                    <w:t>、食堂</w:t>
                  </w:r>
                </w:p>
              </w:tc>
              <w:tc>
                <w:tcPr>
                  <w:tcW w:w="777" w:type="pct"/>
                  <w:noWrap w:val="0"/>
                  <w:vAlign w:val="center"/>
                </w:tcPr>
                <w:p>
                  <w:pPr>
                    <w:pStyle w:val="71"/>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地面</w:t>
                  </w:r>
                </w:p>
              </w:tc>
              <w:tc>
                <w:tcPr>
                  <w:tcW w:w="899" w:type="pct"/>
                  <w:vMerge w:val="restart"/>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一般防渗区</w:t>
                  </w:r>
                </w:p>
              </w:tc>
              <w:tc>
                <w:tcPr>
                  <w:tcW w:w="1236" w:type="pct"/>
                  <w:vMerge w:val="restart"/>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等效黏土防渗层Mb≥1.5m，K≤1×10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50" w:type="pct"/>
                  <w:vMerge w:val="continue"/>
                  <w:noWrap w:val="0"/>
                  <w:vAlign w:val="center"/>
                </w:tcPr>
                <w:p>
                  <w:pPr>
                    <w:pStyle w:val="71"/>
                    <w:jc w:val="center"/>
                    <w:rPr>
                      <w:rFonts w:hint="default" w:ascii="Times New Roman" w:hAnsi="Times New Roman" w:cs="Times New Roman"/>
                      <w:color w:val="000000" w:themeColor="text1"/>
                      <w14:textFill>
                        <w14:solidFill>
                          <w14:schemeClr w14:val="tx1"/>
                        </w14:solidFill>
                      </w14:textFill>
                    </w:rPr>
                  </w:pPr>
                </w:p>
              </w:tc>
              <w:tc>
                <w:tcPr>
                  <w:tcW w:w="1636" w:type="pct"/>
                  <w:noWrap w:val="0"/>
                  <w:vAlign w:val="center"/>
                </w:tcPr>
                <w:p>
                  <w:pPr>
                    <w:pStyle w:val="71"/>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化粪池</w:t>
                  </w:r>
                </w:p>
              </w:tc>
              <w:tc>
                <w:tcPr>
                  <w:tcW w:w="777" w:type="pct"/>
                  <w:noWrap w:val="0"/>
                  <w:vAlign w:val="center"/>
                </w:tcPr>
                <w:p>
                  <w:pPr>
                    <w:pStyle w:val="71"/>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池底及四周</w:t>
                  </w:r>
                </w:p>
              </w:tc>
              <w:tc>
                <w:tcPr>
                  <w:tcW w:w="899" w:type="pct"/>
                  <w:vMerge w:val="continue"/>
                  <w:noWrap w:val="0"/>
                  <w:vAlign w:val="center"/>
                </w:tcPr>
                <w:p>
                  <w:pPr>
                    <w:pStyle w:val="71"/>
                    <w:jc w:val="center"/>
                    <w:rPr>
                      <w:rFonts w:hint="default" w:ascii="Times New Roman" w:hAnsi="Times New Roman" w:cs="Times New Roman" w:eastAsiaTheme="minorEastAsia"/>
                      <w:color w:val="000000" w:themeColor="text1"/>
                      <w:szCs w:val="21"/>
                      <w14:textFill>
                        <w14:solidFill>
                          <w14:schemeClr w14:val="tx1"/>
                        </w14:solidFill>
                      </w14:textFill>
                    </w:rPr>
                  </w:pPr>
                </w:p>
              </w:tc>
              <w:tc>
                <w:tcPr>
                  <w:tcW w:w="1236" w:type="pct"/>
                  <w:vMerge w:val="continue"/>
                  <w:noWrap w:val="0"/>
                  <w:vAlign w:val="center"/>
                </w:tcPr>
                <w:p>
                  <w:pPr>
                    <w:pStyle w:val="71"/>
                    <w:jc w:val="center"/>
                    <w:rPr>
                      <w:rFonts w:hint="default" w:ascii="Times New Roman" w:hAnsi="Times New Roman" w:cs="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0"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636" w:type="pct"/>
                  <w:noWrap w:val="0"/>
                  <w:vAlign w:val="center"/>
                </w:tcPr>
                <w:p>
                  <w:pPr>
                    <w:pStyle w:val="71"/>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办公楼、</w:t>
                  </w:r>
                  <w:bookmarkStart w:id="10" w:name="OLE_LINK1"/>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宿舍</w:t>
                  </w:r>
                  <w:bookmarkEnd w:id="10"/>
                </w:p>
              </w:tc>
              <w:tc>
                <w:tcPr>
                  <w:tcW w:w="777" w:type="pct"/>
                  <w:noWrap w:val="0"/>
                  <w:vAlign w:val="center"/>
                </w:tcPr>
                <w:p>
                  <w:pPr>
                    <w:pStyle w:val="71"/>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地面</w:t>
                  </w:r>
                </w:p>
              </w:tc>
              <w:tc>
                <w:tcPr>
                  <w:tcW w:w="899" w:type="pct"/>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简单防渗区</w:t>
                  </w:r>
                </w:p>
              </w:tc>
              <w:tc>
                <w:tcPr>
                  <w:tcW w:w="1236" w:type="pct"/>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一般地面硬化</w:t>
                  </w:r>
                </w:p>
              </w:tc>
            </w:tr>
          </w:tbl>
          <w:p>
            <w:pPr>
              <w:pStyle w:val="14"/>
              <w:spacing w:before="0" w:after="0" w:line="360" w:lineRule="auto"/>
              <w:ind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项目分区防渗设计情况如下：</w:t>
            </w:r>
          </w:p>
          <w:p>
            <w:pPr>
              <w:pStyle w:val="14"/>
              <w:spacing w:before="0" w:after="0" w:line="360" w:lineRule="auto"/>
              <w:ind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1）重点防渗区</w:t>
            </w:r>
          </w:p>
          <w:p>
            <w:pPr>
              <w:pStyle w:val="14"/>
              <w:spacing w:before="0" w:after="0" w:line="360" w:lineRule="auto"/>
              <w:ind w:right="0" w:firstLine="480" w:firstLineChars="200"/>
              <w:rPr>
                <w:rFonts w:hint="default" w:ascii="Times New Roman" w:hAnsi="Times New Roman"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隔油池、辅料区、生产作业区、危废库</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油水分离池、</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自建污水处理设施</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进行重点防渗处理，要求先用水泥对地面进行硬化，再刷上环氧树脂防渗涂层，确保等效黏土防渗层Mb≥6.0m，K≤1×10</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szCs w:val="24"/>
                <w:lang w:val="en-US" w:eastAsia="zh-CN"/>
                <w14:textFill>
                  <w14:solidFill>
                    <w14:schemeClr w14:val="tx1"/>
                  </w14:solidFill>
                </w14:textFill>
              </w:rPr>
              <w:t>cm/s。此外，机械设备底座加装托盘设施。</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2）一般防渗区</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目一般固废库、食堂、化粪池为一</w:t>
            </w:r>
            <w:r>
              <w:rPr>
                <w:rFonts w:hint="default" w:ascii="Times New Roman" w:hAnsi="Times New Roman" w:cs="Times New Roman"/>
                <w:color w:val="000000" w:themeColor="text1"/>
                <w:sz w:val="24"/>
                <w:szCs w:val="24"/>
                <w:lang w:eastAsia="zh-CN"/>
                <w14:textFill>
                  <w14:solidFill>
                    <w14:schemeClr w14:val="tx1"/>
                  </w14:solidFill>
                </w14:textFill>
              </w:rPr>
              <w:t>般防渗区，</w:t>
            </w:r>
            <w:r>
              <w:rPr>
                <w:rFonts w:hint="default" w:ascii="Times New Roman" w:hAnsi="Times New Roman" w:cs="Times New Roman"/>
                <w:color w:val="000000" w:themeColor="text1"/>
                <w:sz w:val="24"/>
                <w:szCs w:val="24"/>
                <w14:textFill>
                  <w14:solidFill>
                    <w14:schemeClr w14:val="tx1"/>
                  </w14:solidFill>
                </w14:textFill>
              </w:rPr>
              <w:t>采用防渗混凝土硬化，等效黏土防渗层Mb≥1.5m，K≤1×10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cm/s。</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3）简单防渗区（一般地面硬化）</w:t>
            </w:r>
          </w:p>
          <w:p>
            <w:pPr>
              <w:pStyle w:val="14"/>
              <w:widowControl w:val="0"/>
              <w:snapToGrid/>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项目办公楼、宿舍等简单防渗，</w:t>
            </w:r>
            <w:r>
              <w:rPr>
                <w:rFonts w:hint="default" w:ascii="Times New Roman" w:hAnsi="Times New Roman" w:cs="Times New Roman"/>
                <w:color w:val="000000" w:themeColor="text1"/>
                <w:sz w:val="24"/>
                <w:szCs w:val="24"/>
                <w14:textFill>
                  <w14:solidFill>
                    <w14:schemeClr w14:val="tx1"/>
                  </w14:solidFill>
                </w14:textFill>
              </w:rPr>
              <w:t>采用普通水泥硬化。</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4）地面漫流防治措施</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辅料仓库及危废暂存库入口处设置围堰，高度为10cm，围堰内容积可满足区域物料最大泄露需求，项目液态物料泄露会控制在辅料仓库或危废暂存库内，同时安排人员巡查，物料泄露可以做到及时发现，不会形成地面漫流。</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5）大气沉降防治措施</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大气沉降主要是厂区各废气污染物落地后进入土壤，污染区域土壤环境，项目针对各类废气设置相应的收集及处置措施，各类废气经收集处理后均能满足相关排放标准要求，因此，大气沉降对区域地下水及土壤的影响可接受。</w:t>
            </w:r>
          </w:p>
          <w:p>
            <w:pPr>
              <w:pStyle w:val="14"/>
              <w:widowControl w:val="0"/>
              <w:snapToGrid/>
              <w:spacing w:before="0" w:after="0" w:line="360" w:lineRule="auto"/>
              <w:ind w:right="0"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（3）跟踪监测情况</w:t>
            </w:r>
          </w:p>
          <w:p>
            <w:pPr>
              <w:pStyle w:val="14"/>
              <w:spacing w:after="0" w:line="360" w:lineRule="auto"/>
              <w:ind w:right="0" w:firstLine="480" w:firstLineChars="200"/>
              <w:rPr>
                <w:rFonts w:hint="default" w:ascii="Times New Roman" w:hAnsi="Times New Roman"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根据《建设项目环境影响报告表编制技术指南（污染影响类）（试行）》要求，项目无需进行跟踪监测。</w:t>
            </w:r>
          </w:p>
          <w:p>
            <w:pPr>
              <w:widowControl/>
              <w:spacing w:line="360" w:lineRule="auto"/>
              <w:ind w:firstLine="482" w:firstLineChars="200"/>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六、</w:t>
            </w:r>
            <w:r>
              <w:rPr>
                <w:rFonts w:hint="default" w:ascii="Times New Roman" w:hAnsi="Times New Roman" w:cs="Times New Roman"/>
                <w:b/>
                <w:color w:val="000000" w:themeColor="text1"/>
                <w:kern w:val="0"/>
                <w:sz w:val="24"/>
                <w14:textFill>
                  <w14:solidFill>
                    <w14:schemeClr w14:val="tx1"/>
                  </w14:solidFill>
                </w14:textFill>
              </w:rPr>
              <w:t>环境风险分析</w:t>
            </w:r>
          </w:p>
          <w:p>
            <w:pPr>
              <w:wordWrap w:val="0"/>
              <w:topLinePunct/>
              <w:spacing w:line="360" w:lineRule="auto"/>
              <w:ind w:firstLine="482" w:firstLineChars="200"/>
              <w:contextualSpacing/>
              <w:textAlignment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1）风险物质存储及分布</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主要识别内容为原辅材料、燃料、最终产品、污染物、火灾和爆炸伴生/次生物等。本项目运营期所使用的</w:t>
            </w:r>
            <w:r>
              <w:rPr>
                <w:rFonts w:hint="default" w:ascii="Times New Roman" w:hAnsi="Times New Roman" w:cs="Times New Roman"/>
                <w:color w:val="000000" w:themeColor="text1"/>
                <w:sz w:val="24"/>
                <w:lang w:eastAsia="zh-CN"/>
                <w14:textFill>
                  <w14:solidFill>
                    <w14:schemeClr w14:val="tx1"/>
                  </w14:solidFill>
                </w14:textFill>
              </w:rPr>
              <w:t>水性脱模剂、</w:t>
            </w:r>
            <w:r>
              <w:rPr>
                <w:rFonts w:hint="default" w:ascii="Times New Roman" w:hAnsi="Times New Roman" w:eastAsia="宋体" w:cs="Times New Roman"/>
                <w:color w:val="000000" w:themeColor="text1"/>
                <w:sz w:val="24"/>
                <w:lang w:val="en-US" w:eastAsia="zh-CN"/>
                <w14:textFill>
                  <w14:solidFill>
                    <w14:schemeClr w14:val="tx1"/>
                  </w14:solidFill>
                </w14:textFill>
              </w:rPr>
              <w:t>切削液、</w:t>
            </w:r>
            <w:r>
              <w:rPr>
                <w:rFonts w:hint="default" w:ascii="Times New Roman" w:hAnsi="Times New Roman" w:cs="Times New Roman"/>
                <w:color w:val="000000" w:themeColor="text1"/>
                <w:sz w:val="24"/>
                <w:lang w:val="en-US" w:eastAsia="zh-CN"/>
                <w14:textFill>
                  <w14:solidFill>
                    <w14:schemeClr w14:val="tx1"/>
                  </w14:solidFill>
                </w14:textFill>
              </w:rPr>
              <w:t>机油等</w:t>
            </w:r>
            <w:r>
              <w:rPr>
                <w:rFonts w:hint="default" w:ascii="Times New Roman" w:hAnsi="Times New Roman" w:cs="Times New Roman"/>
                <w:color w:val="000000" w:themeColor="text1"/>
                <w:sz w:val="24"/>
                <w14:textFill>
                  <w14:solidFill>
                    <w14:schemeClr w14:val="tx1"/>
                  </w14:solidFill>
                </w14:textFill>
              </w:rPr>
              <w:t>其储存可能会发生泄漏，导致环境污染事故；</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项目使用的天然气燃料，</w:t>
            </w:r>
            <w:r>
              <w:rPr>
                <w:rFonts w:hint="default" w:ascii="Times New Roman" w:hAnsi="Times New Roman" w:cs="Times New Roman"/>
                <w:color w:val="000000" w:themeColor="text1"/>
                <w:spacing w:val="0"/>
                <w:sz w:val="24"/>
                <w:szCs w:val="24"/>
                <w:lang w:eastAsia="zh-CN"/>
                <w14:textFill>
                  <w14:solidFill>
                    <w14:schemeClr w14:val="tx1"/>
                  </w14:solidFill>
                </w14:textFill>
              </w:rPr>
              <w:t>如不严格监控，容易发生火灾；</w:t>
            </w:r>
            <w:r>
              <w:rPr>
                <w:rFonts w:hint="default" w:ascii="Times New Roman" w:hAnsi="Times New Roman" w:cs="Times New Roman"/>
                <w:color w:val="000000" w:themeColor="text1"/>
                <w:sz w:val="24"/>
                <w14:textFill>
                  <w14:solidFill>
                    <w14:schemeClr w14:val="tx1"/>
                  </w14:solidFill>
                </w14:textFill>
              </w:rPr>
              <w:t>项目危险废物在储存、转移过程中如发生泄漏，可能导致环境污染事故；项目废气处理设施发生故障，废气超标排放对周围环境空气质量造成严重影响。</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具体见下表。</w:t>
            </w:r>
          </w:p>
          <w:p>
            <w:pPr>
              <w:widowControl/>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表4-</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30 </w:t>
            </w:r>
            <w:r>
              <w:rPr>
                <w:rFonts w:hint="default" w:ascii="Times New Roman" w:hAnsi="Times New Roman" w:cs="Times New Roman"/>
                <w:b/>
                <w:bCs/>
                <w:color w:val="000000" w:themeColor="text1"/>
                <w:sz w:val="24"/>
                <w:szCs w:val="24"/>
                <w14:textFill>
                  <w14:solidFill>
                    <w14:schemeClr w14:val="tx1"/>
                  </w14:solidFill>
                </w14:textFill>
              </w:rPr>
              <w:t xml:space="preserve"> </w:t>
            </w:r>
            <w:r>
              <w:rPr>
                <w:rFonts w:hint="default" w:ascii="Times New Roman" w:hAnsi="Times New Roman" w:cs="Times New Roman"/>
                <w:b/>
                <w:bCs/>
                <w:color w:val="000000" w:themeColor="text1"/>
                <w:sz w:val="24"/>
                <w:szCs w:val="24"/>
                <w:lang w:eastAsia="zh-CN"/>
                <w14:textFill>
                  <w14:solidFill>
                    <w14:schemeClr w14:val="tx1"/>
                  </w14:solidFill>
                </w14:textFill>
              </w:rPr>
              <w:t>风险物质</w:t>
            </w:r>
            <w:r>
              <w:rPr>
                <w:rFonts w:hint="default" w:ascii="Times New Roman" w:hAnsi="Times New Roman" w:cs="Times New Roman"/>
                <w:b/>
                <w:bCs/>
                <w:color w:val="000000" w:themeColor="text1"/>
                <w:sz w:val="24"/>
                <w:szCs w:val="24"/>
                <w14:textFill>
                  <w14:solidFill>
                    <w14:schemeClr w14:val="tx1"/>
                  </w14:solidFill>
                </w14:textFill>
              </w:rPr>
              <w:t>储存情况</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8"/>
              <w:gridCol w:w="1739"/>
              <w:gridCol w:w="2158"/>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9" w:type="pct"/>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原料名称</w:t>
                  </w:r>
                </w:p>
              </w:tc>
              <w:tc>
                <w:tcPr>
                  <w:tcW w:w="982" w:type="pct"/>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年消耗量</w:t>
                  </w:r>
                  <w:r>
                    <w:rPr>
                      <w:rFonts w:hint="default" w:ascii="Times New Roman" w:hAnsi="Times New Roman" w:cs="Times New Roman"/>
                      <w:color w:val="000000" w:themeColor="text1"/>
                      <w:sz w:val="21"/>
                      <w:szCs w:val="21"/>
                      <w14:textFill>
                        <w14:solidFill>
                          <w14:schemeClr w14:val="tx1"/>
                        </w14:solidFill>
                      </w14:textFill>
                    </w:rPr>
                    <w:t>t</w:t>
                  </w:r>
                </w:p>
              </w:tc>
              <w:tc>
                <w:tcPr>
                  <w:tcW w:w="1219" w:type="pct"/>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厂区最大储存量</w:t>
                  </w:r>
                  <w:r>
                    <w:rPr>
                      <w:rFonts w:hint="default" w:ascii="Times New Roman" w:hAnsi="Times New Roman" w:cs="Times New Roman"/>
                      <w:color w:val="000000" w:themeColor="text1"/>
                      <w:sz w:val="21"/>
                      <w:szCs w:val="21"/>
                      <w14:textFill>
                        <w14:solidFill>
                          <w14:schemeClr w14:val="tx1"/>
                        </w14:solidFill>
                      </w14:textFill>
                    </w:rPr>
                    <w:t>t</w:t>
                  </w:r>
                </w:p>
              </w:tc>
              <w:tc>
                <w:tcPr>
                  <w:tcW w:w="1278" w:type="pct"/>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厂区储存位置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9"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水性脱模剂</w:t>
                  </w:r>
                </w:p>
              </w:tc>
              <w:tc>
                <w:tcPr>
                  <w:tcW w:w="982"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219" w:type="pct"/>
                  <w:noWrap w:val="0"/>
                  <w:vAlign w:val="center"/>
                </w:tcPr>
                <w:p>
                  <w:pPr>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1278" w:type="pct"/>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9"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切削液</w:t>
                  </w:r>
                </w:p>
              </w:tc>
              <w:tc>
                <w:tcPr>
                  <w:tcW w:w="982"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1219"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1278" w:type="pct"/>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9" w:type="pct"/>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机油</w:t>
                  </w:r>
                </w:p>
              </w:tc>
              <w:tc>
                <w:tcPr>
                  <w:tcW w:w="982"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1219"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278" w:type="pct"/>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9"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振动研磨剂</w:t>
                  </w:r>
                </w:p>
              </w:tc>
              <w:tc>
                <w:tcPr>
                  <w:tcW w:w="982"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219"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1278" w:type="pct"/>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9" w:type="pct"/>
                  <w:noWrap w:val="0"/>
                  <w:vAlign w:val="center"/>
                </w:tcPr>
                <w:p>
                  <w:pPr>
                    <w:pStyle w:val="71"/>
                    <w:kinsoku w:val="0"/>
                    <w:overflowPunct w:val="0"/>
                    <w:spacing w:line="273"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w:t>
                  </w:r>
                </w:p>
              </w:tc>
              <w:tc>
                <w:tcPr>
                  <w:tcW w:w="982" w:type="pct"/>
                  <w:noWrap w:val="0"/>
                  <w:vAlign w:val="center"/>
                </w:tcPr>
                <w:p>
                  <w:pPr>
                    <w:pStyle w:val="71"/>
                    <w:kinsoku w:val="0"/>
                    <w:overflowPunct w:val="0"/>
                    <w:spacing w:before="49"/>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48.6万</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b w:val="0"/>
                      <w:bCs w:val="0"/>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/a</w:t>
                  </w:r>
                </w:p>
              </w:tc>
              <w:tc>
                <w:tcPr>
                  <w:tcW w:w="1219" w:type="pct"/>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20min在线量0.05</w:t>
                  </w:r>
                </w:p>
              </w:tc>
              <w:tc>
                <w:tcPr>
                  <w:tcW w:w="1278"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市政燃气管道</w:t>
                  </w:r>
                  <w:r>
                    <w:rPr>
                      <w:rFonts w:hint="default" w:ascii="Times New Roman" w:hAnsi="Times New Roman" w:eastAsia="宋体" w:cs="Times New Roman"/>
                      <w:color w:val="000000" w:themeColor="text1"/>
                      <w:sz w:val="21"/>
                      <w:szCs w:val="21"/>
                      <w:highlight w:val="none"/>
                      <w14:textFill>
                        <w14:solidFill>
                          <w14:schemeClr w14:val="tx1"/>
                        </w14:solidFill>
                      </w14:textFill>
                    </w:rPr>
                    <w:t>接入，不储存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9" w:type="pct"/>
                  <w:noWrap w:val="0"/>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w:t>
                  </w:r>
                </w:p>
              </w:tc>
              <w:tc>
                <w:tcPr>
                  <w:tcW w:w="98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8.22</w:t>
                  </w:r>
                </w:p>
              </w:tc>
              <w:tc>
                <w:tcPr>
                  <w:tcW w:w="1219" w:type="pc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2.14</w:t>
                  </w:r>
                </w:p>
              </w:tc>
              <w:tc>
                <w:tcPr>
                  <w:tcW w:w="1278"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危废暂存库</w:t>
                  </w:r>
                </w:p>
              </w:tc>
            </w:tr>
          </w:tbl>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根据《建设项目环境风险评价技术导则》(HJ169-2018)，对本项目原辅材料使用情况及功能单元的重大危险源进行判定。</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当 Q&lt;1 时，该项目环境风险潜势为 I；当 Q≧1 时，将 Q 划分为（1）1≦Q&lt;10；（2）10≦Q&lt;100；（3）Q≧100</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当只涉及一种物质时，计算该物质的总量与其临界量比值，即为 Q；</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当存在多种危险物质时，则按下式计算物质总量与其临界量比值（Q）：</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Q=q1/Q1+q2/Q2+…..，+qn/Qn 式中：q1、q2……qn ——每种危险物质最大存在量，t；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Q1、Q2……Qn ——每种危险物质的临界量，t。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根据项目原辅材料及成分分析、《危险化学品重大危险源辨识》(GB18218-2018）及《建设项目环境风险评价技术导则》(HJ169-2018）。</w:t>
            </w:r>
          </w:p>
          <w:p>
            <w:pPr>
              <w:widowControl/>
              <w:spacing w:before="100" w:beforeAutospacing="1"/>
              <w:jc w:val="center"/>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表4-</w:t>
            </w:r>
            <w:r>
              <w:rPr>
                <w:rFonts w:hint="default" w:ascii="Times New Roman" w:hAnsi="Times New Roman" w:cs="Times New Roman"/>
                <w:b/>
                <w:color w:val="000000" w:themeColor="text1"/>
                <w:kern w:val="0"/>
                <w:sz w:val="24"/>
                <w:lang w:val="en-US" w:eastAsia="zh-CN"/>
                <w14:textFill>
                  <w14:solidFill>
                    <w14:schemeClr w14:val="tx1"/>
                  </w14:solidFill>
                </w14:textFill>
              </w:rPr>
              <w:t>31</w:t>
            </w:r>
            <w:r>
              <w:rPr>
                <w:rFonts w:hint="default" w:ascii="Times New Roman" w:hAnsi="Times New Roman" w:cs="Times New Roman"/>
                <w:b/>
                <w:color w:val="000000" w:themeColor="text1"/>
                <w:kern w:val="0"/>
                <w:sz w:val="24"/>
                <w14:textFill>
                  <w14:solidFill>
                    <w14:schemeClr w14:val="tx1"/>
                  </w14:solidFill>
                </w14:textFill>
              </w:rPr>
              <w:t xml:space="preserve">   本项目Q值确定表</w:t>
            </w:r>
          </w:p>
          <w:tbl>
            <w:tblPr>
              <w:tblStyle w:val="3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911"/>
              <w:gridCol w:w="950"/>
              <w:gridCol w:w="1387"/>
              <w:gridCol w:w="1164"/>
              <w:gridCol w:w="791"/>
              <w:gridCol w:w="706"/>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6" w:type="pct"/>
                  <w:vAlign w:val="center"/>
                </w:tcPr>
                <w:p>
                  <w:pPr>
                    <w:autoSpaceDE w:val="0"/>
                    <w:autoSpaceDN w:val="0"/>
                    <w:adjustRightInd w:val="0"/>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
                      <w:color w:val="000000" w:themeColor="text1"/>
                      <w:szCs w:val="21"/>
                      <w:lang w:eastAsia="zh-CN"/>
                      <w14:textFill>
                        <w14:solidFill>
                          <w14:schemeClr w14:val="tx1"/>
                        </w14:solidFill>
                      </w14:textFill>
                    </w:rPr>
                    <w:t>序号</w:t>
                  </w:r>
                </w:p>
              </w:tc>
              <w:tc>
                <w:tcPr>
                  <w:tcW w:w="1081" w:type="pct"/>
                  <w:vAlign w:val="center"/>
                </w:tcPr>
                <w:p>
                  <w:pPr>
                    <w:autoSpaceDE w:val="0"/>
                    <w:autoSpaceDN w:val="0"/>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风险物质</w:t>
                  </w:r>
                </w:p>
              </w:tc>
              <w:tc>
                <w:tcPr>
                  <w:tcW w:w="537" w:type="pct"/>
                  <w:vAlign w:val="center"/>
                </w:tcPr>
                <w:p>
                  <w:pPr>
                    <w:pStyle w:val="92"/>
                    <w:spacing w:line="240" w:lineRule="auto"/>
                    <w:jc w:val="center"/>
                    <w:rPr>
                      <w:rFonts w:hint="default" w:ascii="Times New Roman" w:hAnsi="Times New Roman" w:cs="Times New Roman"/>
                      <w:b/>
                      <w:bCs/>
                      <w:color w:val="000000" w:themeColor="text1"/>
                      <w:sz w:val="21"/>
                      <w:lang w:val="en-US" w:eastAsia="zh-CN"/>
                      <w14:textFill>
                        <w14:solidFill>
                          <w14:schemeClr w14:val="tx1"/>
                        </w14:solidFill>
                      </w14:textFill>
                    </w:rPr>
                  </w:pPr>
                  <w:r>
                    <w:rPr>
                      <w:rFonts w:hint="default" w:ascii="Times New Roman" w:hAnsi="Times New Roman" w:cs="Times New Roman"/>
                      <w:b/>
                      <w:bCs/>
                      <w:color w:val="000000" w:themeColor="text1"/>
                      <w:sz w:val="21"/>
                      <w:lang w:val="en-US" w:eastAsia="zh-CN"/>
                      <w14:textFill>
                        <w14:solidFill>
                          <w14:schemeClr w14:val="tx1"/>
                        </w14:solidFill>
                      </w14:textFill>
                    </w:rPr>
                    <w:t>危险性类别</w:t>
                  </w:r>
                </w:p>
              </w:tc>
              <w:tc>
                <w:tcPr>
                  <w:tcW w:w="784" w:type="pct"/>
                  <w:vAlign w:val="center"/>
                </w:tcPr>
                <w:p>
                  <w:pPr>
                    <w:pStyle w:val="92"/>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bCs/>
                      <w:color w:val="000000" w:themeColor="text1"/>
                      <w:sz w:val="21"/>
                      <w:lang w:val="en-US" w:eastAsia="zh-CN"/>
                      <w14:textFill>
                        <w14:solidFill>
                          <w14:schemeClr w14:val="tx1"/>
                        </w14:solidFill>
                      </w14:textFill>
                    </w:rPr>
                    <w:t>C</w:t>
                  </w:r>
                  <w:r>
                    <w:rPr>
                      <w:rFonts w:hint="default" w:ascii="Times New Roman" w:hAnsi="Times New Roman" w:eastAsia="宋体" w:cs="Times New Roman"/>
                      <w:b/>
                      <w:bCs/>
                      <w:color w:val="000000" w:themeColor="text1"/>
                      <w:sz w:val="21"/>
                      <w:lang w:val="en-US" w:eastAsia="zh-CN"/>
                      <w14:textFill>
                        <w14:solidFill>
                          <w14:schemeClr w14:val="tx1"/>
                        </w14:solidFill>
                      </w14:textFill>
                    </w:rPr>
                    <w:t>AS</w:t>
                  </w:r>
                  <w:r>
                    <w:rPr>
                      <w:rFonts w:hint="default" w:ascii="Times New Roman" w:hAnsi="Times New Roman" w:cs="Times New Roman"/>
                      <w:b/>
                      <w:bCs/>
                      <w:color w:val="000000" w:themeColor="text1"/>
                      <w:sz w:val="21"/>
                      <w:lang w:val="en-US" w:eastAsia="zh-CN"/>
                      <w14:textFill>
                        <w14:solidFill>
                          <w14:schemeClr w14:val="tx1"/>
                        </w14:solidFill>
                      </w14:textFill>
                    </w:rPr>
                    <w:t>号</w:t>
                  </w:r>
                </w:p>
              </w:tc>
              <w:tc>
                <w:tcPr>
                  <w:tcW w:w="658" w:type="pct"/>
                  <w:vAlign w:val="center"/>
                </w:tcPr>
                <w:p>
                  <w:pPr>
                    <w:autoSpaceDE w:val="0"/>
                    <w:autoSpaceDN w:val="0"/>
                    <w:adjustRightIn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最大在线量</w:t>
                  </w:r>
                </w:p>
              </w:tc>
              <w:tc>
                <w:tcPr>
                  <w:tcW w:w="447" w:type="pct"/>
                  <w:vAlign w:val="center"/>
                </w:tcPr>
                <w:p>
                  <w:pPr>
                    <w:autoSpaceDE w:val="0"/>
                    <w:autoSpaceDN w:val="0"/>
                    <w:adjustRightIn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最大储存量</w:t>
                  </w:r>
                  <w:r>
                    <w:rPr>
                      <w:rFonts w:hint="default" w:ascii="Times New Roman" w:hAnsi="Times New Roman" w:eastAsia="宋体" w:cs="Times New Roman"/>
                      <w:b/>
                      <w:color w:val="000000" w:themeColor="text1"/>
                      <w:szCs w:val="21"/>
                      <w:lang w:val="en-US" w:eastAsia="zh-CN"/>
                      <w14:textFill>
                        <w14:solidFill>
                          <w14:schemeClr w14:val="tx1"/>
                        </w14:solidFill>
                      </w14:textFill>
                    </w:rPr>
                    <w:t>t</w:t>
                  </w:r>
                </w:p>
              </w:tc>
              <w:tc>
                <w:tcPr>
                  <w:tcW w:w="396" w:type="pct"/>
                  <w:vAlign w:val="center"/>
                </w:tcPr>
                <w:p>
                  <w:pPr>
                    <w:autoSpaceDE w:val="0"/>
                    <w:autoSpaceDN w:val="0"/>
                    <w:adjustRightIn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szCs w:val="21"/>
                      <w:lang w:eastAsia="zh-CN"/>
                      <w14:textFill>
                        <w14:solidFill>
                          <w14:schemeClr w14:val="tx1"/>
                        </w14:solidFill>
                      </w14:textFill>
                    </w:rPr>
                    <w:t>临界量</w:t>
                  </w:r>
                  <w:r>
                    <w:rPr>
                      <w:rFonts w:hint="default" w:ascii="Times New Roman" w:hAnsi="Times New Roman" w:eastAsia="宋体" w:cs="Times New Roman"/>
                      <w:b/>
                      <w:color w:val="000000" w:themeColor="text1"/>
                      <w:szCs w:val="21"/>
                      <w:lang w:val="en-US" w:eastAsia="zh-CN"/>
                      <w14:textFill>
                        <w14:solidFill>
                          <w14:schemeClr w14:val="tx1"/>
                        </w14:solidFill>
                      </w14:textFill>
                    </w:rPr>
                    <w:t>t</w:t>
                  </w:r>
                </w:p>
              </w:tc>
              <w:tc>
                <w:tcPr>
                  <w:tcW w:w="737" w:type="pct"/>
                  <w:vAlign w:val="center"/>
                </w:tcPr>
                <w:p>
                  <w:pPr>
                    <w:autoSpaceDE w:val="0"/>
                    <w:autoSpaceDN w:val="0"/>
                    <w:adjustRightIn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6" w:type="pct"/>
                  <w:vAlign w:val="center"/>
                </w:tcPr>
                <w:p>
                  <w:pPr>
                    <w:spacing w:line="320" w:lineRule="exact"/>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w:t>
                  </w:r>
                </w:p>
              </w:tc>
              <w:tc>
                <w:tcPr>
                  <w:tcW w:w="1081" w:type="pct"/>
                  <w:vAlign w:val="center"/>
                </w:tcPr>
                <w:p>
                  <w:pPr>
                    <w:spacing w:line="320" w:lineRule="exact"/>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eastAsia="zh-CN"/>
                      <w14:textFill>
                        <w14:solidFill>
                          <w14:schemeClr w14:val="tx1"/>
                        </w14:solidFill>
                      </w14:textFill>
                    </w:rPr>
                    <w:t>脱</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模剂</w:t>
                  </w:r>
                </w:p>
                <w:p>
                  <w:pPr>
                    <w:spacing w:line="320" w:lineRule="exact"/>
                    <w:jc w:val="center"/>
                    <w:rPr>
                      <w:rFonts w:hint="default" w:ascii="Times New Roman" w:hAnsi="Times New Roman" w:eastAsia="宋体" w:cs="Times New Roman"/>
                      <w:color w:val="000000" w:themeColor="text1"/>
                      <w:sz w:val="21"/>
                      <w:szCs w:val="24"/>
                      <w:lang w:val="zh-CN"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r>
                    <w:rPr>
                      <w:rFonts w:hint="default" w:ascii="Times New Roman" w:hAnsi="Times New Roman" w:cs="Times New Roman"/>
                      <w:color w:val="000000" w:themeColor="text1"/>
                      <w:sz w:val="21"/>
                      <w:szCs w:val="24"/>
                      <w:lang w:val="en-US" w:eastAsia="zh-CN"/>
                      <w14:textFill>
                        <w14:solidFill>
                          <w14:schemeClr w14:val="tx1"/>
                        </w14:solidFill>
                      </w14:textFill>
                    </w:rPr>
                    <w:t>1t</w:t>
                  </w:r>
                  <w:r>
                    <w:rPr>
                      <w:rFonts w:hint="default" w:ascii="Times New Roman" w:hAnsi="Times New Roman" w:cs="Times New Roman"/>
                      <w:color w:val="000000" w:themeColor="text1"/>
                      <w:sz w:val="21"/>
                      <w:szCs w:val="24"/>
                      <w:lang w:eastAsia="zh-CN"/>
                      <w14:textFill>
                        <w14:solidFill>
                          <w14:schemeClr w14:val="tx1"/>
                        </w14:solidFill>
                      </w14:textFill>
                    </w:rPr>
                    <w:t>）</w:t>
                  </w:r>
                </w:p>
              </w:tc>
              <w:tc>
                <w:tcPr>
                  <w:tcW w:w="537" w:type="pct"/>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有毒</w:t>
                  </w:r>
                  <w:r>
                    <w:rPr>
                      <w:rFonts w:hint="default" w:ascii="Times New Roman" w:hAnsi="Times New Roman" w:cs="Times New Roman"/>
                      <w:color w:val="000000" w:themeColor="text1"/>
                      <w:kern w:val="0"/>
                      <w:szCs w:val="21"/>
                      <w:highlight w:val="none"/>
                      <w:lang w:eastAsia="zh-CN"/>
                      <w14:textFill>
                        <w14:solidFill>
                          <w14:schemeClr w14:val="tx1"/>
                        </w14:solidFill>
                      </w14:textFill>
                    </w:rPr>
                    <w:t>物质</w:t>
                  </w:r>
                </w:p>
              </w:tc>
              <w:tc>
                <w:tcPr>
                  <w:tcW w:w="784" w:type="pct"/>
                  <w:vAlign w:val="center"/>
                </w:tcPr>
                <w:p>
                  <w:pPr>
                    <w:autoSpaceDE w:val="0"/>
                    <w:autoSpaceDN w:val="0"/>
                    <w:adjustRightInd w:val="0"/>
                    <w:jc w:val="center"/>
                    <w:rPr>
                      <w:rFonts w:hint="default" w:ascii="Times New Roman" w:hAnsi="Times New Roman" w:cs="Times New Roman"/>
                      <w:color w:val="000000" w:themeColor="text1"/>
                      <w:spacing w:val="0"/>
                      <w:highlight w:val="no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5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396" w:type="pct"/>
                  <w:vAlign w:val="center"/>
                </w:tcPr>
                <w:p>
                  <w:pPr>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5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081" w:type="pct"/>
                  <w:vAlign w:val="center"/>
                </w:tcPr>
                <w:p>
                  <w:pPr>
                    <w:spacing w:line="320" w:lineRule="exact"/>
                    <w:jc w:val="center"/>
                    <w:rPr>
                      <w:rFonts w:hint="default" w:ascii="Times New Roman" w:hAnsi="Times New Roman" w:eastAsia="宋体" w:cs="Times New Roman"/>
                      <w:color w:val="000000" w:themeColor="text1"/>
                      <w:sz w:val="21"/>
                      <w:szCs w:val="24"/>
                      <w:lang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切削液</w:t>
                  </w:r>
                </w:p>
              </w:tc>
              <w:tc>
                <w:tcPr>
                  <w:tcW w:w="537" w:type="pct"/>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有毒</w:t>
                  </w:r>
                  <w:r>
                    <w:rPr>
                      <w:rFonts w:hint="default" w:ascii="Times New Roman" w:hAnsi="Times New Roman" w:cs="Times New Roman"/>
                      <w:color w:val="000000" w:themeColor="text1"/>
                      <w:kern w:val="0"/>
                      <w:szCs w:val="21"/>
                      <w:highlight w:val="none"/>
                      <w:lang w:eastAsia="zh-CN"/>
                      <w14:textFill>
                        <w14:solidFill>
                          <w14:schemeClr w14:val="tx1"/>
                        </w14:solidFill>
                      </w14:textFill>
                    </w:rPr>
                    <w:t>物质</w:t>
                  </w:r>
                </w:p>
              </w:tc>
              <w:tc>
                <w:tcPr>
                  <w:tcW w:w="78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5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396" w:type="pct"/>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250</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0</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5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08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机油</w:t>
                  </w:r>
                </w:p>
              </w:tc>
              <w:tc>
                <w:tcPr>
                  <w:tcW w:w="537" w:type="pct"/>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有毒</w:t>
                  </w:r>
                  <w:r>
                    <w:rPr>
                      <w:rFonts w:hint="default" w:ascii="Times New Roman" w:hAnsi="Times New Roman" w:cs="Times New Roman"/>
                      <w:color w:val="000000" w:themeColor="text1"/>
                      <w:kern w:val="0"/>
                      <w:szCs w:val="21"/>
                      <w:highlight w:val="none"/>
                      <w:lang w:eastAsia="zh-CN"/>
                      <w14:textFill>
                        <w14:solidFill>
                          <w14:schemeClr w14:val="tx1"/>
                        </w14:solidFill>
                      </w14:textFill>
                    </w:rPr>
                    <w:t>物质</w:t>
                  </w:r>
                </w:p>
              </w:tc>
              <w:tc>
                <w:tcPr>
                  <w:tcW w:w="78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5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w:t>
                  </w:r>
                </w:p>
              </w:tc>
              <w:tc>
                <w:tcPr>
                  <w:tcW w:w="4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39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2500</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5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08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振动研磨剂</w:t>
                  </w:r>
                </w:p>
              </w:tc>
              <w:tc>
                <w:tcPr>
                  <w:tcW w:w="5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有毒物质</w:t>
                  </w:r>
                </w:p>
              </w:tc>
              <w:tc>
                <w:tcPr>
                  <w:tcW w:w="78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5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39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5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5</w:t>
                  </w:r>
                </w:p>
              </w:tc>
              <w:tc>
                <w:tcPr>
                  <w:tcW w:w="108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sz w:val="21"/>
                      <w:szCs w:val="21"/>
                      <w:highlight w:val="none"/>
                      <w14:textFill>
                        <w14:solidFill>
                          <w14:schemeClr w14:val="tx1"/>
                        </w14:solidFill>
                      </w14:textFill>
                    </w:rPr>
                    <w:t>（甲烷）</w:t>
                  </w:r>
                </w:p>
              </w:tc>
              <w:tc>
                <w:tcPr>
                  <w:tcW w:w="537" w:type="pct"/>
                  <w:vAlign w:val="center"/>
                </w:tcPr>
                <w:p>
                  <w:pPr>
                    <w:autoSpaceDE w:val="0"/>
                    <w:autoSpaceDN w:val="0"/>
                    <w:adjustRightInd w:val="0"/>
                    <w:jc w:val="center"/>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易燃</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物质</w:t>
                  </w:r>
                </w:p>
              </w:tc>
              <w:tc>
                <w:tcPr>
                  <w:tcW w:w="784" w:type="pct"/>
                  <w:vAlign w:val="center"/>
                </w:tcPr>
                <w:p>
                  <w:pPr>
                    <w:autoSpaceDE w:val="0"/>
                    <w:autoSpaceDN w:val="0"/>
                    <w:adjustRightInd w:val="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highlight w:val="none"/>
                      <w14:textFill>
                        <w14:solidFill>
                          <w14:schemeClr w14:val="tx1"/>
                        </w14:solidFill>
                      </w14:textFill>
                    </w:rPr>
                    <w:t>74-82-8</w:t>
                  </w:r>
                </w:p>
              </w:tc>
              <w:tc>
                <w:tcPr>
                  <w:tcW w:w="65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0.05</w:t>
                  </w:r>
                </w:p>
              </w:tc>
              <w:tc>
                <w:tcPr>
                  <w:tcW w:w="4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w:t>
                  </w:r>
                </w:p>
              </w:tc>
              <w:tc>
                <w:tcPr>
                  <w:tcW w:w="396" w:type="pct"/>
                  <w:vAlign w:val="center"/>
                </w:tcPr>
                <w:p>
                  <w:pPr>
                    <w:spacing w:line="32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5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08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shd w:val="clear" w:color="auto" w:fill="FFFFFF"/>
                      <w:lang w:val="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危险废物</w:t>
                  </w:r>
                </w:p>
              </w:tc>
              <w:tc>
                <w:tcPr>
                  <w:tcW w:w="537" w:type="pct"/>
                  <w:vAlign w:val="center"/>
                </w:tcPr>
                <w:p>
                  <w:pPr>
                    <w:autoSpaceDE w:val="0"/>
                    <w:autoSpaceDN w:val="0"/>
                    <w:adjustRightInd w:val="0"/>
                    <w:spacing w:line="360" w:lineRule="exact"/>
                    <w:jc w:val="cente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有毒物质</w:t>
                  </w:r>
                </w:p>
              </w:tc>
              <w:tc>
                <w:tcPr>
                  <w:tcW w:w="78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w:t>
                  </w:r>
                </w:p>
              </w:tc>
              <w:tc>
                <w:tcPr>
                  <w:tcW w:w="65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pPr>
                </w:p>
              </w:tc>
              <w:tc>
                <w:tcPr>
                  <w:tcW w:w="4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2.14</w:t>
                  </w:r>
                </w:p>
              </w:tc>
              <w:tc>
                <w:tcPr>
                  <w:tcW w:w="39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50</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62" w:type="pct"/>
                  <w:gridSpan w:val="7"/>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合计</w:t>
                  </w:r>
                </w:p>
              </w:tc>
              <w:tc>
                <w:tcPr>
                  <w:tcW w:w="73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4792</w:t>
                  </w: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根据上表内容，本项目涉及各种物料的存储量均不超过相应的临界量，对照《危险化学品重大危险源辨识》（GB18218-2009）中相关要求，q1/Q1+ q2/Q2……+ qn</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Qn=</w:t>
            </w:r>
            <w:r>
              <w:rPr>
                <w:rFonts w:hint="default" w:ascii="Times New Roman" w:hAnsi="Times New Roman" w:cs="Times New Roman"/>
                <w:color w:val="000000" w:themeColor="text1"/>
                <w:sz w:val="24"/>
                <w:lang w:val="en-US" w:eastAsia="zh-CN"/>
                <w14:textFill>
                  <w14:solidFill>
                    <w14:schemeClr w14:val="tx1"/>
                  </w14:solidFill>
                </w14:textFill>
              </w:rPr>
              <w:t>0.04792</w:t>
            </w:r>
            <w:r>
              <w:rPr>
                <w:rFonts w:hint="default" w:ascii="Times New Roman" w:hAnsi="Times New Roman" w:cs="Times New Roman"/>
                <w:color w:val="000000" w:themeColor="text1"/>
                <w:sz w:val="24"/>
                <w14:textFill>
                  <w14:solidFill>
                    <w14:schemeClr w14:val="tx1"/>
                  </w14:solidFill>
                </w14:textFill>
              </w:rPr>
              <w:t>，Q＜1，项目环境风</w:t>
            </w:r>
            <w:r>
              <w:rPr>
                <w:rFonts w:hint="default" w:ascii="Times New Roman" w:hAnsi="Times New Roman" w:eastAsia="宋体" w:cs="Times New Roman"/>
                <w:color w:val="000000" w:themeColor="text1"/>
                <w:sz w:val="24"/>
                <w14:textFill>
                  <w14:solidFill>
                    <w14:schemeClr w14:val="tx1"/>
                  </w14:solidFill>
                </w14:textFill>
              </w:rPr>
              <w:t>险潜势为</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ROMAN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I</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，仅需开展简单分析</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bookmarkStart w:id="11" w:name="_Toc55981026"/>
            <w:r>
              <w:rPr>
                <w:rFonts w:hint="default" w:ascii="Times New Roman" w:hAnsi="Times New Roman" w:cs="Times New Roman"/>
                <w:b/>
                <w:bCs/>
                <w:color w:val="000000" w:themeColor="text1"/>
                <w:sz w:val="24"/>
                <w:szCs w:val="24"/>
                <w14:textFill>
                  <w14:solidFill>
                    <w14:schemeClr w14:val="tx1"/>
                  </w14:solidFill>
                </w14:textFill>
              </w:rPr>
              <w:t>（2）影响途径</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①地表水：风险物质泄漏后经雨水管网流入地表水，污染地表水；发生火灾及爆炸污染环境产生的消防废水流入地表水，污染地表水；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②地下水及土壤：风险物质泄漏后垂直入渗污染区域土壤及地下水；</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③环境空气：危险物质泄漏后挥发的有机废气以及有机废气处理设施事故排放造成污染周边环境空气，发生火灾及爆炸污染环境；</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因此，本评价主要对项目运营期可能存在的危险、有害因素进行分析，并对可能发生的突发性事件及事故所造成的人身安全与环境影响、损害程度，提出合理可行的防范、应急与减缓措施。</w:t>
            </w:r>
          </w:p>
          <w:bookmarkEnd w:id="11"/>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（3）环境风险防范措施</w:t>
            </w:r>
          </w:p>
          <w:p>
            <w:pPr>
              <w:pStyle w:val="4"/>
              <w:spacing w:before="0" w:after="0" w:line="360" w:lineRule="auto"/>
              <w:ind w:firstLine="470" w:firstLineChars="196"/>
              <w:outlineLvl w:val="2"/>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1）物料贮运风险防范措施</w:t>
            </w:r>
          </w:p>
          <w:p>
            <w:pPr>
              <w:pStyle w:val="107"/>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辅料</w:t>
            </w:r>
            <w:r>
              <w:rPr>
                <w:rFonts w:hint="default" w:ascii="Times New Roman" w:hAnsi="Times New Roman" w:cs="Times New Roman"/>
                <w:color w:val="000000" w:themeColor="text1"/>
                <w:szCs w:val="24"/>
                <w14:textFill>
                  <w14:solidFill>
                    <w14:schemeClr w14:val="tx1"/>
                  </w14:solidFill>
                </w14:textFill>
              </w:rPr>
              <w:t>仓库设置要求：</w:t>
            </w:r>
          </w:p>
          <w:p>
            <w:pPr>
              <w:widowControl/>
              <w:spacing w:line="360" w:lineRule="auto"/>
              <w:ind w:firstLine="480" w:firstLine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w:t>
            </w:r>
            <w:r>
              <w:rPr>
                <w:rFonts w:hint="default" w:ascii="Times New Roman" w:hAnsi="Times New Roman" w:eastAsia="宋体" w:cs="Times New Roman"/>
                <w:color w:val="000000" w:themeColor="text1"/>
                <w:spacing w:val="0"/>
                <w:kern w:val="0"/>
                <w:sz w:val="24"/>
                <w:szCs w:val="24"/>
                <w:lang w:val="en-US" w:eastAsia="zh-CN"/>
                <w14:textFill>
                  <w14:solidFill>
                    <w14:schemeClr w14:val="tx1"/>
                  </w14:solidFill>
                </w14:textFill>
              </w:rPr>
              <w:t>地面及裙角需进行防腐防渗处理，且为重点防渗区域，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切削液、</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机油等</w:t>
            </w:r>
            <w:r>
              <w:rPr>
                <w:rFonts w:hint="default" w:ascii="Times New Roman" w:hAnsi="Times New Roman" w:cs="Times New Roman"/>
                <w:color w:val="000000" w:themeColor="text1"/>
                <w:sz w:val="24"/>
                <w:szCs w:val="24"/>
                <w14:textFill>
                  <w14:solidFill>
                    <w14:schemeClr w14:val="tx1"/>
                  </w14:solidFill>
                </w14:textFill>
              </w:rPr>
              <w:t>存放区域设置防泄漏托盘</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eastAsia="zh-CN"/>
                <w14:textFill>
                  <w14:solidFill>
                    <w14:schemeClr w14:val="tx1"/>
                  </w14:solidFill>
                </w14:textFill>
              </w:rPr>
              <w:t>辅料</w:t>
            </w:r>
            <w:r>
              <w:rPr>
                <w:rFonts w:hint="default" w:ascii="Times New Roman" w:hAnsi="Times New Roman" w:cs="Times New Roman"/>
                <w:color w:val="000000" w:themeColor="text1"/>
                <w:kern w:val="0"/>
                <w:sz w:val="24"/>
                <w:szCs w:val="24"/>
                <w14:textFill>
                  <w14:solidFill>
                    <w14:schemeClr w14:val="tx1"/>
                  </w14:solidFill>
                </w14:textFill>
              </w:rPr>
              <w:t>仓库</w:t>
            </w:r>
            <w:r>
              <w:rPr>
                <w:rFonts w:hint="default" w:ascii="Times New Roman" w:hAnsi="Times New Roman" w:cs="Times New Roman"/>
                <w:color w:val="000000" w:themeColor="text1"/>
                <w:sz w:val="24"/>
                <w:szCs w:val="24"/>
                <w:lang w:eastAsia="zh-CN"/>
                <w14:textFill>
                  <w14:solidFill>
                    <w14:schemeClr w14:val="tx1"/>
                  </w14:solidFill>
                </w14:textFill>
              </w:rPr>
              <w:t>四周设导流沟、</w:t>
            </w:r>
            <w:r>
              <w:rPr>
                <w:rFonts w:hint="default" w:ascii="Times New Roman" w:hAnsi="Times New Roman" w:cs="Times New Roman"/>
                <w:color w:val="000000" w:themeColor="text1"/>
                <w:kern w:val="0"/>
                <w:sz w:val="24"/>
                <w:szCs w:val="24"/>
                <w14:textFill>
                  <w14:solidFill>
                    <w14:schemeClr w14:val="tx1"/>
                  </w14:solidFill>
                </w14:textFill>
              </w:rPr>
              <w:t>门口</w:t>
            </w:r>
            <w:r>
              <w:rPr>
                <w:rFonts w:hint="default" w:ascii="Times New Roman" w:hAnsi="Times New Roman" w:cs="Times New Roman"/>
                <w:color w:val="000000" w:themeColor="text1"/>
                <w:sz w:val="24"/>
                <w:szCs w:val="24"/>
                <w14:textFill>
                  <w14:solidFill>
                    <w14:schemeClr w14:val="tx1"/>
                  </w14:solidFill>
                </w14:textFill>
              </w:rPr>
              <w:t>设置围堰，防止泄漏流出</w:t>
            </w:r>
            <w:r>
              <w:rPr>
                <w:rFonts w:hint="default" w:ascii="Times New Roman" w:hAnsi="Times New Roman" w:cs="Times New Roman"/>
                <w:color w:val="000000" w:themeColor="text1"/>
                <w:kern w:val="0"/>
                <w:sz w:val="24"/>
                <w:szCs w:val="24"/>
                <w14:textFill>
                  <w14:solidFill>
                    <w14:schemeClr w14:val="tx1"/>
                  </w14:solidFill>
                </w14:textFill>
              </w:rPr>
              <w:t>仓库。</w:t>
            </w:r>
          </w:p>
          <w:p>
            <w:pPr>
              <w:widowControl/>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②建立严格的取用制度，取用专人负责，禁止无关人员接触。</w:t>
            </w:r>
          </w:p>
          <w:p>
            <w:pPr>
              <w:widowControl/>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③储存于阴凉、通风仓库内。远离火种、热源。</w:t>
            </w:r>
          </w:p>
          <w:p>
            <w:pPr>
              <w:widowControl/>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④应与易燃或可燃物等分开存放。</w:t>
            </w:r>
          </w:p>
          <w:p>
            <w:pPr>
              <w:widowControl/>
              <w:spacing w:line="360" w:lineRule="auto"/>
              <w:ind w:firstLine="48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⑤使用或运输过程中发生泄露，建议应急处理人员穿戴穿防护服、防护面具等设备对其进行清理，严禁直接接触泄漏物品。</w:t>
            </w:r>
          </w:p>
          <w:p>
            <w:pPr>
              <w:pStyle w:val="4"/>
              <w:spacing w:before="0" w:after="0" w:line="360" w:lineRule="auto"/>
              <w:ind w:firstLine="472" w:firstLineChars="196"/>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2）危险废物事故风险防范措施</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为避免危废对环境的危害，建议采取以下措施：</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①项目设置专门的危废暂存库，用于储存项目区产生的危险废物，危废暂存库设置防渗层，防止固废对地下水和土壤的造成污染，危废暂存库入口处设置10cm高围堰。</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②危险废物要按照其特性进行分类收集和贮存，在常温常压下不水解、不挥发的固体危险废物可在贮存设施内分别堆放，</w:t>
            </w:r>
            <w:r>
              <w:rPr>
                <w:rFonts w:hint="default" w:ascii="Times New Roman" w:hAnsi="Times New Roman" w:cs="Times New Roman"/>
                <w:color w:val="000000" w:themeColor="text1"/>
                <w:sz w:val="24"/>
                <w:szCs w:val="24"/>
                <w:lang w:val="en-US" w:eastAsia="zh-CN"/>
                <w14:textFill>
                  <w14:solidFill>
                    <w14:schemeClr w14:val="tx1"/>
                  </w14:solidFill>
                </w14:textFill>
              </w:rPr>
              <w:t>其中严禁将铝灰渣跟其他危险废物混合存放，</w:t>
            </w:r>
            <w:r>
              <w:rPr>
                <w:rFonts w:hint="default" w:ascii="Times New Roman" w:hAnsi="Times New Roman" w:cs="Times New Roman"/>
                <w:color w:val="000000" w:themeColor="text1"/>
                <w:sz w:val="24"/>
                <w:szCs w:val="24"/>
                <w14:textFill>
                  <w14:solidFill>
                    <w14:schemeClr w14:val="tx1"/>
                  </w14:solidFill>
                </w14:textFill>
              </w:rPr>
              <w:t>其他危险废物必须装入容器内，并贴上标签，禁止将不相容(相互反应)的危险废物在同一容器内混装。装载液体、半固体危险废物的容器顶与液面间需要保留100mm以上的空间，容器及容器的材质要满足相应强度要求，并必须完整无损。</w:t>
            </w:r>
          </w:p>
          <w:p>
            <w:pPr>
              <w:pStyle w:val="107"/>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③运输过程中要注意不同的危险废物要单独运输，固废的包装容器要注意密闭，以免在运输途中发生危险废物的泄漏，从而产生二次污染。</w:t>
            </w:r>
          </w:p>
          <w:p>
            <w:pPr>
              <w:pStyle w:val="107"/>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lang w:val="en-US" w:eastAsia="zh-CN"/>
                <w14:textFill>
                  <w14:solidFill>
                    <w14:schemeClr w14:val="tx1"/>
                  </w14:solidFill>
                </w14:textFill>
              </w:rPr>
              <w:t>铝灰渣贮存场所应设置氨气和氢气监测报警仪，随时跟踪监测贮存场所氨气和氢气的浓度。</w:t>
            </w:r>
          </w:p>
          <w:p>
            <w:pPr>
              <w:widowControl/>
              <w:spacing w:line="360" w:lineRule="auto"/>
              <w:ind w:firstLine="482" w:firstLineChars="200"/>
              <w:jc w:val="left"/>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eastAsia="zh-CN"/>
                <w14:textFill>
                  <w14:solidFill>
                    <w14:schemeClr w14:val="tx1"/>
                  </w14:solidFill>
                </w14:textFill>
              </w:rPr>
              <w:t>铝灰渣贮存</w:t>
            </w:r>
            <w:r>
              <w:rPr>
                <w:rFonts w:hint="default" w:ascii="Times New Roman" w:hAnsi="Times New Roman" w:eastAsia="宋体" w:cs="Times New Roman"/>
                <w:b/>
                <w:bCs/>
                <w:color w:val="000000" w:themeColor="text1"/>
                <w:sz w:val="24"/>
                <w:szCs w:val="24"/>
                <w14:textFill>
                  <w14:solidFill>
                    <w14:schemeClr w14:val="tx1"/>
                  </w14:solidFill>
                </w14:textFill>
              </w:rPr>
              <w:t>风险</w:t>
            </w:r>
            <w:r>
              <w:rPr>
                <w:rFonts w:hint="default" w:ascii="Times New Roman" w:hAnsi="Times New Roman" w:eastAsia="宋体" w:cs="Times New Roman"/>
                <w:b/>
                <w:bCs/>
                <w:color w:val="000000" w:themeColor="text1"/>
                <w:kern w:val="0"/>
                <w:sz w:val="24"/>
                <w:szCs w:val="24"/>
                <w14:textFill>
                  <w14:solidFill>
                    <w14:schemeClr w14:val="tx1"/>
                  </w14:solidFill>
                </w14:textFill>
              </w:rPr>
              <w:t>防范措施</w:t>
            </w:r>
          </w:p>
          <w:p>
            <w:pPr>
              <w:pStyle w:val="4"/>
              <w:spacing w:before="0" w:after="0" w:line="360" w:lineRule="auto"/>
              <w:ind w:firstLine="470" w:firstLineChars="196"/>
              <w:outlineLvl w:val="2"/>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①</w:t>
            </w:r>
            <w:r>
              <w:rPr>
                <w:rFonts w:hint="default" w:ascii="Times New Roman" w:hAnsi="Times New Roman" w:eastAsia="宋体" w:cs="Times New Roman"/>
                <w:b w:val="0"/>
                <w:bCs/>
                <w:color w:val="000000" w:themeColor="text1"/>
                <w:sz w:val="24"/>
                <w:szCs w:val="24"/>
                <w14:textFill>
                  <w14:solidFill>
                    <w14:schemeClr w14:val="tx1"/>
                  </w14:solidFill>
                </w14:textFill>
              </w:rPr>
              <w:t>在铝灰的贮存场所安装红外线成像监测预警系统，可以有效的探测到铝灰堆的温度变化并提前预防。</w:t>
            </w:r>
          </w:p>
          <w:p>
            <w:pPr>
              <w:pStyle w:val="4"/>
              <w:spacing w:before="0" w:after="0" w:line="360" w:lineRule="auto"/>
              <w:ind w:firstLine="470" w:firstLineChars="196"/>
              <w:outlineLvl w:val="2"/>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②</w:t>
            </w:r>
            <w:r>
              <w:rPr>
                <w:rFonts w:hint="default" w:ascii="Times New Roman" w:hAnsi="Times New Roman" w:eastAsia="宋体" w:cs="Times New Roman"/>
                <w:b w:val="0"/>
                <w:bCs/>
                <w:color w:val="000000" w:themeColor="text1"/>
                <w:sz w:val="24"/>
                <w:szCs w:val="24"/>
                <w14:textFill>
                  <w14:solidFill>
                    <w14:schemeClr w14:val="tx1"/>
                  </w14:solidFill>
                </w14:textFill>
              </w:rPr>
              <w:t>通过设置红外线温度检测报警</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系统</w:t>
            </w:r>
            <w:r>
              <w:rPr>
                <w:rFonts w:hint="default" w:ascii="Times New Roman" w:hAnsi="Times New Roman" w:eastAsia="宋体" w:cs="Times New Roman"/>
                <w:b w:val="0"/>
                <w:bCs/>
                <w:color w:val="000000" w:themeColor="text1"/>
                <w:sz w:val="24"/>
                <w:szCs w:val="24"/>
                <w14:textFill>
                  <w14:solidFill>
                    <w14:schemeClr w14:val="tx1"/>
                  </w14:solidFill>
                </w14:textFill>
              </w:rPr>
              <w:t>，对贮存的铝灰进行实时测温监控，当铝灰的温度异常升高，达到设定报警值时，测温装置自动报警。</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安排员工</w:t>
            </w:r>
            <w:r>
              <w:rPr>
                <w:rFonts w:hint="default" w:ascii="Times New Roman" w:hAnsi="Times New Roman" w:eastAsia="宋体" w:cs="Times New Roman"/>
                <w:b w:val="0"/>
                <w:bCs/>
                <w:color w:val="000000" w:themeColor="text1"/>
                <w:sz w:val="24"/>
                <w:szCs w:val="24"/>
                <w14:textFill>
                  <w14:solidFill>
                    <w14:schemeClr w14:val="tx1"/>
                  </w14:solidFill>
                </w14:textFill>
              </w:rPr>
              <w:t>定期巡检测温。</w:t>
            </w:r>
          </w:p>
          <w:p>
            <w:pPr>
              <w:pStyle w:val="4"/>
              <w:spacing w:before="0" w:after="0" w:line="360" w:lineRule="auto"/>
              <w:ind w:firstLine="470" w:firstLineChars="196"/>
              <w:outlineLvl w:val="2"/>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③铝灰在贮存过程中，尽量远离门、窗等容易进雨水的位置，严禁与含水量大的其他废物混合堆放，严禁与强碱性的废物混合堆放。</w:t>
            </w:r>
          </w:p>
          <w:p>
            <w:pPr>
              <w:pStyle w:val="4"/>
              <w:spacing w:before="0" w:after="0" w:line="360" w:lineRule="auto"/>
              <w:ind w:firstLine="470" w:firstLineChars="196"/>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③如危废暂存库发生风险事故，严禁使用水流冲击物料。</w:t>
            </w:r>
          </w:p>
          <w:p>
            <w:pPr>
              <w:pStyle w:val="4"/>
              <w:spacing w:before="0" w:after="0" w:line="360" w:lineRule="auto"/>
              <w:ind w:firstLine="472" w:firstLineChars="196"/>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）工艺和设备、装置方面安全防范措施</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①生产车间的操作位置所占空间应保证作业人员有充分的活动余地，并应考虑作业人员的操作空间。</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②作业人员应接受专业及安全技术培训后方可上岗。</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③加强巡检，防止发生泄漏，对腐蚀严重和损坏的设备及时更换。</w:t>
            </w:r>
          </w:p>
          <w:p>
            <w:pPr>
              <w:pStyle w:val="4"/>
              <w:spacing w:before="0" w:after="0" w:line="360" w:lineRule="auto"/>
              <w:ind w:firstLine="472" w:firstLineChars="196"/>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）火灾爆炸风险风险防范措施</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①物料贮运要求</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A、物料分类储存，储存场所、储存物料应远离热源与火种，不可与易燃物公共贮存。</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B、冲击或撞击有可能引起火灾爆炸的物料搬运时要轻拿轻放，避免碰撞和撞击。</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②火源地管理</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A、控制明火。</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B、设备维修检查，需进行维修焊接，应经安全部门确认、准许，并有记录在案，有监管人员在场方可进行施工。</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C、原料包装桶与明火、散发火花地点及周围构筑物之间的距离应满足规范要求。</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D、明火、散发火花地点应远离天然气管道设置。</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③火灾的控制</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A、严格按防火、防爆设计规范的要求进行设计，按规范设置消防系统，配置相应的灭火装置和设施。</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B、原辅材料存储区地面应采用不会产生火花的材料，其技术要求应符合现行的国家标准《地面与楼面工程施工及验收规范》的规定。</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C、按《爆炸和火灾危险环境电力装置设计规范》选用电气设备，并采取静电接地措施。在较高建、构筑物上设避雷装置。</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D、车间及仓库必须配备干粉灭火器。</w:t>
            </w:r>
          </w:p>
          <w:p>
            <w:pPr>
              <w:spacing w:line="360" w:lineRule="auto"/>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④设置火灾报警系统</w:t>
            </w:r>
          </w:p>
          <w:p>
            <w:pPr>
              <w:pStyle w:val="4"/>
              <w:spacing w:before="0" w:after="0" w:line="360" w:lineRule="auto"/>
              <w:ind w:firstLine="472" w:firstLineChars="196"/>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）废气事故风险防范措施</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①废气处理设备的选用上应考虑性能较好、安全性高的设备。 </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②加强对设备的日常维护和管理，减少事故的发生。 </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③有机废气处理设施及时更换干式过滤器滤芯、活性炭，检查吸附处理装置情况，防止废气处理事故发生；除尘器要定期检查和更换损坏的滤袋。 </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④配备专人负责处理设施的运行管理，做好设备运行记录，确保处理效果。</w:t>
            </w:r>
          </w:p>
          <w:p>
            <w:pPr>
              <w:wordWrap w:val="0"/>
              <w:topLinePunct/>
              <w:spacing w:line="360" w:lineRule="auto"/>
              <w:ind w:firstLine="480" w:firstLineChars="200"/>
              <w:contextualSpacing/>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⑤当废气处理措施发生故障，造成废气事故性排放，项目应立即停产，同时在厂区上风向和下风向监测点位对相对应的污染物进行监测，每1 小时监测一次，并组织技术人员对废气处理设施进行抢修，排除事故故障，待确保废气治理措施正常运转后再恢复生产。</w:t>
            </w:r>
          </w:p>
          <w:p>
            <w:pPr>
              <w:wordWrap w:val="0"/>
              <w:topLinePunct/>
              <w:spacing w:line="360" w:lineRule="auto"/>
              <w:ind w:firstLine="482" w:firstLineChars="200"/>
              <w:contextualSpacing/>
              <w:textAlignment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14:textFill>
                  <w14:solidFill>
                    <w14:schemeClr w14:val="tx1"/>
                  </w14:solidFill>
                </w14:textFill>
              </w:rPr>
              <w:t xml:space="preserve">）土壤、地下水污染风险防范措施 </w:t>
            </w:r>
          </w:p>
          <w:p>
            <w:pPr>
              <w:widowControl/>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厂区分区防渗。对</w:t>
            </w:r>
            <w:r>
              <w:rPr>
                <w:rFonts w:hint="default" w:ascii="Times New Roman" w:hAnsi="Times New Roman" w:cs="Times New Roman"/>
                <w:b w:val="0"/>
                <w:bCs w:val="0"/>
                <w:color w:val="000000" w:themeColor="text1"/>
                <w:sz w:val="24"/>
                <w:szCs w:val="24"/>
                <w14:textFill>
                  <w14:solidFill>
                    <w14:schemeClr w14:val="tx1"/>
                  </w14:solidFill>
                </w14:textFill>
              </w:rPr>
              <w:t>本项</w:t>
            </w:r>
            <w:r>
              <w:rPr>
                <w:rFonts w:hint="default" w:ascii="Times New Roman" w:hAnsi="Times New Roman" w:eastAsia="宋体" w:cs="Times New Roman"/>
                <w:b w:val="0"/>
                <w:bCs w:val="0"/>
                <w:color w:val="000000" w:themeColor="text1"/>
                <w:sz w:val="24"/>
                <w:szCs w:val="24"/>
                <w14:textFill>
                  <w14:solidFill>
                    <w14:schemeClr w14:val="tx1"/>
                  </w14:solidFill>
                </w14:textFill>
              </w:rPr>
              <w:t>目</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隔油池、辅料区、生产作业区、危废库、油水分离池、</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自建污水处理设施</w:t>
            </w:r>
            <w:r>
              <w:rPr>
                <w:rFonts w:hint="default" w:ascii="Times New Roman" w:hAnsi="Times New Roman" w:cs="Times New Roman"/>
                <w:color w:val="000000" w:themeColor="text1"/>
                <w:sz w:val="24"/>
                <w:szCs w:val="24"/>
                <w:lang w:val="en-US" w:eastAsia="zh-CN"/>
                <w14:textFill>
                  <w14:solidFill>
                    <w14:schemeClr w14:val="tx1"/>
                  </w14:solidFill>
                </w14:textFill>
              </w:rPr>
              <w:t>等</w:t>
            </w:r>
            <w:r>
              <w:rPr>
                <w:rFonts w:hint="default" w:ascii="Times New Roman" w:hAnsi="Times New Roman" w:cs="Times New Roman"/>
                <w:color w:val="000000" w:themeColor="text1"/>
                <w:sz w:val="24"/>
                <w:szCs w:val="24"/>
                <w14:textFill>
                  <w14:solidFill>
                    <w14:schemeClr w14:val="tx1"/>
                  </w14:solidFill>
                </w14:textFill>
              </w:rPr>
              <w:t>进行重点防渗处理。</w:t>
            </w:r>
            <w:r>
              <w:rPr>
                <w:rFonts w:hint="default" w:ascii="Times New Roman" w:hAnsi="Times New Roman" w:cs="Times New Roman"/>
                <w:color w:val="000000" w:themeColor="text1"/>
                <w:sz w:val="24"/>
                <w:szCs w:val="24"/>
                <w:lang w:eastAsia="zh-CN"/>
                <w14:textFill>
                  <w14:solidFill>
                    <w14:schemeClr w14:val="tx1"/>
                  </w14:solidFill>
                </w14:textFill>
              </w:rPr>
              <w:t>辅料区</w:t>
            </w:r>
            <w:r>
              <w:rPr>
                <w:rFonts w:hint="default" w:ascii="Times New Roman" w:hAnsi="Times New Roman" w:eastAsia="宋体" w:cs="Times New Roman"/>
                <w:color w:val="000000" w:themeColor="text1"/>
                <w:sz w:val="24"/>
                <w:szCs w:val="24"/>
                <w:lang w:eastAsia="zh-CN"/>
                <w14:textFill>
                  <w14:solidFill>
                    <w14:schemeClr w14:val="tx1"/>
                  </w14:solidFill>
                </w14:textFill>
              </w:rPr>
              <w:t>及危废暂存库四周设导流沟、门口设置围堰。</w:t>
            </w:r>
          </w:p>
          <w:p>
            <w:pPr>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生态环境影响分析</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无。</w:t>
            </w:r>
          </w:p>
          <w:p>
            <w:pPr>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cs="Times New Roman"/>
                <w:b/>
                <w:bCs/>
                <w:color w:val="000000" w:themeColor="text1"/>
                <w:sz w:val="24"/>
                <w:szCs w:val="24"/>
                <w14:textFill>
                  <w14:solidFill>
                    <w14:schemeClr w14:val="tx1"/>
                  </w14:solidFill>
                </w14:textFill>
              </w:rPr>
              <w:t xml:space="preserve"> 电磁辐射环境影响分析</w:t>
            </w:r>
          </w:p>
          <w:p>
            <w:pPr>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无。</w:t>
            </w:r>
          </w:p>
        </w:tc>
      </w:tr>
    </w:tbl>
    <w:p>
      <w:pPr>
        <w:pStyle w:val="29"/>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spacing w:before="0" w:beforeAutospacing="0" w:after="0" w:afterAutospacing="0"/>
        <w:jc w:val="center"/>
        <w:outlineLvl w:val="0"/>
        <w:rPr>
          <w:rFonts w:hint="default" w:ascii="Times New Roman" w:hAnsi="Times New Roman" w:eastAsia="宋体" w:cs="Times New Roman"/>
          <w:b/>
          <w:snapToGrid w:val="0"/>
          <w:color w:val="000000" w:themeColor="text1"/>
          <w:sz w:val="30"/>
          <w:szCs w:val="30"/>
          <w:lang w:eastAsia="zh-CN"/>
          <w14:textFill>
            <w14:solidFill>
              <w14:schemeClr w14:val="tx1"/>
            </w14:solidFill>
          </w14:textFill>
        </w:rPr>
      </w:pPr>
      <w:r>
        <w:rPr>
          <w:rFonts w:hint="default" w:ascii="Times New Roman" w:hAnsi="Times New Roman" w:eastAsia="宋体" w:cs="Times New Roman"/>
          <w:b/>
          <w:snapToGrid w:val="0"/>
          <w:color w:val="000000" w:themeColor="text1"/>
          <w:sz w:val="30"/>
          <w:szCs w:val="30"/>
          <w:lang w:eastAsia="zh-CN"/>
          <w14:textFill>
            <w14:solidFill>
              <w14:schemeClr w14:val="tx1"/>
            </w14:solidFill>
          </w14:textFill>
        </w:rPr>
        <w:t>五、</w:t>
      </w:r>
      <w:bookmarkStart w:id="12" w:name="_Hlk54167917"/>
      <w:r>
        <w:rPr>
          <w:rFonts w:hint="default" w:ascii="Times New Roman" w:hAnsi="Times New Roman" w:eastAsia="宋体" w:cs="Times New Roman"/>
          <w:b/>
          <w:snapToGrid w:val="0"/>
          <w:color w:val="000000" w:themeColor="text1"/>
          <w:sz w:val="30"/>
          <w:szCs w:val="30"/>
          <w:lang w:eastAsia="zh-CN"/>
          <w14:textFill>
            <w14:solidFill>
              <w14:schemeClr w14:val="tx1"/>
            </w14:solidFill>
          </w14:textFill>
        </w:rPr>
        <w:t>环境保护措施监督检查清单</w:t>
      </w:r>
      <w:bookmarkEnd w:id="12"/>
    </w:p>
    <w:tbl>
      <w:tblPr>
        <w:tblStyle w:val="31"/>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546"/>
        <w:gridCol w:w="1326"/>
        <w:gridCol w:w="2536"/>
        <w:gridCol w:w="21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274" w:type="dxa"/>
            <w:tcBorders>
              <w:tl2br w:val="single" w:color="auto" w:sz="4" w:space="0"/>
            </w:tcBorders>
            <w:noWrap w:val="0"/>
            <w:vAlign w:val="top"/>
          </w:tcPr>
          <w:p>
            <w:pPr>
              <w:adjustRightInd w:val="0"/>
              <w:snapToGrid w:val="0"/>
              <w:ind w:firstLine="632" w:firstLineChars="300"/>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内容</w:t>
            </w:r>
          </w:p>
          <w:p>
            <w:pPr>
              <w:adjustRightInd w:val="0"/>
              <w:snapToGrid w:val="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要素</w:t>
            </w:r>
          </w:p>
        </w:tc>
        <w:tc>
          <w:tcPr>
            <w:tcW w:w="1546" w:type="dxa"/>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排放口(编号、名称)/污染源</w:t>
            </w:r>
          </w:p>
        </w:tc>
        <w:tc>
          <w:tcPr>
            <w:tcW w:w="1326" w:type="dxa"/>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污染物项目</w:t>
            </w:r>
          </w:p>
        </w:tc>
        <w:tc>
          <w:tcPr>
            <w:tcW w:w="2536" w:type="dxa"/>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环境保护措施</w:t>
            </w:r>
          </w:p>
        </w:tc>
        <w:tc>
          <w:tcPr>
            <w:tcW w:w="2118" w:type="dxa"/>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274" w:type="dxa"/>
            <w:vMerge w:val="restar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154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DA001</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zCs w:val="21"/>
                <w:lang w:val="en-US" w:eastAsia="zh-CN"/>
                <w14:textFill>
                  <w14:solidFill>
                    <w14:schemeClr w14:val="tx1"/>
                  </w14:solidFill>
                </w14:textFill>
              </w:rPr>
              <w:t>、压铸</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脱膜）</w:t>
            </w:r>
          </w:p>
        </w:tc>
        <w:tc>
          <w:tcPr>
            <w:tcW w:w="132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颗粒物、非甲烷总烃</w:t>
            </w:r>
          </w:p>
        </w:tc>
        <w:tc>
          <w:tcPr>
            <w:tcW w:w="2536" w:type="dxa"/>
            <w:noWrap w:val="0"/>
            <w:vAlign w:val="center"/>
          </w:tcPr>
          <w:p>
            <w:pPr>
              <w:keepNext w:val="0"/>
              <w:keepLines w:val="0"/>
              <w:widowControl/>
              <w:suppressLineNumbers w:val="0"/>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p>
        </w:tc>
        <w:tc>
          <w:tcPr>
            <w:tcW w:w="2118" w:type="dxa"/>
            <w:vMerge w:val="restar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《铸造工业大气污染物排放标准》（GB39726—2020）中表1标准限值</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DA002</w:t>
            </w:r>
          </w:p>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抛丸、抛光</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26"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2536" w:type="dxa"/>
            <w:noWrap w:val="0"/>
            <w:vAlign w:val="center"/>
          </w:tcPr>
          <w:p>
            <w:pPr>
              <w:jc w:val="center"/>
              <w:rPr>
                <w:rFonts w:hint="default" w:ascii="Times New Roman" w:hAnsi="Times New Roman" w:cs="Times New Roman"/>
                <w:color w:val="000000" w:themeColor="text1"/>
                <w:szCs w:val="18"/>
                <w:lang w:eastAsia="zh-CN"/>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抛丸机密闭，设置抽风管道收集+自带布袋除尘器；</w:t>
            </w:r>
            <w:r>
              <w:rPr>
                <w:rFonts w:hint="default" w:ascii="Times New Roman" w:hAnsi="Times New Roman" w:cs="Times New Roman"/>
                <w:bCs/>
                <w:color w:val="000000" w:themeColor="text1"/>
                <w:szCs w:val="18"/>
                <w:lang w:val="en-US" w:eastAsia="zh-CN"/>
                <w14:textFill>
                  <w14:solidFill>
                    <w14:schemeClr w14:val="tx1"/>
                  </w14:solidFill>
                </w14:textFill>
              </w:rPr>
              <w:t>砂磨</w:t>
            </w:r>
            <w:r>
              <w:rPr>
                <w:rFonts w:hint="default" w:ascii="Times New Roman" w:hAnsi="Times New Roman" w:eastAsia="宋体" w:cs="Times New Roman"/>
                <w:bCs/>
                <w:color w:val="000000" w:themeColor="text1"/>
                <w:szCs w:val="18"/>
                <w:lang w:val="en-US" w:eastAsia="zh-CN"/>
                <w14:textFill>
                  <w14:solidFill>
                    <w14:schemeClr w14:val="tx1"/>
                  </w14:solidFill>
                </w14:textFill>
              </w:rPr>
              <w:t>抛光机</w:t>
            </w:r>
            <w:r>
              <w:rPr>
                <w:rFonts w:hint="default" w:ascii="Times New Roman" w:hAnsi="Times New Roman" w:cs="Times New Roman"/>
                <w:bCs/>
                <w:color w:val="000000" w:themeColor="text1"/>
                <w:szCs w:val="18"/>
                <w:lang w:val="en-US" w:eastAsia="zh-CN"/>
                <w14:textFill>
                  <w14:solidFill>
                    <w14:schemeClr w14:val="tx1"/>
                  </w14:solidFill>
                </w14:textFill>
              </w:rPr>
              <w:t>经侧吸三面封闭集气罩</w:t>
            </w:r>
            <w:r>
              <w:rPr>
                <w:rFonts w:hint="default" w:ascii="Times New Roman" w:hAnsi="Times New Roman" w:eastAsia="宋体" w:cs="Times New Roman"/>
                <w:bCs/>
                <w:color w:val="000000" w:themeColor="text1"/>
                <w:szCs w:val="18"/>
                <w:lang w:val="en-US" w:eastAsia="zh-CN"/>
                <w14:textFill>
                  <w14:solidFill>
                    <w14:schemeClr w14:val="tx1"/>
                  </w14:solidFill>
                </w14:textFill>
              </w:rPr>
              <w:t>收集</w:t>
            </w:r>
            <w:r>
              <w:rPr>
                <w:rFonts w:hint="default" w:ascii="Times New Roman" w:hAnsi="Times New Roman" w:cs="Times New Roman"/>
                <w:bCs/>
                <w:color w:val="000000" w:themeColor="text1"/>
                <w:szCs w:val="18"/>
                <w:lang w:val="en-US" w:eastAsia="zh-CN"/>
                <w14:textFill>
                  <w14:solidFill>
                    <w14:schemeClr w14:val="tx1"/>
                  </w14:solidFill>
                </w14:textFill>
              </w:rPr>
              <w:t>+</w:t>
            </w:r>
            <w:r>
              <w:rPr>
                <w:rFonts w:hint="default" w:ascii="Times New Roman" w:hAnsi="Times New Roman" w:eastAsia="宋体" w:cs="Times New Roman"/>
                <w:bCs/>
                <w:color w:val="000000" w:themeColor="text1"/>
                <w:szCs w:val="18"/>
                <w:lang w:val="en-US" w:eastAsia="zh-CN"/>
                <w14:textFill>
                  <w14:solidFill>
                    <w14:schemeClr w14:val="tx1"/>
                  </w14:solidFill>
                </w14:textFill>
              </w:rPr>
              <w:t>自带的湿式除尘器处理</w:t>
            </w:r>
          </w:p>
        </w:tc>
        <w:tc>
          <w:tcPr>
            <w:tcW w:w="2118" w:type="dxa"/>
            <w:vMerge w:val="continue"/>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DA003</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（危废库废气)</w:t>
            </w:r>
          </w:p>
        </w:tc>
        <w:tc>
          <w:tcPr>
            <w:tcW w:w="1326"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536" w:type="dxa"/>
            <w:noWrap w:val="0"/>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危废库密闭，设置抽排风系统+两级活性炭装置</w:t>
            </w:r>
          </w:p>
        </w:tc>
        <w:tc>
          <w:tcPr>
            <w:tcW w:w="2118" w:type="dxa"/>
            <w:vMerge w:val="continue"/>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DA004</w:t>
            </w:r>
          </w:p>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天然气</w:t>
            </w:r>
          </w:p>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燃烧废气</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326"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SO</w:t>
            </w:r>
            <w:r>
              <w:rPr>
                <w:rFonts w:hint="default" w:ascii="Times New Roman" w:hAnsi="Times New Roman" w:eastAsia="宋体"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、NOx</w:t>
            </w: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2536" w:type="dxa"/>
            <w:noWrap w:val="0"/>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天然气熔铝炉采取低氮燃烧</w:t>
            </w:r>
          </w:p>
        </w:tc>
        <w:tc>
          <w:tcPr>
            <w:tcW w:w="2118" w:type="dxa"/>
            <w:vMerge w:val="continue"/>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食堂</w:t>
            </w:r>
          </w:p>
        </w:tc>
        <w:tc>
          <w:tcPr>
            <w:tcW w:w="1326" w:type="dxa"/>
            <w:noWrap w:val="0"/>
            <w:vAlign w:val="center"/>
          </w:tcPr>
          <w:p>
            <w:pPr>
              <w:snapToGrid w:val="0"/>
              <w:jc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油烟</w:t>
            </w:r>
          </w:p>
        </w:tc>
        <w:tc>
          <w:tcPr>
            <w:tcW w:w="2536" w:type="dxa"/>
            <w:noWrap w:val="0"/>
            <w:vAlign w:val="center"/>
          </w:tcPr>
          <w:p>
            <w:pPr>
              <w:widowControl/>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经油烟净化器处理后经过烟道排放</w:t>
            </w:r>
          </w:p>
        </w:tc>
        <w:tc>
          <w:tcPr>
            <w:tcW w:w="2118" w:type="dxa"/>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《饮食业油烟排放标准（试行）》 （GB18483-2001）</w:t>
            </w:r>
            <w:r>
              <w:rPr>
                <w:rFonts w:hint="default" w:ascii="Times New Roman" w:hAnsi="Times New Roman" w:cs="Times New Roman"/>
                <w:bCs/>
                <w:color w:val="000000" w:themeColor="text1"/>
                <w:szCs w:val="18"/>
                <w:lang w:eastAsia="zh-CN"/>
                <w14:textFill>
                  <w14:solidFill>
                    <w14:schemeClr w14:val="tx1"/>
                  </w14:solidFill>
                </w14:textFill>
              </w:rPr>
              <w:t>小</w:t>
            </w:r>
            <w:r>
              <w:rPr>
                <w:rFonts w:hint="default" w:ascii="Times New Roman" w:hAnsi="Times New Roman" w:cs="Times New Roman"/>
                <w:bCs/>
                <w:color w:val="000000" w:themeColor="text1"/>
                <w:szCs w:val="18"/>
                <w14:textFill>
                  <w14:solidFill>
                    <w14:schemeClr w14:val="tx1"/>
                  </w14:solidFill>
                </w14:textFill>
              </w:rPr>
              <w:t>型规模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74" w:type="dxa"/>
            <w:vMerge w:val="restar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546" w:type="dxa"/>
            <w:vMerge w:val="restart"/>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w:t>
            </w:r>
          </w:p>
        </w:tc>
        <w:tc>
          <w:tcPr>
            <w:tcW w:w="1326" w:type="dxa"/>
            <w:vMerge w:val="restart"/>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COD、SS、BOD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、氨氮、TP、动植物油等</w:t>
            </w:r>
          </w:p>
        </w:tc>
        <w:tc>
          <w:tcPr>
            <w:tcW w:w="2536"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市政污水管网接管前，生活污水经隔油池、化粪池处理后定期清掏</w:t>
            </w:r>
          </w:p>
        </w:tc>
        <w:tc>
          <w:tcPr>
            <w:tcW w:w="2118" w:type="dxa"/>
            <w:noWrap w:val="0"/>
            <w:vAlign w:val="center"/>
          </w:tcPr>
          <w:p>
            <w:pPr>
              <w:widowControl/>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1326" w:type="dxa"/>
            <w:vMerge w:val="continue"/>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市政污水管网接管后，生活污水经隔油池、化粪池预处理后接管龙津大道市政污水管网进入舒城经济开发区污水处理厂，处理达标后排入三里河</w:t>
            </w:r>
          </w:p>
        </w:tc>
        <w:tc>
          <w:tcPr>
            <w:tcW w:w="2118" w:type="dxa"/>
            <w:noWrap w:val="0"/>
            <w:vAlign w:val="center"/>
          </w:tcPr>
          <w:p>
            <w:pPr>
              <w:widowControl/>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排放</w:t>
            </w:r>
            <w:r>
              <w:rPr>
                <w:rFonts w:hint="default" w:ascii="Times New Roman" w:hAnsi="Times New Roman" w:cs="Times New Roman"/>
                <w:bCs/>
                <w:color w:val="000000" w:themeColor="text1"/>
                <w:szCs w:val="18"/>
                <w:lang w:val="en-US" w:eastAsia="zh-CN"/>
                <w14:textFill>
                  <w14:solidFill>
                    <w14:schemeClr w14:val="tx1"/>
                  </w14:solidFill>
                </w14:textFill>
              </w:rPr>
              <w:t>执行</w:t>
            </w:r>
            <w:r>
              <w:rPr>
                <w:rFonts w:hint="default" w:ascii="Times New Roman" w:hAnsi="Times New Roman" w:cs="Times New Roman"/>
                <w:bCs/>
                <w:color w:val="000000" w:themeColor="text1"/>
                <w:szCs w:val="18"/>
                <w14:textFill>
                  <w14:solidFill>
                    <w14:schemeClr w14:val="tx1"/>
                  </w14:solidFill>
                </w14:textFill>
              </w:rPr>
              <w:t>《污水综合排放标准》（GB8978-1996）三级标准</w:t>
            </w:r>
            <w:r>
              <w:rPr>
                <w:rFonts w:hint="default" w:ascii="Times New Roman" w:hAnsi="Times New Roman" w:cs="Times New Roman"/>
                <w:bCs/>
                <w:color w:val="000000" w:themeColor="text1"/>
                <w:szCs w:val="18"/>
                <w:lang w:eastAsia="zh-CN"/>
                <w14:textFill>
                  <w14:solidFill>
                    <w14:schemeClr w14:val="tx1"/>
                  </w14:solidFill>
                </w14:textFill>
              </w:rPr>
              <w:t>，</w:t>
            </w:r>
            <w:r>
              <w:rPr>
                <w:rFonts w:hint="default" w:ascii="Times New Roman" w:hAnsi="Times New Roman" w:cs="Times New Roman"/>
                <w:bCs/>
                <w:color w:val="000000" w:themeColor="text1"/>
                <w:szCs w:val="18"/>
                <w14:textFill>
                  <w14:solidFill>
                    <w14:schemeClr w14:val="tx1"/>
                  </w14:solidFill>
                </w14:textFill>
              </w:rPr>
              <w:t>同时满足</w:t>
            </w:r>
            <w:r>
              <w:rPr>
                <w:rFonts w:hint="default" w:ascii="Times New Roman" w:hAnsi="Times New Roman" w:cs="Times New Roman"/>
                <w:bCs/>
                <w:color w:val="000000" w:themeColor="text1"/>
                <w:szCs w:val="18"/>
                <w:lang w:val="en-US" w:eastAsia="zh-CN"/>
                <w14:textFill>
                  <w14:solidFill>
                    <w14:schemeClr w14:val="tx1"/>
                  </w14:solidFill>
                </w14:textFill>
              </w:rPr>
              <w:t>舒城经济开发区污水处理厂</w:t>
            </w:r>
            <w:r>
              <w:rPr>
                <w:rFonts w:hint="default" w:ascii="Times New Roman" w:hAnsi="Times New Roman" w:cs="Times New Roman"/>
                <w:bCs/>
                <w:color w:val="000000" w:themeColor="text1"/>
                <w:szCs w:val="18"/>
                <w14:textFill>
                  <w14:solidFill>
                    <w14:schemeClr w14:val="tx1"/>
                  </w14:solidFill>
                </w14:textFill>
              </w:rPr>
              <w:t>接管要求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restart"/>
            <w:noWrap w:val="0"/>
            <w:vAlign w:val="center"/>
          </w:tcPr>
          <w:p>
            <w:pPr>
              <w:widowControl/>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循环冷却水排水</w:t>
            </w:r>
          </w:p>
        </w:tc>
        <w:tc>
          <w:tcPr>
            <w:tcW w:w="1326" w:type="dxa"/>
            <w:vMerge w:val="restart"/>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COD、SS、氨氮</w:t>
            </w: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市政污水管网接通前，循环冷却水循环使用，定期补充，每三个月排放一次，循环冷却水进入厂区暂存池暂存，定期委托罐车外运至舒城经济开发区污水处理厂</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，处理达标后排入三里河</w:t>
            </w:r>
          </w:p>
        </w:tc>
        <w:tc>
          <w:tcPr>
            <w:tcW w:w="2118" w:type="dxa"/>
            <w:vMerge w:val="restart"/>
            <w:noWrap w:val="0"/>
            <w:vAlign w:val="center"/>
          </w:tcPr>
          <w:p>
            <w:pPr>
              <w:widowControl/>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排放</w:t>
            </w:r>
            <w:r>
              <w:rPr>
                <w:rFonts w:hint="default" w:ascii="Times New Roman" w:hAnsi="Times New Roman" w:cs="Times New Roman"/>
                <w:bCs/>
                <w:color w:val="000000" w:themeColor="text1"/>
                <w:szCs w:val="18"/>
                <w:lang w:val="en-US" w:eastAsia="zh-CN"/>
                <w14:textFill>
                  <w14:solidFill>
                    <w14:schemeClr w14:val="tx1"/>
                  </w14:solidFill>
                </w14:textFill>
              </w:rPr>
              <w:t>执行</w:t>
            </w:r>
            <w:r>
              <w:rPr>
                <w:rFonts w:hint="default" w:ascii="Times New Roman" w:hAnsi="Times New Roman" w:cs="Times New Roman"/>
                <w:bCs/>
                <w:color w:val="000000" w:themeColor="text1"/>
                <w:szCs w:val="18"/>
                <w14:textFill>
                  <w14:solidFill>
                    <w14:schemeClr w14:val="tx1"/>
                  </w14:solidFill>
                </w14:textFill>
              </w:rPr>
              <w:t>《污水综合排放标准》（GB8978-1996）三级标准</w:t>
            </w:r>
            <w:r>
              <w:rPr>
                <w:rFonts w:hint="default" w:ascii="Times New Roman" w:hAnsi="Times New Roman" w:cs="Times New Roman"/>
                <w:bCs/>
                <w:color w:val="000000" w:themeColor="text1"/>
                <w:szCs w:val="18"/>
                <w:lang w:eastAsia="zh-CN"/>
                <w14:textFill>
                  <w14:solidFill>
                    <w14:schemeClr w14:val="tx1"/>
                  </w14:solidFill>
                </w14:textFill>
              </w:rPr>
              <w:t>，</w:t>
            </w:r>
            <w:r>
              <w:rPr>
                <w:rFonts w:hint="default" w:ascii="Times New Roman" w:hAnsi="Times New Roman" w:cs="Times New Roman"/>
                <w:bCs/>
                <w:color w:val="000000" w:themeColor="text1"/>
                <w:szCs w:val="18"/>
                <w14:textFill>
                  <w14:solidFill>
                    <w14:schemeClr w14:val="tx1"/>
                  </w14:solidFill>
                </w14:textFill>
              </w:rPr>
              <w:t>同时满足</w:t>
            </w:r>
            <w:r>
              <w:rPr>
                <w:rFonts w:hint="default" w:ascii="Times New Roman" w:hAnsi="Times New Roman" w:cs="Times New Roman"/>
                <w:bCs/>
                <w:color w:val="000000" w:themeColor="text1"/>
                <w:szCs w:val="18"/>
                <w:lang w:val="en-US" w:eastAsia="zh-CN"/>
                <w14:textFill>
                  <w14:solidFill>
                    <w14:schemeClr w14:val="tx1"/>
                  </w14:solidFill>
                </w14:textFill>
              </w:rPr>
              <w:t>舒城经济开发区污水处理厂</w:t>
            </w:r>
            <w:r>
              <w:rPr>
                <w:rFonts w:hint="default" w:ascii="Times New Roman" w:hAnsi="Times New Roman" w:cs="Times New Roman"/>
                <w:bCs/>
                <w:color w:val="000000" w:themeColor="text1"/>
                <w:szCs w:val="18"/>
                <w14:textFill>
                  <w14:solidFill>
                    <w14:schemeClr w14:val="tx1"/>
                  </w14:solidFill>
                </w14:textFill>
              </w:rPr>
              <w:t>接管要求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1326" w:type="dxa"/>
            <w:vMerge w:val="continue"/>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循环冷却水循环使用，定期补充，每三个月排放一次</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循环冷却水排水</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接管龙津大道市政污水管网进入舒城经济开发区污水处理厂，处理达标后排入三里河</w:t>
            </w:r>
          </w:p>
        </w:tc>
        <w:tc>
          <w:tcPr>
            <w:tcW w:w="2118" w:type="dxa"/>
            <w:vMerge w:val="continue"/>
            <w:noWrap w:val="0"/>
            <w:vAlign w:val="center"/>
          </w:tcPr>
          <w:p>
            <w:pPr>
              <w:widowControl/>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脱模剂配比水、切削液配比水</w:t>
            </w:r>
          </w:p>
        </w:tc>
        <w:tc>
          <w:tcPr>
            <w:tcW w:w="132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蒸发损耗不外排</w:t>
            </w:r>
          </w:p>
        </w:tc>
        <w:tc>
          <w:tcPr>
            <w:tcW w:w="2118" w:type="dxa"/>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光饰废水</w:t>
            </w:r>
          </w:p>
        </w:tc>
        <w:tc>
          <w:tcPr>
            <w:tcW w:w="132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COD、SS、石油类</w:t>
            </w: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废水经自建污水处理设施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（处理工艺为混凝沉淀，处理能力为1t/d）处</w:t>
            </w:r>
            <w:r>
              <w:rPr>
                <w:rFonts w:hint="default" w:ascii="Times New Roman" w:hAnsi="Times New Roman" w:cs="Times New Roman"/>
                <w:color w:val="000000" w:themeColor="text1"/>
                <w:szCs w:val="21"/>
                <w:lang w:val="en-US" w:eastAsia="zh-CN"/>
                <w14:textFill>
                  <w14:solidFill>
                    <w14:schemeClr w14:val="tx1"/>
                  </w14:solidFill>
                </w14:textFill>
              </w:rPr>
              <w:t>理后回用，不外排</w:t>
            </w:r>
          </w:p>
        </w:tc>
        <w:tc>
          <w:tcPr>
            <w:tcW w:w="2118"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湿式除尘废水</w:t>
            </w:r>
          </w:p>
        </w:tc>
        <w:tc>
          <w:tcPr>
            <w:tcW w:w="1326" w:type="dxa"/>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废水经湿式除尘器配套的过滤装置过滤后循环使用，不外排</w:t>
            </w:r>
          </w:p>
        </w:tc>
        <w:tc>
          <w:tcPr>
            <w:tcW w:w="2118" w:type="dxa"/>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循环使用</w:t>
            </w:r>
            <w:r>
              <w:rPr>
                <w:rFonts w:hint="default" w:ascii="Times New Roman" w:hAnsi="Times New Roman" w:eastAsia="宋体" w:cs="Times New Roman"/>
                <w:color w:val="000000" w:themeColor="text1"/>
                <w:szCs w:val="21"/>
                <w:lang w:val="en-US" w:eastAsia="zh-CN"/>
                <w14:textFill>
                  <w14:solidFill>
                    <w14:schemeClr w14:val="tx1"/>
                  </w14:solidFill>
                </w14:textFill>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274"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54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各机械设备</w:t>
            </w: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2536"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选取优良、低</w:t>
            </w:r>
            <w:r>
              <w:rPr>
                <w:rFonts w:hint="default" w:ascii="Times New Roman" w:hAnsi="Times New Roman" w:cs="Times New Roman"/>
                <w:color w:val="000000" w:themeColor="text1"/>
                <w:szCs w:val="21"/>
                <w:lang w:eastAsia="zh-CN"/>
                <w14:textFill>
                  <w14:solidFill>
                    <w14:schemeClr w14:val="tx1"/>
                  </w14:solidFill>
                </w14:textFill>
              </w:rPr>
              <w:t>噪声</w:t>
            </w:r>
            <w:r>
              <w:rPr>
                <w:rFonts w:hint="default" w:ascii="Times New Roman" w:hAnsi="Times New Roman" w:eastAsia="宋体" w:cs="Times New Roman"/>
                <w:color w:val="000000" w:themeColor="text1"/>
                <w:szCs w:val="21"/>
                <w14:textFill>
                  <w14:solidFill>
                    <w14:schemeClr w14:val="tx1"/>
                  </w14:solidFill>
                </w14:textFill>
              </w:rPr>
              <w:t>生产设备；采用厂房隔声、减振等措施</w:t>
            </w:r>
          </w:p>
        </w:tc>
        <w:tc>
          <w:tcPr>
            <w:tcW w:w="2118"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hd w:val="clear" w:color="auto" w:fill="FCFCFC"/>
                <w14:textFill>
                  <w14:solidFill>
                    <w14:schemeClr w14:val="tx1"/>
                  </w14:solidFill>
                </w14:textFill>
              </w:rPr>
              <w:t>满足</w:t>
            </w:r>
            <w:r>
              <w:rPr>
                <w:rFonts w:hint="default" w:ascii="Times New Roman" w:hAnsi="Times New Roman" w:cs="Times New Roman"/>
                <w:bCs/>
                <w:color w:val="000000" w:themeColor="text1"/>
                <w14:textFill>
                  <w14:solidFill>
                    <w14:schemeClr w14:val="tx1"/>
                  </w14:solidFill>
                </w14:textFill>
              </w:rPr>
              <w:t>《工业企业厂界环境噪声排放标准》（GB12348-2008）</w:t>
            </w:r>
            <w:r>
              <w:rPr>
                <w:rFonts w:hint="default" w:ascii="Times New Roman" w:hAnsi="Times New Roman" w:cs="Times New Roman"/>
                <w:bCs/>
                <w:color w:val="000000" w:themeColor="text1"/>
                <w:lang w:val="en-US" w:eastAsia="zh-CN"/>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274" w:type="dxa"/>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电磁辐射</w:t>
            </w:r>
          </w:p>
        </w:tc>
        <w:tc>
          <w:tcPr>
            <w:tcW w:w="154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32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53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118" w:type="dxa"/>
            <w:noWrap w:val="0"/>
            <w:vAlign w:val="center"/>
          </w:tcPr>
          <w:p>
            <w:pPr>
              <w:adjustRightInd w:val="0"/>
              <w:snapToGrid w:val="0"/>
              <w:jc w:val="center"/>
              <w:rPr>
                <w:rFonts w:hint="default" w:ascii="Times New Roman" w:hAnsi="Times New Roman" w:eastAsia="宋体" w:cs="Times New Roman"/>
                <w:color w:val="000000" w:themeColor="text1"/>
                <w:shd w:val="clear" w:color="auto" w:fill="FCFCFC"/>
                <w:lang w:val="en-US" w:eastAsia="zh-CN"/>
                <w14:textFill>
                  <w14:solidFill>
                    <w14:schemeClr w14:val="tx1"/>
                  </w14:solidFill>
                </w14:textFill>
              </w:rPr>
            </w:pPr>
            <w:r>
              <w:rPr>
                <w:rFonts w:hint="default" w:ascii="Times New Roman" w:hAnsi="Times New Roman" w:cs="Times New Roman"/>
                <w:color w:val="000000" w:themeColor="text1"/>
                <w:shd w:val="clear" w:color="auto" w:fill="FCFCFC"/>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restar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154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员工</w:t>
            </w: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253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r>
              <w:rPr>
                <w:rFonts w:hint="default" w:ascii="Times New Roman" w:hAnsi="Times New Roman" w:eastAsia="宋体" w:cs="Times New Roman"/>
                <w:color w:val="000000" w:themeColor="text1"/>
                <w:sz w:val="21"/>
                <w:szCs w:val="21"/>
                <w:lang w:eastAsia="zh-CN"/>
                <w14:textFill>
                  <w14:solidFill>
                    <w14:schemeClr w14:val="tx1"/>
                  </w14:solidFill>
                </w14:textFill>
              </w:rPr>
              <w:t>混入生活垃圾，</w:t>
            </w:r>
            <w:r>
              <w:rPr>
                <w:rFonts w:hint="default" w:ascii="Times New Roman" w:hAnsi="Times New Roman" w:cs="Times New Roman"/>
                <w:color w:val="000000" w:themeColor="text1"/>
                <w:szCs w:val="21"/>
                <w14:textFill>
                  <w14:solidFill>
                    <w14:schemeClr w14:val="tx1"/>
                  </w14:solidFill>
                </w14:textFill>
              </w:rPr>
              <w:t>委托市政环卫部门日常清运处置</w:t>
            </w:r>
          </w:p>
        </w:tc>
        <w:tc>
          <w:tcPr>
            <w:tcW w:w="2118"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无害化处置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restart"/>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一般工业固废</w:t>
            </w: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废边角料</w:t>
            </w:r>
            <w:r>
              <w:rPr>
                <w:rFonts w:hint="default" w:ascii="Times New Roman" w:hAnsi="Times New Roman" w:cs="Times New Roman"/>
                <w:color w:val="000000" w:themeColor="text1"/>
                <w:szCs w:val="21"/>
                <w:lang w:eastAsia="zh-CN"/>
                <w14:textFill>
                  <w14:solidFill>
                    <w14:schemeClr w14:val="tx1"/>
                  </w14:solidFill>
                </w14:textFill>
              </w:rPr>
              <w:t>、废铝屑</w:t>
            </w:r>
          </w:p>
        </w:tc>
        <w:tc>
          <w:tcPr>
            <w:tcW w:w="253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收集后</w:t>
            </w:r>
            <w:r>
              <w:rPr>
                <w:rFonts w:hint="default" w:ascii="Times New Roman" w:hAnsi="Times New Roman" w:cs="Times New Roman"/>
                <w:color w:val="000000" w:themeColor="text1"/>
                <w:szCs w:val="21"/>
                <w:lang w:eastAsia="zh-CN"/>
                <w14:textFill>
                  <w14:solidFill>
                    <w14:schemeClr w14:val="tx1"/>
                  </w14:solidFill>
                </w14:textFill>
              </w:rPr>
              <w:t>回用于</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eastAsia="zh-CN"/>
                <w14:textFill>
                  <w14:solidFill>
                    <w14:schemeClr w14:val="tx1"/>
                  </w14:solidFill>
                </w14:textFill>
              </w:rPr>
              <w:t>工序</w:t>
            </w:r>
          </w:p>
        </w:tc>
        <w:tc>
          <w:tcPr>
            <w:tcW w:w="2118" w:type="dxa"/>
            <w:vMerge w:val="restar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满足《一般工业固体废物贮存和填埋污染控制标准》（GB 18599-2020）中的有关规定执行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废包装材料</w:t>
            </w:r>
          </w:p>
        </w:tc>
        <w:tc>
          <w:tcPr>
            <w:tcW w:w="2536" w:type="dxa"/>
            <w:vMerge w:val="restart"/>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收集后外售</w:t>
            </w: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废滤渣、废滤芯</w:t>
            </w:r>
          </w:p>
        </w:tc>
        <w:tc>
          <w:tcPr>
            <w:tcW w:w="2536"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不合格品</w:t>
            </w:r>
          </w:p>
        </w:tc>
        <w:tc>
          <w:tcPr>
            <w:tcW w:w="253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收集后</w:t>
            </w:r>
            <w:r>
              <w:rPr>
                <w:rFonts w:hint="default" w:ascii="Times New Roman" w:hAnsi="Times New Roman" w:cs="Times New Roman"/>
                <w:color w:val="000000" w:themeColor="text1"/>
                <w:szCs w:val="21"/>
                <w:lang w:eastAsia="zh-CN"/>
                <w14:textFill>
                  <w14:solidFill>
                    <w14:schemeClr w14:val="tx1"/>
                  </w14:solidFill>
                </w14:textFill>
              </w:rPr>
              <w:t>回用于</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eastAsia="zh-CN"/>
                <w14:textFill>
                  <w14:solidFill>
                    <w14:schemeClr w14:val="tx1"/>
                  </w14:solidFill>
                </w14:textFill>
              </w:rPr>
              <w:t>工序</w:t>
            </w: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废钢丸</w:t>
            </w:r>
          </w:p>
        </w:tc>
        <w:tc>
          <w:tcPr>
            <w:tcW w:w="253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收集后外售</w:t>
            </w: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抛丸除尘装置收集的粉尘</w:t>
            </w:r>
          </w:p>
        </w:tc>
        <w:tc>
          <w:tcPr>
            <w:tcW w:w="2536"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收集后外售</w:t>
            </w: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restart"/>
            <w:noWrap w:val="0"/>
            <w:vAlign w:val="center"/>
          </w:tcPr>
          <w:p>
            <w:pPr>
              <w:widowControl/>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危险废物</w:t>
            </w:r>
          </w:p>
        </w:tc>
        <w:tc>
          <w:tcPr>
            <w:tcW w:w="1326" w:type="dxa"/>
            <w:noWrap w:val="0"/>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2536" w:type="dxa"/>
            <w:vMerge w:val="restart"/>
            <w:noWrap w:val="0"/>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定期委托有资质单位处理</w:t>
            </w:r>
          </w:p>
        </w:tc>
        <w:tc>
          <w:tcPr>
            <w:tcW w:w="2118" w:type="dxa"/>
            <w:vMerge w:val="restart"/>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满</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足《危险废物贮存污染控制指标》（GB18597-2023）中规定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1326" w:type="dxa"/>
            <w:noWrap w:val="0"/>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2536" w:type="dxa"/>
            <w:vMerge w:val="continue"/>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c>
          <w:tcPr>
            <w:tcW w:w="2118" w:type="dxa"/>
            <w:vMerge w:val="continue"/>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w:t>
            </w:r>
          </w:p>
        </w:tc>
        <w:tc>
          <w:tcPr>
            <w:tcW w:w="2536" w:type="dxa"/>
            <w:vMerge w:val="continue"/>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c>
          <w:tcPr>
            <w:tcW w:w="2118" w:type="dxa"/>
            <w:vMerge w:val="continue"/>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dxa"/>
            <w:vMerge w:val="continue"/>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546" w:type="dxa"/>
            <w:vMerge w:val="continue"/>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26" w:type="dxa"/>
            <w:noWrap w:val="0"/>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废机油</w:t>
            </w:r>
          </w:p>
        </w:tc>
        <w:tc>
          <w:tcPr>
            <w:tcW w:w="2536" w:type="dxa"/>
            <w:vMerge w:val="continue"/>
            <w:noWrap w:val="0"/>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p>
        </w:tc>
        <w:tc>
          <w:tcPr>
            <w:tcW w:w="2118" w:type="dxa"/>
            <w:vMerge w:val="continue"/>
            <w:noWrap w:val="0"/>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p>
        </w:tc>
        <w:tc>
          <w:tcPr>
            <w:tcW w:w="2536" w:type="dxa"/>
            <w:vMerge w:val="continue"/>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c>
          <w:tcPr>
            <w:tcW w:w="2118" w:type="dxa"/>
            <w:vMerge w:val="continue"/>
            <w:noWrap w:val="0"/>
            <w:vAlign w:val="center"/>
          </w:tcPr>
          <w:p>
            <w:pPr>
              <w:jc w:val="center"/>
              <w:rPr>
                <w:rFonts w:hint="default" w:ascii="Times New Roman" w:hAnsi="Times New Roman" w:cs="Times New Roman"/>
                <w:color w:val="000000" w:themeColor="text1"/>
                <w:spacing w:val="-4"/>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含油</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铝屑</w:t>
            </w:r>
          </w:p>
        </w:tc>
        <w:tc>
          <w:tcPr>
            <w:tcW w:w="2536" w:type="dxa"/>
            <w:vMerge w:val="continue"/>
            <w:noWrap w:val="0"/>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含油木屑</w:t>
            </w:r>
          </w:p>
        </w:tc>
        <w:tc>
          <w:tcPr>
            <w:tcW w:w="2536"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p>
        </w:tc>
        <w:tc>
          <w:tcPr>
            <w:tcW w:w="2536"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污泥</w:t>
            </w:r>
          </w:p>
        </w:tc>
        <w:tc>
          <w:tcPr>
            <w:tcW w:w="2536"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废活性炭</w:t>
            </w:r>
          </w:p>
        </w:tc>
        <w:tc>
          <w:tcPr>
            <w:tcW w:w="2536"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74"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6" w:type="dxa"/>
            <w:vMerge w:val="continue"/>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326" w:type="dxa"/>
            <w:noWrap w:val="0"/>
            <w:vAlign w:val="center"/>
          </w:tcPr>
          <w:p>
            <w:pPr>
              <w:jc w:val="both"/>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油雾净化器收集的废油</w:t>
            </w:r>
          </w:p>
        </w:tc>
        <w:tc>
          <w:tcPr>
            <w:tcW w:w="2536"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118"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74"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土壤及地下水污染防治措施</w:t>
            </w:r>
          </w:p>
        </w:tc>
        <w:tc>
          <w:tcPr>
            <w:tcW w:w="7526" w:type="dxa"/>
            <w:gridSpan w:val="4"/>
            <w:noWrap w:val="0"/>
            <w:vAlign w:val="center"/>
          </w:tcPr>
          <w:p>
            <w:pPr>
              <w:adjustRightInd w:val="0"/>
              <w:snapToGrid w:val="0"/>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分区防渗：</w:t>
            </w:r>
          </w:p>
          <w:p>
            <w:pPr>
              <w:adjustRightInd w:val="0"/>
              <w:snapToGrid w:val="0"/>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lang w:eastAsia="zh-CN"/>
                <w14:textFill>
                  <w14:solidFill>
                    <w14:schemeClr w14:val="tx1"/>
                  </w14:solidFill>
                </w14:textFill>
              </w:rPr>
              <w:t>隔油池、</w:t>
            </w:r>
            <w:r>
              <w:rPr>
                <w:rFonts w:hint="default" w:ascii="Times New Roman" w:hAnsi="Times New Roman" w:cs="Times New Roman" w:eastAsiaTheme="minorEastAsia"/>
                <w:color w:val="000000" w:themeColor="text1"/>
                <w:szCs w:val="21"/>
                <w:lang w:eastAsia="zh-CN"/>
                <w14:textFill>
                  <w14:solidFill>
                    <w14:schemeClr w14:val="tx1"/>
                  </w14:solidFill>
                </w14:textFill>
              </w:rPr>
              <w:t>辅料区、生产作业区、危废库、</w:t>
            </w:r>
            <w:r>
              <w:rPr>
                <w:rFonts w:hint="default" w:ascii="Times New Roman" w:hAnsi="Times New Roman" w:cs="Times New Roman"/>
                <w:color w:val="000000" w:themeColor="text1"/>
                <w:kern w:val="0"/>
                <w:szCs w:val="21"/>
                <w:lang w:eastAsia="zh-CN"/>
                <w14:textFill>
                  <w14:solidFill>
                    <w14:schemeClr w14:val="tx1"/>
                  </w14:solidFill>
                </w14:textFill>
              </w:rPr>
              <w:t>油水分离池、自建污水处理设施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等区域采取重点防渗，</w:t>
            </w:r>
            <w:r>
              <w:rPr>
                <w:rFonts w:hint="default" w:ascii="Times New Roman" w:hAnsi="Times New Roman" w:cs="Times New Roman"/>
                <w:bCs/>
                <w:color w:val="000000" w:themeColor="text1"/>
                <w:sz w:val="21"/>
                <w:szCs w:val="21"/>
                <w14:textFill>
                  <w14:solidFill>
                    <w14:schemeClr w14:val="tx1"/>
                  </w14:solidFill>
                </w14:textFill>
              </w:rPr>
              <w:t>防渗措施：</w:t>
            </w:r>
            <w:r>
              <w:rPr>
                <w:rFonts w:hint="default" w:ascii="Times New Roman" w:hAnsi="Times New Roman" w:cs="Times New Roman"/>
                <w:color w:val="000000" w:themeColor="text1"/>
                <w:sz w:val="21"/>
                <w:szCs w:val="21"/>
                <w14:textFill>
                  <w14:solidFill>
                    <w14:schemeClr w14:val="tx1"/>
                  </w14:solidFill>
                </w14:textFill>
              </w:rPr>
              <w:t>先用水泥对地面进行硬化，再刷上环氧树脂防渗涂层，</w:t>
            </w:r>
            <w:r>
              <w:rPr>
                <w:rFonts w:hint="default" w:ascii="Times New Roman" w:hAnsi="Times New Roman" w:cs="Times New Roman"/>
                <w:color w:val="000000" w:themeColor="text1"/>
                <w:sz w:val="21"/>
                <w:szCs w:val="21"/>
                <w:lang w:eastAsia="zh-CN"/>
                <w14:textFill>
                  <w14:solidFill>
                    <w14:schemeClr w14:val="tx1"/>
                  </w14:solidFill>
                </w14:textFill>
              </w:rPr>
              <w:t>确保</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等效黏土防渗层厚度≥6m，渗透系数≤10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cm/s。危废暂存间按照《危险废物贮存污染控制标准》（GB 18597-2023）中的要求实施防渗。</w:t>
            </w:r>
          </w:p>
          <w:p>
            <w:pPr>
              <w:adjustRightInd w:val="0"/>
              <w:snapToGrid w:val="0"/>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Cs w:val="21"/>
                <w:lang w:eastAsia="zh-CN"/>
                <w14:textFill>
                  <w14:solidFill>
                    <w14:schemeClr w14:val="tx1"/>
                  </w14:solidFill>
                </w14:textFill>
              </w:rPr>
              <w:t>一般固废库、</w:t>
            </w:r>
            <w:r>
              <w:rPr>
                <w:rFonts w:hint="default" w:ascii="Times New Roman" w:hAnsi="Times New Roman" w:eastAsia="宋体" w:cs="Times New Roman"/>
                <w:color w:val="000000" w:themeColor="text1"/>
                <w:szCs w:val="21"/>
                <w:lang w:eastAsia="zh-CN"/>
                <w14:textFill>
                  <w14:solidFill>
                    <w14:schemeClr w14:val="tx1"/>
                  </w14:solidFill>
                </w14:textFill>
              </w:rPr>
              <w:t>食</w:t>
            </w:r>
            <w:r>
              <w:rPr>
                <w:rFonts w:hint="default" w:ascii="Times New Roman" w:hAnsi="Times New Roman" w:eastAsia="宋体" w:cs="Times New Roman"/>
                <w:color w:val="000000" w:themeColor="text1"/>
                <w:szCs w:val="21"/>
                <w:lang w:val="en-US" w:eastAsia="zh-CN"/>
                <w14:textFill>
                  <w14:solidFill>
                    <w14:schemeClr w14:val="tx1"/>
                  </w14:solidFill>
                </w14:textFill>
              </w:rPr>
              <w:t>堂</w:t>
            </w:r>
            <w:r>
              <w:rPr>
                <w:rFonts w:hint="default" w:ascii="Times New Roman" w:hAnsi="Times New Roman" w:cs="Times New Roman"/>
                <w:color w:val="000000" w:themeColor="text1"/>
                <w:szCs w:val="21"/>
                <w:lang w:val="en-US" w:eastAsia="zh-CN"/>
                <w14:textFill>
                  <w14:solidFill>
                    <w14:schemeClr w14:val="tx1"/>
                  </w14:solidFill>
                </w14:textFill>
              </w:rPr>
              <w:t>、化粪池</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取一般防渗，</w:t>
            </w:r>
            <w:r>
              <w:rPr>
                <w:rFonts w:hint="default" w:ascii="Times New Roman" w:hAnsi="Times New Roman" w:cs="Times New Roman"/>
                <w:color w:val="000000" w:themeColor="text1"/>
                <w:kern w:val="0"/>
                <w:sz w:val="21"/>
                <w:szCs w:val="21"/>
                <w14:textFill>
                  <w14:solidFill>
                    <w14:schemeClr w14:val="tx1"/>
                  </w14:solidFill>
                </w14:textFill>
              </w:rPr>
              <w:t>防渗措施：采用混凝土硬化，</w:t>
            </w:r>
            <w:r>
              <w:rPr>
                <w:rFonts w:hint="default" w:ascii="Times New Roman" w:hAnsi="Times New Roman" w:cs="Times New Roman"/>
                <w:color w:val="000000" w:themeColor="text1"/>
                <w:kern w:val="0"/>
                <w:sz w:val="21"/>
                <w:szCs w:val="21"/>
                <w:lang w:eastAsia="zh-CN"/>
                <w14:textFill>
                  <w14:solidFill>
                    <w14:schemeClr w14:val="tx1"/>
                  </w14:solidFill>
                </w14:textFill>
              </w:rPr>
              <w:t>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等效黏土防渗层厚度≥1.5m，渗透系数≤10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cm/s。</w:t>
            </w:r>
          </w:p>
          <w:p>
            <w:pPr>
              <w:adjustRightInd w:val="0"/>
              <w:snapToGrid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办公楼、宿舍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等为简单防渗区，采取一般地面硬化。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74"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措施</w:t>
            </w:r>
          </w:p>
        </w:tc>
        <w:tc>
          <w:tcPr>
            <w:tcW w:w="7526" w:type="dxa"/>
            <w:gridSpan w:val="4"/>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1274" w:type="dxa"/>
            <w:noWrap w:val="0"/>
            <w:vAlign w:val="center"/>
          </w:tcPr>
          <w:p>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环境风险</w:t>
            </w:r>
          </w:p>
          <w:p>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防范措施</w:t>
            </w:r>
          </w:p>
        </w:tc>
        <w:tc>
          <w:tcPr>
            <w:tcW w:w="7526" w:type="dxa"/>
            <w:gridSpan w:val="4"/>
            <w:noWrap w:val="0"/>
            <w:vAlign w:val="center"/>
          </w:tcPr>
          <w:p>
            <w:pPr>
              <w:spacing w:line="240" w:lineRule="auto"/>
              <w:jc w:val="left"/>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规</w:t>
            </w:r>
            <w:r>
              <w:rPr>
                <w:rFonts w:hint="default" w:ascii="Times New Roman" w:hAnsi="Times New Roman" w:cs="Times New Roman"/>
                <w:color w:val="000000" w:themeColor="text1"/>
                <w:kern w:val="0"/>
                <w:szCs w:val="21"/>
                <w14:textFill>
                  <w14:solidFill>
                    <w14:schemeClr w14:val="tx1"/>
                  </w14:solidFill>
                </w14:textFill>
              </w:rPr>
              <w:t>范建设危废</w:t>
            </w:r>
            <w:r>
              <w:rPr>
                <w:rFonts w:hint="default" w:ascii="Times New Roman" w:hAnsi="Times New Roman" w:cs="Times New Roman"/>
                <w:color w:val="000000" w:themeColor="text1"/>
                <w:kern w:val="0"/>
                <w:szCs w:val="21"/>
                <w:lang w:eastAsia="zh-CN"/>
                <w14:textFill>
                  <w14:solidFill>
                    <w14:schemeClr w14:val="tx1"/>
                  </w14:solidFill>
                </w14:textFill>
              </w:rPr>
              <w:t>库和辅料区</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eastAsia="zh-CN"/>
                <w14:textFill>
                  <w14:solidFill>
                    <w14:schemeClr w14:val="tx1"/>
                  </w14:solidFill>
                </w14:textFill>
              </w:rPr>
              <w:t>辅料区、</w:t>
            </w:r>
            <w:r>
              <w:rPr>
                <w:rFonts w:hint="default" w:ascii="Times New Roman" w:hAnsi="Times New Roman" w:cs="Times New Roman"/>
                <w:color w:val="000000" w:themeColor="text1"/>
                <w:kern w:val="0"/>
                <w:szCs w:val="21"/>
                <w14:textFill>
                  <w14:solidFill>
                    <w14:schemeClr w14:val="tx1"/>
                  </w14:solidFill>
                </w14:textFill>
              </w:rPr>
              <w:t>危废</w:t>
            </w:r>
            <w:r>
              <w:rPr>
                <w:rFonts w:hint="default" w:ascii="Times New Roman" w:hAnsi="Times New Roman" w:cs="Times New Roman"/>
                <w:color w:val="000000" w:themeColor="text1"/>
                <w:kern w:val="0"/>
                <w:szCs w:val="21"/>
                <w:lang w:eastAsia="zh-CN"/>
                <w14:textFill>
                  <w14:solidFill>
                    <w14:schemeClr w14:val="tx1"/>
                  </w14:solidFill>
                </w14:textFill>
              </w:rPr>
              <w:t>库</w:t>
            </w:r>
            <w:r>
              <w:rPr>
                <w:rFonts w:hint="default" w:ascii="Times New Roman" w:hAnsi="Times New Roman" w:cs="Times New Roman"/>
                <w:color w:val="000000" w:themeColor="text1"/>
                <w:kern w:val="0"/>
                <w:szCs w:val="21"/>
                <w14:textFill>
                  <w14:solidFill>
                    <w14:schemeClr w14:val="tx1"/>
                  </w14:solidFill>
                </w14:textFill>
              </w:rPr>
              <w:t>入口处设置10cm高围堰</w:t>
            </w:r>
            <w:r>
              <w:rPr>
                <w:rFonts w:hint="default" w:ascii="Times New Roman" w:hAnsi="Times New Roman" w:cs="Times New Roman"/>
                <w:color w:val="000000" w:themeColor="text1"/>
                <w:kern w:val="0"/>
                <w:szCs w:val="21"/>
                <w:lang w:eastAsia="zh-CN"/>
                <w14:textFill>
                  <w14:solidFill>
                    <w14:schemeClr w14:val="tx1"/>
                  </w14:solidFill>
                </w14:textFill>
              </w:rPr>
              <w:t>、四周设导流沟</w:t>
            </w:r>
            <w:r>
              <w:rPr>
                <w:rFonts w:hint="default" w:ascii="Times New Roman" w:hAnsi="Times New Roman" w:cs="Times New Roman"/>
                <w:color w:val="000000" w:themeColor="text1"/>
                <w:kern w:val="0"/>
                <w:szCs w:val="21"/>
                <w14:textFill>
                  <w14:solidFill>
                    <w14:schemeClr w14:val="tx1"/>
                  </w14:solidFill>
                </w14:textFill>
              </w:rPr>
              <w:t>；车间及仓库设置火灾报警系统，配备应急器材；加强废气处理设施的日常维修和维护管理，定期更换活性炭、布袋等；编制突发环境事件应急预案，定期进行应急演练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274" w:type="dxa"/>
            <w:noWrap w:val="0"/>
            <w:vAlign w:val="center"/>
          </w:tcPr>
          <w:p>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其他环境</w:t>
            </w:r>
          </w:p>
          <w:p>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管理要求</w:t>
            </w:r>
          </w:p>
        </w:tc>
        <w:tc>
          <w:tcPr>
            <w:tcW w:w="752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1、环境管理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设项目应设环境管理机构，运营期要确保环保设施的运行，并定期检查其效果，了解建设项目的污染因子的变化情况，建立健全环保档案，为保护和改善区域环境质量作好组织和监督工作，环境管理具体内容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①严格执行国家环境保护有关政策和法规，项目建成后及时协助有关环保部门进行建设工程项目环境保护设施的验收工作。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②加强对管理人员的教育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要经常加强对环保管理人员的教育，包括业务能力、操作技术、环保管理知识的教育，以增强他们的环保意识，提高管理水平。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③加强生产全过程的环境管理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建设单位应加强生产全过程的环境管理，始终贯彻清洁生产，节约原材料和能源，减少所有废弃物的数量：减少从原材料选择到产品最终处置的全生命周期的不利影响。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④加强污染物处理装置的管理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项目建成投产前，必须切实做好各项处理设备的选型、安装、调试；对各环保处理设施，要加强管理，及时维修、定期保养，保证处理设施正常运行。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2、排污口规范化设置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水排放口位置应根据国家环保总局《关于开展排污口规范化整治试点工作的意见》、《关于加快排污口规范化整治试点工作的通知》和《安徽省污染源排放口规范化整治管理办法》精神，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（1）废气排放口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项目废气排气筒高度应符合国家大气污染物排放标准的有关规定，废气排放口必须符合规定的高度和按《污染源监测技术规范》便于采样、监测的要求，设置直径不小于75mm的采样口。如无法满足要求的，其采样口与环境监测部门共同确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（2）废水排放口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本项目厂区的排水体制必须实施“清污分流、雨污分流”制，本项目设雨水排放口一个，污水排放口一个。污水排放口的设置须满足《污水监测技术规范》要求。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（3）固定噪声源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按规定对固定噪声源进行治理，在固定噪声源处应按《环境保护图形标志》（GB15562.2-1995）要求设置环境保护图形标志牌。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（4）固体废物储存场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对危险废物贮存建造专用的贮存设施，</w:t>
            </w:r>
            <w:r>
              <w:rPr>
                <w:rFonts w:hint="default" w:ascii="Times New Roman" w:hAnsi="Times New Roman" w:cs="Times New Roman"/>
                <w:b w:val="0"/>
                <w:bCs w:val="0"/>
                <w:color w:val="000000" w:themeColor="text1"/>
                <w:spacing w:val="0"/>
                <w:sz w:val="21"/>
                <w:szCs w:val="21"/>
                <w:highlight w:val="none"/>
                <w:lang w:val="en-US" w:eastAsia="zh-CN"/>
                <w14:textFill>
                  <w14:solidFill>
                    <w14:schemeClr w14:val="tx1"/>
                  </w14:solidFill>
                </w14:textFill>
              </w:rPr>
              <w:t>贮存设施或场所、容器和包装物应按 HJ 1276 要求设置危险废物贮存设施或场所标志、危险废物贮存分区标志和危险废物标签等危险废物识别标志。</w:t>
            </w:r>
            <w:r>
              <w:rPr>
                <w:rFonts w:hint="default" w:ascii="Times New Roman" w:hAnsi="Times New Roman" w:eastAsia="宋体" w:cs="Times New Roman"/>
                <w:color w:val="000000" w:themeColor="text1"/>
                <w:kern w:val="0"/>
                <w:sz w:val="21"/>
                <w:szCs w:val="21"/>
                <w14:textFill>
                  <w14:solidFill>
                    <w14:schemeClr w14:val="tx1"/>
                  </w14:solidFill>
                </w14:textFill>
              </w:rPr>
              <w:t>危险废物定期送有资质处理的单位集中处置，符合规范要求。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一般工业固体废物和生活垃圾应设置专用堆放场地，采取防止二次污染措施。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（5）设置标志牌要求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对企业车间废气处理装置的排口分别设置平面固定式提示标志牌或树立式固定式提示标志牌，平面固定式标志牌为0.48cm×0.3cm的长方形冷轧钢板，树立式提示标志牌为0.42cm×0.42cm的正方形冷轧钢板，提示牌的背景和立柱为绿色，图案、边框、支架和铺助标志的文字为白色，文字字型为黑体，标志牌辅助标志内容包括排污单位名称、标志牌名称、排污口编号和主要污染物名称，并交付当地环保部门注明。</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000000" w:themeColor="text1"/>
                <w:spacing w:val="-4"/>
                <w:kern w:val="24"/>
                <w:sz w:val="21"/>
                <w:szCs w:val="21"/>
                <w14:textFill>
                  <w14:solidFill>
                    <w14:schemeClr w14:val="tx1"/>
                  </w14:solidFill>
                </w14:textFill>
              </w:rPr>
            </w:pPr>
            <w:r>
              <w:rPr>
                <w:rFonts w:hint="default" w:ascii="Times New Roman" w:hAnsi="Times New Roman" w:cs="Times New Roman"/>
                <w:b/>
                <w:bCs/>
                <w:color w:val="000000" w:themeColor="text1"/>
                <w:spacing w:val="-4"/>
                <w:kern w:val="24"/>
                <w:sz w:val="21"/>
                <w:szCs w:val="21"/>
                <w14:textFill>
                  <w14:solidFill>
                    <w14:schemeClr w14:val="tx1"/>
                  </w14:solidFill>
                </w14:textFill>
              </w:rPr>
              <w:t>表5-1   各排污口（源）标志牌设置示意图</w:t>
            </w:r>
          </w:p>
          <w:tbl>
            <w:tblPr>
              <w:tblStyle w:val="31"/>
              <w:tblW w:w="7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7"/>
              <w:gridCol w:w="1417"/>
              <w:gridCol w:w="1417"/>
              <w:gridCol w:w="14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1417"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1417"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提示图形符号</w:t>
                  </w:r>
                </w:p>
              </w:tc>
              <w:tc>
                <w:tcPr>
                  <w:tcW w:w="1417"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警告图形符号</w:t>
                  </w:r>
                </w:p>
              </w:tc>
              <w:tc>
                <w:tcPr>
                  <w:tcW w:w="1418"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1418"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50900" cy="859155"/>
                        <wp:effectExtent l="0" t="0" r="6350" b="17145"/>
                        <wp:docPr id="4" name="图片 6"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3001"/>
                                <pic:cNvPicPr>
                                  <a:picLocks noChangeAspect="1"/>
                                </pic:cNvPicPr>
                              </pic:nvPicPr>
                              <pic:blipFill>
                                <a:blip r:embed="rId24"/>
                                <a:stretch>
                                  <a:fillRect/>
                                </a:stretch>
                              </pic:blipFill>
                              <pic:spPr>
                                <a:xfrm>
                                  <a:off x="0" y="0"/>
                                  <a:ext cx="850900" cy="859155"/>
                                </a:xfrm>
                                <a:prstGeom prst="rect">
                                  <a:avLst/>
                                </a:prstGeom>
                                <a:noFill/>
                                <a:ln>
                                  <a:noFill/>
                                </a:ln>
                              </pic:spPr>
                            </pic:pic>
                          </a:graphicData>
                        </a:graphic>
                      </wp:inline>
                    </w:drawing>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48995" cy="859155"/>
                        <wp:effectExtent l="0" t="0" r="8255" b="17145"/>
                        <wp:docPr id="5" name="图片 7"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3002"/>
                                <pic:cNvPicPr>
                                  <a:picLocks noChangeAspect="1"/>
                                </pic:cNvPicPr>
                              </pic:nvPicPr>
                              <pic:blipFill>
                                <a:blip r:embed="rId25"/>
                                <a:stretch>
                                  <a:fillRect/>
                                </a:stretch>
                              </pic:blipFill>
                              <pic:spPr>
                                <a:xfrm>
                                  <a:off x="0" y="0"/>
                                  <a:ext cx="848995" cy="859155"/>
                                </a:xfrm>
                                <a:prstGeom prst="rect">
                                  <a:avLst/>
                                </a:prstGeom>
                                <a:noFill/>
                                <a:ln>
                                  <a:noFill/>
                                </a:ln>
                              </pic:spPr>
                            </pic:pic>
                          </a:graphicData>
                        </a:graphic>
                      </wp:inline>
                    </w:drawing>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废水排放口</w:t>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表示废水排放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4" w:hRule="atLeast"/>
                <w:jc w:val="center"/>
              </w:trPr>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50900" cy="859155"/>
                        <wp:effectExtent l="0" t="0" r="6350" b="17145"/>
                        <wp:docPr id="6" name="图片 8"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3003"/>
                                <pic:cNvPicPr>
                                  <a:picLocks noChangeAspect="1"/>
                                </pic:cNvPicPr>
                              </pic:nvPicPr>
                              <pic:blipFill>
                                <a:blip r:embed="rId26"/>
                                <a:stretch>
                                  <a:fillRect/>
                                </a:stretch>
                              </pic:blipFill>
                              <pic:spPr>
                                <a:xfrm>
                                  <a:off x="0" y="0"/>
                                  <a:ext cx="850900" cy="859155"/>
                                </a:xfrm>
                                <a:prstGeom prst="rect">
                                  <a:avLst/>
                                </a:prstGeom>
                                <a:noFill/>
                                <a:ln>
                                  <a:noFill/>
                                </a:ln>
                              </pic:spPr>
                            </pic:pic>
                          </a:graphicData>
                        </a:graphic>
                      </wp:inline>
                    </w:drawing>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88365" cy="889635"/>
                        <wp:effectExtent l="0" t="0" r="6985" b="5715"/>
                        <wp:docPr id="8"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4"/>
                                <pic:cNvPicPr>
                                  <a:picLocks noChangeAspect="1"/>
                                </pic:cNvPicPr>
                              </pic:nvPicPr>
                              <pic:blipFill>
                                <a:blip r:embed="rId27"/>
                                <a:stretch>
                                  <a:fillRect/>
                                </a:stretch>
                              </pic:blipFill>
                              <pic:spPr>
                                <a:xfrm>
                                  <a:off x="0" y="0"/>
                                  <a:ext cx="888365" cy="889635"/>
                                </a:xfrm>
                                <a:prstGeom prst="rect">
                                  <a:avLst/>
                                </a:prstGeom>
                                <a:noFill/>
                                <a:ln>
                                  <a:noFill/>
                                </a:ln>
                              </pic:spPr>
                            </pic:pic>
                          </a:graphicData>
                        </a:graphic>
                      </wp:inline>
                    </w:drawing>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废气排放口</w:t>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5" w:hRule="atLeast"/>
                <w:jc w:val="center"/>
              </w:trPr>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50900" cy="859155"/>
                        <wp:effectExtent l="0" t="0" r="6350" b="17145"/>
                        <wp:docPr id="9" name="图片 10"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4001"/>
                                <pic:cNvPicPr>
                                  <a:picLocks noChangeAspect="1"/>
                                </pic:cNvPicPr>
                              </pic:nvPicPr>
                              <pic:blipFill>
                                <a:blip r:embed="rId28"/>
                                <a:stretch>
                                  <a:fillRect/>
                                </a:stretch>
                              </pic:blipFill>
                              <pic:spPr>
                                <a:xfrm>
                                  <a:off x="0" y="0"/>
                                  <a:ext cx="850900" cy="859155"/>
                                </a:xfrm>
                                <a:prstGeom prst="rect">
                                  <a:avLst/>
                                </a:prstGeom>
                                <a:noFill/>
                                <a:ln>
                                  <a:noFill/>
                                </a:ln>
                              </pic:spPr>
                            </pic:pic>
                          </a:graphicData>
                        </a:graphic>
                      </wp:inline>
                    </w:drawing>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916305" cy="859155"/>
                        <wp:effectExtent l="0" t="0" r="17145" b="17145"/>
                        <wp:docPr id="10" name="图片 11"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14002"/>
                                <pic:cNvPicPr>
                                  <a:picLocks noChangeAspect="1"/>
                                </pic:cNvPicPr>
                              </pic:nvPicPr>
                              <pic:blipFill>
                                <a:blip r:embed="rId29"/>
                                <a:stretch>
                                  <a:fillRect/>
                                </a:stretch>
                              </pic:blipFill>
                              <pic:spPr>
                                <a:xfrm>
                                  <a:off x="0" y="0"/>
                                  <a:ext cx="916305" cy="859155"/>
                                </a:xfrm>
                                <a:prstGeom prst="rect">
                                  <a:avLst/>
                                </a:prstGeom>
                                <a:noFill/>
                                <a:ln>
                                  <a:noFill/>
                                </a:ln>
                              </pic:spPr>
                            </pic:pic>
                          </a:graphicData>
                        </a:graphic>
                      </wp:inline>
                    </w:drawing>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一般固体废物</w:t>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417"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p>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53440" cy="852805"/>
                        <wp:effectExtent l="0" t="0" r="3810" b="4445"/>
                        <wp:docPr id="11" name="图片 12"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200602201518049853"/>
                                <pic:cNvPicPr>
                                  <a:picLocks noChangeAspect="1"/>
                                </pic:cNvPicPr>
                              </pic:nvPicPr>
                              <pic:blipFill>
                                <a:blip r:embed="rId30"/>
                                <a:stretch>
                                  <a:fillRect/>
                                </a:stretch>
                              </pic:blipFill>
                              <pic:spPr>
                                <a:xfrm>
                                  <a:off x="0" y="0"/>
                                  <a:ext cx="853440" cy="852805"/>
                                </a:xfrm>
                                <a:prstGeom prst="rect">
                                  <a:avLst/>
                                </a:prstGeom>
                                <a:noFill/>
                                <a:ln>
                                  <a:noFill/>
                                </a:ln>
                              </pic:spPr>
                            </pic:pic>
                          </a:graphicData>
                        </a:graphic>
                      </wp:inline>
                    </w:drawing>
                  </w:r>
                </w:p>
              </w:tc>
              <w:tc>
                <w:tcPr>
                  <w:tcW w:w="1417" w:type="dxa"/>
                  <w:noWrap w:val="0"/>
                  <w:vAlign w:val="center"/>
                </w:tcPr>
                <w:p>
                  <w:pPr>
                    <w:pStyle w:val="71"/>
                    <w:jc w:val="center"/>
                    <w:rPr>
                      <w:rFonts w:hint="default" w:ascii="Times New Roman" w:hAnsi="Times New Roman" w:cs="Times New Roman"/>
                      <w:b/>
                      <w:color w:val="000000" w:themeColor="text1"/>
                      <w:sz w:val="21"/>
                      <w:szCs w:val="21"/>
                      <w14:textFill>
                        <w14:solidFill>
                          <w14:schemeClr w14:val="tx1"/>
                        </w14:solidFill>
                      </w14:textFill>
                    </w:rPr>
                  </w:pPr>
                </w:p>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953770" cy="847090"/>
                        <wp:effectExtent l="0" t="0" r="17780" b="10160"/>
                        <wp:docPr id="12" name="图片 13"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200602201519018631"/>
                                <pic:cNvPicPr>
                                  <a:picLocks noChangeAspect="1"/>
                                </pic:cNvPicPr>
                              </pic:nvPicPr>
                              <pic:blipFill>
                                <a:blip r:embed="rId31"/>
                                <a:stretch>
                                  <a:fillRect/>
                                </a:stretch>
                              </pic:blipFill>
                              <pic:spPr>
                                <a:xfrm>
                                  <a:off x="0" y="0"/>
                                  <a:ext cx="953770" cy="847090"/>
                                </a:xfrm>
                                <a:prstGeom prst="rect">
                                  <a:avLst/>
                                </a:prstGeom>
                                <a:noFill/>
                                <a:ln>
                                  <a:noFill/>
                                </a:ln>
                              </pic:spPr>
                            </pic:pic>
                          </a:graphicData>
                        </a:graphic>
                      </wp:inline>
                    </w:drawing>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噪声排放源</w:t>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3" w:hRule="atLeast"/>
                <w:jc w:val="center"/>
              </w:trPr>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417"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instrText xml:space="preserve">INCLUDEPICTURE \d "C:\\Users\\Administrator\\AppData\\Roaming\\Tencent\\Users\\269843036\\QQ\\WinTemp\\RichOle\\LFU~NG3[4`30_W78~V8L~(B.png" \* MERGEFORMATINET </w:instrTex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drawing>
                      <wp:inline distT="0" distB="0" distL="114300" distR="114300">
                        <wp:extent cx="916940" cy="1030605"/>
                        <wp:effectExtent l="0" t="0" r="16510" b="17145"/>
                        <wp:docPr id="1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56"/>
                                <pic:cNvPicPr>
                                  <a:picLocks noChangeAspect="1"/>
                                </pic:cNvPicPr>
                              </pic:nvPicPr>
                              <pic:blipFill>
                                <a:blip r:embed="rId32"/>
                                <a:srcRect l="7516" t="16379" r="44055" b="14999"/>
                                <a:stretch>
                                  <a:fillRect/>
                                </a:stretch>
                              </pic:blipFill>
                              <pic:spPr>
                                <a:xfrm>
                                  <a:off x="0" y="0"/>
                                  <a:ext cx="916940" cy="1030605"/>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end"/>
                  </w:r>
                </w:p>
              </w:tc>
              <w:tc>
                <w:tcPr>
                  <w:tcW w:w="1417" w:type="dxa"/>
                  <w:noWrap w:val="0"/>
                  <w:vAlign w:val="center"/>
                </w:tcPr>
                <w:p>
                  <w:pPr>
                    <w:pStyle w:val="71"/>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instrText xml:space="preserve">INCLUDEPICTURE \d "C:\\Users\\Administrator\\AppData\\Roaming\\Tencent\\Users\\269843036\\QQ\\WinTemp\\RichOle\\D%F3TNW%DZQ{IO%829TRS1S.png" \* MERGEFORMATINET </w:instrTex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drawing>
                      <wp:inline distT="0" distB="0" distL="114300" distR="114300">
                        <wp:extent cx="906145" cy="513080"/>
                        <wp:effectExtent l="0" t="0" r="8255" b="1270"/>
                        <wp:docPr id="1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6"/>
                                <pic:cNvPicPr>
                                  <a:picLocks noChangeAspect="1"/>
                                </pic:cNvPicPr>
                              </pic:nvPicPr>
                              <pic:blipFill>
                                <a:blip r:embed="rId33"/>
                                <a:stretch>
                                  <a:fillRect/>
                                </a:stretch>
                              </pic:blipFill>
                              <pic:spPr>
                                <a:xfrm>
                                  <a:off x="0" y="0"/>
                                  <a:ext cx="906145" cy="513080"/>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end"/>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w:t>
                  </w:r>
                </w:p>
              </w:tc>
              <w:tc>
                <w:tcPr>
                  <w:tcW w:w="1418" w:type="dxa"/>
                  <w:noWrap w:val="0"/>
                  <w:vAlign w:val="center"/>
                </w:tcPr>
                <w:p>
                  <w:pPr>
                    <w:pStyle w:val="7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表示危险废物</w:t>
                  </w:r>
                  <w:r>
                    <w:rPr>
                      <w:rFonts w:hint="default" w:ascii="Times New Roman" w:hAnsi="Times New Roman" w:eastAsia="宋体" w:cs="Times New Roman"/>
                      <w:color w:val="000000" w:themeColor="text1"/>
                      <w:sz w:val="21"/>
                      <w:szCs w:val="21"/>
                      <w14:textFill>
                        <w14:solidFill>
                          <w14:schemeClr w14:val="tx1"/>
                        </w14:solidFill>
                      </w14:textFill>
                    </w:rPr>
                    <w:t>贮存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设施</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3、排污许可证管理要求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根据《固定污染源排污许可分类管理名录（2019年版）》，本项目排污许可分类为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简化管理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，建设单位在取得环评批复后，</w:t>
            </w:r>
            <w:r>
              <w:rPr>
                <w:rFonts w:hint="default" w:ascii="Times New Roman" w:hAnsi="Times New Roman" w:cs="Times New Roman"/>
                <w:color w:val="000000" w:themeColor="text1"/>
                <w:sz w:val="21"/>
                <w:szCs w:val="21"/>
                <w14:textFill>
                  <w14:solidFill>
                    <w14:schemeClr w14:val="tx1"/>
                  </w14:solidFill>
                </w14:textFill>
              </w:rPr>
              <w:t>在启动生产设施或者发生实际排污之前申请取得排污许可证。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4、自主验收要求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建设单位应在本项目建设完成并进行试生产后，按照《建设项目竣工环境保护验收暂行办法》（2017年11月22日实施）中的相关规定，进行自主验收。</w:t>
            </w:r>
          </w:p>
          <w:p>
            <w:pPr>
              <w:spacing w:line="240" w:lineRule="auto"/>
              <w:jc w:val="left"/>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tc>
      </w:tr>
    </w:tbl>
    <w:p>
      <w:pPr>
        <w:widowControl/>
        <w:spacing w:before="100" w:beforeAutospacing="1"/>
        <w:jc w:val="center"/>
        <w:rPr>
          <w:rFonts w:hint="default" w:ascii="Times New Roman" w:hAnsi="Times New Roman" w:eastAsia="黑体" w:cs="Times New Roman"/>
          <w:snapToGrid w:val="0"/>
          <w:color w:val="000000" w:themeColor="text1"/>
          <w:sz w:val="30"/>
          <w:szCs w:val="30"/>
          <w14:textFill>
            <w14:solidFill>
              <w14:schemeClr w14:val="tx1"/>
            </w14:solidFill>
          </w14:textFill>
        </w:rPr>
      </w:pPr>
    </w:p>
    <w:p>
      <w:pPr>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br w:type="page"/>
      </w:r>
    </w:p>
    <w:p>
      <w:pPr>
        <w:pStyle w:val="38"/>
        <w:rPr>
          <w:rFonts w:hint="default" w:ascii="Times New Roman" w:hAnsi="Times New Roman" w:cs="Times New Roman"/>
          <w:color w:val="000000" w:themeColor="text1"/>
          <w14:textFill>
            <w14:solidFill>
              <w14:schemeClr w14:val="tx1"/>
            </w14:solidFill>
          </w14:textFill>
        </w:rPr>
        <w:sectPr>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2"/>
        <w:tblW w:w="13682"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368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192" w:hRule="atLeast"/>
        </w:trPr>
        <w:tc>
          <w:tcPr>
            <w:tcW w:w="13682" w:type="dxa"/>
          </w:tcPr>
          <w:p>
            <w:pPr>
              <w:spacing w:before="100" w:beforeAutospacing="1"/>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表5-</w:t>
            </w:r>
            <w:r>
              <w:rPr>
                <w:rFonts w:hint="default" w:ascii="Times New Roman" w:hAnsi="Times New Roman" w:cs="Times New Roman"/>
                <w:b/>
                <w:color w:val="000000" w:themeColor="text1"/>
                <w:sz w:val="24"/>
                <w:lang w:val="en-US" w:eastAsia="zh-CN"/>
                <w14:textFill>
                  <w14:solidFill>
                    <w14:schemeClr w14:val="tx1"/>
                  </w14:solidFill>
                </w14:textFill>
              </w:rPr>
              <w:t>2</w:t>
            </w:r>
            <w:r>
              <w:rPr>
                <w:rFonts w:hint="default" w:ascii="Times New Roman" w:hAnsi="Times New Roman" w:cs="Times New Roman"/>
                <w:b/>
                <w:color w:val="000000" w:themeColor="text1"/>
                <w:sz w:val="24"/>
                <w14:textFill>
                  <w14:solidFill>
                    <w14:schemeClr w14:val="tx1"/>
                  </w14:solidFill>
                </w14:textFill>
              </w:rPr>
              <w:t xml:space="preserve">  建设项目环保投资及</w:t>
            </w:r>
            <w:r>
              <w:rPr>
                <w:rFonts w:hint="default" w:ascii="Times New Roman" w:hAnsi="Times New Roman" w:cs="Times New Roman" w:eastAsiaTheme="minorEastAsia"/>
                <w:b/>
                <w:color w:val="000000" w:themeColor="text1"/>
                <w:sz w:val="24"/>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三同时</w:t>
            </w:r>
            <w:r>
              <w:rPr>
                <w:rFonts w:hint="default" w:ascii="Times New Roman" w:hAnsi="Times New Roman" w:cs="Times New Roman" w:eastAsiaTheme="minorEastAsia"/>
                <w:b/>
                <w:color w:val="000000" w:themeColor="text1"/>
                <w:sz w:val="24"/>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验收一览表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715"/>
              <w:gridCol w:w="1362"/>
              <w:gridCol w:w="3293"/>
              <w:gridCol w:w="3948"/>
              <w:gridCol w:w="525"/>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0" w:type="auto"/>
                  <w:vAlign w:val="center"/>
                </w:tcPr>
                <w:p>
                  <w:pPr>
                    <w:autoSpaceDE w:val="0"/>
                    <w:autoSpaceDN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类别</w:t>
                  </w:r>
                </w:p>
              </w:tc>
              <w:tc>
                <w:tcPr>
                  <w:tcW w:w="3077" w:type="dxa"/>
                  <w:gridSpan w:val="2"/>
                  <w:vAlign w:val="center"/>
                </w:tcPr>
                <w:p>
                  <w:pPr>
                    <w:autoSpaceDE w:val="0"/>
                    <w:autoSpaceDN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治理对象</w:t>
                  </w:r>
                </w:p>
              </w:tc>
              <w:tc>
                <w:tcPr>
                  <w:tcW w:w="3293" w:type="dxa"/>
                  <w:vAlign w:val="center"/>
                </w:tcPr>
                <w:p>
                  <w:pPr>
                    <w:autoSpaceDE w:val="0"/>
                    <w:autoSpaceDN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环保设施名称</w:t>
                  </w:r>
                </w:p>
              </w:tc>
              <w:tc>
                <w:tcPr>
                  <w:tcW w:w="3948" w:type="dxa"/>
                  <w:vAlign w:val="center"/>
                </w:tcPr>
                <w:p>
                  <w:pPr>
                    <w:autoSpaceDE w:val="0"/>
                    <w:autoSpaceDN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治理效果</w:t>
                  </w:r>
                </w:p>
              </w:tc>
              <w:tc>
                <w:tcPr>
                  <w:tcW w:w="0" w:type="auto"/>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投资</w:t>
                  </w:r>
                </w:p>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（万元）</w:t>
                  </w:r>
                </w:p>
              </w:tc>
              <w:tc>
                <w:tcPr>
                  <w:tcW w:w="0" w:type="auto"/>
                  <w:vAlign w:val="center"/>
                </w:tcPr>
                <w:p>
                  <w:pPr>
                    <w:autoSpaceDE w:val="0"/>
                    <w:autoSpaceDN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Cs w:val="18"/>
                      <w:lang w:val="zh-CN" w:eastAsia="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废气治理</w:t>
                  </w:r>
                </w:p>
              </w:tc>
              <w:tc>
                <w:tcPr>
                  <w:tcW w:w="1715"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DA001</w:t>
                  </w:r>
                </w:p>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zCs w:val="21"/>
                      <w:lang w:val="en-US" w:eastAsia="zh-CN"/>
                      <w14:textFill>
                        <w14:solidFill>
                          <w14:schemeClr w14:val="tx1"/>
                        </w14:solidFill>
                      </w14:textFill>
                    </w:rPr>
                    <w:t>、压铸</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脱膜</w:t>
                  </w:r>
                  <w:r>
                    <w:rPr>
                      <w:rFonts w:hint="default" w:ascii="Times New Roman" w:hAnsi="Times New Roman" w:cs="Times New Roman"/>
                      <w:color w:val="000000" w:themeColor="text1"/>
                      <w:szCs w:val="21"/>
                      <w:lang w:val="en-US" w:eastAsia="zh-CN"/>
                      <w14:textFill>
                        <w14:solidFill>
                          <w14:schemeClr w14:val="tx1"/>
                        </w14:solidFill>
                      </w14:textFill>
                    </w:rPr>
                    <w:t>、危废库暂存废气</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62"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颗粒物、非甲烷总烃</w:t>
                  </w:r>
                </w:p>
              </w:tc>
              <w:tc>
                <w:tcPr>
                  <w:tcW w:w="3293"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车间密闭，</w:t>
                  </w:r>
                  <w:r>
                    <w:rPr>
                      <w:rFonts w:hint="default" w:ascii="Times New Roman" w:hAnsi="Times New Roman" w:cs="Times New Roman"/>
                      <w:color w:val="000000" w:themeColor="text1"/>
                      <w:szCs w:val="18"/>
                      <w:lang w:eastAsia="zh-CN"/>
                      <w14:textFill>
                        <w14:solidFill>
                          <w14:schemeClr w14:val="tx1"/>
                        </w14:solidFill>
                      </w14:textFill>
                    </w:rPr>
                    <w:t>半密闭式集气罩收集</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静电</w:t>
                  </w:r>
                  <w:r>
                    <w:rPr>
                      <w:rFonts w:hint="default" w:ascii="Times New Roman" w:hAnsi="Times New Roman" w:cs="Times New Roman"/>
                      <w:color w:val="000000" w:themeColor="text1"/>
                      <w:szCs w:val="21"/>
                      <w:lang w:val="en-US" w:eastAsia="zh-CN"/>
                      <w14:textFill>
                        <w14:solidFill>
                          <w14:schemeClr w14:val="tx1"/>
                        </w14:solidFill>
                      </w14:textFill>
                    </w:rPr>
                    <w:t>式</w:t>
                  </w:r>
                  <w:r>
                    <w:rPr>
                      <w:rFonts w:hint="default" w:ascii="Times New Roman" w:hAnsi="Times New Roman" w:cs="Times New Roman"/>
                      <w:color w:val="000000" w:themeColor="text1"/>
                      <w:szCs w:val="21"/>
                      <w:lang w:eastAsia="zh-CN"/>
                      <w14:textFill>
                        <w14:solidFill>
                          <w14:schemeClr w14:val="tx1"/>
                        </w14:solidFill>
                      </w14:textFill>
                    </w:rPr>
                    <w:t>油雾净化</w:t>
                  </w:r>
                  <w:r>
                    <w:rPr>
                      <w:rFonts w:hint="default" w:ascii="Times New Roman" w:hAnsi="Times New Roman" w:cs="Times New Roman"/>
                      <w:color w:val="000000" w:themeColor="text1"/>
                      <w:szCs w:val="21"/>
                      <w:lang w:val="en-US" w:eastAsia="zh-CN"/>
                      <w14:textFill>
                        <w14:solidFill>
                          <w14:schemeClr w14:val="tx1"/>
                        </w14:solidFill>
                      </w14:textFill>
                    </w:rPr>
                    <w:t>器+耐高温布袋除</w:t>
                  </w:r>
                  <w:r>
                    <w:rPr>
                      <w:rFonts w:hint="default" w:ascii="Times New Roman" w:hAnsi="Times New Roman" w:cs="Times New Roman"/>
                      <w:color w:val="000000" w:themeColor="text1"/>
                      <w:szCs w:val="21"/>
                      <w14:textFill>
                        <w14:solidFill>
                          <w14:schemeClr w14:val="tx1"/>
                        </w14:solidFill>
                      </w14:textFill>
                    </w:rPr>
                    <w:t>尘器</w:t>
                  </w:r>
                  <w:r>
                    <w:rPr>
                      <w:rFonts w:hint="default" w:ascii="Times New Roman" w:hAnsi="Times New Roman" w:cs="Times New Roman"/>
                      <w:color w:val="000000" w:themeColor="text1"/>
                      <w:szCs w:val="21"/>
                      <w:lang w:val="en-US" w:eastAsia="zh-CN"/>
                      <w14:textFill>
                        <w14:solidFill>
                          <w14:schemeClr w14:val="tx1"/>
                        </w14:solidFill>
                      </w14:textFill>
                    </w:rPr>
                    <w:t>+两级活性炭装置</w:t>
                  </w:r>
                </w:p>
              </w:tc>
              <w:tc>
                <w:tcPr>
                  <w:tcW w:w="3948" w:type="dxa"/>
                  <w:vMerge w:val="restar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《铸造工业大气污染物排放标准》（GB39726—2020）中表1标准限值</w:t>
                  </w:r>
                </w:p>
              </w:tc>
              <w:tc>
                <w:tcPr>
                  <w:tcW w:w="0" w:type="auto"/>
                  <w:vAlign w:val="center"/>
                </w:tcPr>
                <w:p>
                  <w:pPr>
                    <w:snapToGrid w:val="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c>
                <w:tcPr>
                  <w:tcW w:w="0" w:type="auto"/>
                  <w:vMerge w:val="restart"/>
                  <w:vAlign w:val="center"/>
                </w:tcPr>
                <w:p>
                  <w:pPr>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与建设项目同时设计、同时施工，同时投入运行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Cs w:val="18"/>
                      <w:lang w:val="zh-CN" w:eastAsia="zh-CN"/>
                      <w14:textFill>
                        <w14:solidFill>
                          <w14:schemeClr w14:val="tx1"/>
                        </w14:solidFill>
                      </w14:textFill>
                    </w:rPr>
                  </w:pPr>
                </w:p>
              </w:tc>
              <w:tc>
                <w:tcPr>
                  <w:tcW w:w="1715"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DA002</w:t>
                  </w:r>
                </w:p>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抛丸、抛光</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62"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3293" w:type="dxa"/>
                  <w:vAlign w:val="center"/>
                </w:tcPr>
                <w:p>
                  <w:pPr>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18"/>
                      <w:lang w:val="en-US" w:eastAsia="zh-CN"/>
                      <w14:textFill>
                        <w14:solidFill>
                          <w14:schemeClr w14:val="tx1"/>
                        </w14:solidFill>
                      </w14:textFill>
                    </w:rPr>
                    <w:t>抛丸机密闭，设置抽风管道收集+自带布袋除尘器；</w:t>
                  </w:r>
                  <w:r>
                    <w:rPr>
                      <w:rFonts w:hint="default" w:ascii="Times New Roman" w:hAnsi="Times New Roman" w:cs="Times New Roman"/>
                      <w:bCs/>
                      <w:color w:val="000000" w:themeColor="text1"/>
                      <w:szCs w:val="18"/>
                      <w:lang w:val="en-US" w:eastAsia="zh-CN"/>
                      <w14:textFill>
                        <w14:solidFill>
                          <w14:schemeClr w14:val="tx1"/>
                        </w14:solidFill>
                      </w14:textFill>
                    </w:rPr>
                    <w:t>砂磨</w:t>
                  </w:r>
                  <w:r>
                    <w:rPr>
                      <w:rFonts w:hint="default" w:ascii="Times New Roman" w:hAnsi="Times New Roman" w:eastAsia="宋体" w:cs="Times New Roman"/>
                      <w:bCs/>
                      <w:color w:val="000000" w:themeColor="text1"/>
                      <w:szCs w:val="18"/>
                      <w:lang w:val="en-US" w:eastAsia="zh-CN"/>
                      <w14:textFill>
                        <w14:solidFill>
                          <w14:schemeClr w14:val="tx1"/>
                        </w14:solidFill>
                      </w14:textFill>
                    </w:rPr>
                    <w:t>抛光机</w:t>
                  </w:r>
                  <w:r>
                    <w:rPr>
                      <w:rFonts w:hint="default" w:ascii="Times New Roman" w:hAnsi="Times New Roman" w:cs="Times New Roman"/>
                      <w:bCs/>
                      <w:color w:val="000000" w:themeColor="text1"/>
                      <w:szCs w:val="18"/>
                      <w:lang w:val="en-US" w:eastAsia="zh-CN"/>
                      <w14:textFill>
                        <w14:solidFill>
                          <w14:schemeClr w14:val="tx1"/>
                        </w14:solidFill>
                      </w14:textFill>
                    </w:rPr>
                    <w:t>经侧吸三面封闭集气罩</w:t>
                  </w:r>
                  <w:r>
                    <w:rPr>
                      <w:rFonts w:hint="default" w:ascii="Times New Roman" w:hAnsi="Times New Roman" w:eastAsia="宋体" w:cs="Times New Roman"/>
                      <w:bCs/>
                      <w:color w:val="000000" w:themeColor="text1"/>
                      <w:szCs w:val="18"/>
                      <w:lang w:val="en-US" w:eastAsia="zh-CN"/>
                      <w14:textFill>
                        <w14:solidFill>
                          <w14:schemeClr w14:val="tx1"/>
                        </w14:solidFill>
                      </w14:textFill>
                    </w:rPr>
                    <w:t>收集</w:t>
                  </w:r>
                  <w:r>
                    <w:rPr>
                      <w:rFonts w:hint="default" w:ascii="Times New Roman" w:hAnsi="Times New Roman" w:cs="Times New Roman"/>
                      <w:bCs/>
                      <w:color w:val="000000" w:themeColor="text1"/>
                      <w:szCs w:val="18"/>
                      <w:lang w:val="en-US" w:eastAsia="zh-CN"/>
                      <w14:textFill>
                        <w14:solidFill>
                          <w14:schemeClr w14:val="tx1"/>
                        </w14:solidFill>
                      </w14:textFill>
                    </w:rPr>
                    <w:t>+</w:t>
                  </w:r>
                  <w:r>
                    <w:rPr>
                      <w:rFonts w:hint="default" w:ascii="Times New Roman" w:hAnsi="Times New Roman" w:eastAsia="宋体" w:cs="Times New Roman"/>
                      <w:bCs/>
                      <w:color w:val="000000" w:themeColor="text1"/>
                      <w:szCs w:val="18"/>
                      <w:lang w:val="en-US" w:eastAsia="zh-CN"/>
                      <w14:textFill>
                        <w14:solidFill>
                          <w14:schemeClr w14:val="tx1"/>
                        </w14:solidFill>
                      </w14:textFill>
                    </w:rPr>
                    <w:t>自带的湿式除尘器处理</w:t>
                  </w:r>
                </w:p>
              </w:tc>
              <w:tc>
                <w:tcPr>
                  <w:tcW w:w="3948" w:type="dxa"/>
                  <w:vMerge w:val="continue"/>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0" w:type="auto"/>
                  <w:vAlign w:val="center"/>
                </w:tcPr>
                <w:p>
                  <w:pPr>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0" w:type="auto"/>
                  <w:vMerge w:val="continue"/>
                  <w:vAlign w:val="center"/>
                </w:tcPr>
                <w:p>
                  <w:pPr>
                    <w:snapToGrid w:val="0"/>
                    <w:jc w:val="center"/>
                    <w:rPr>
                      <w:rFonts w:hint="default" w:ascii="Times New Roman" w:hAnsi="Times New Roman" w:cs="Times New Roman"/>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Cs w:val="18"/>
                      <w:lang w:val="zh-CN" w:eastAsia="zh-CN"/>
                      <w14:textFill>
                        <w14:solidFill>
                          <w14:schemeClr w14:val="tx1"/>
                        </w14:solidFill>
                      </w14:textFill>
                    </w:rPr>
                  </w:pPr>
                </w:p>
              </w:tc>
              <w:tc>
                <w:tcPr>
                  <w:tcW w:w="1715" w:type="dxa"/>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DA003</w:t>
                  </w:r>
                </w:p>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(危废库废气）</w:t>
                  </w:r>
                </w:p>
              </w:tc>
              <w:tc>
                <w:tcPr>
                  <w:tcW w:w="1362" w:type="dxa"/>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3293" w:type="dxa"/>
                  <w:vAlign w:val="center"/>
                </w:tcPr>
                <w:p>
                  <w:pPr>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危废库密闭，设置抽排风系统+两级活性炭装置</w:t>
                  </w:r>
                </w:p>
              </w:tc>
              <w:tc>
                <w:tcPr>
                  <w:tcW w:w="3948" w:type="dxa"/>
                  <w:vMerge w:val="continue"/>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0" w:type="auto"/>
                  <w:vAlign w:val="center"/>
                </w:tcPr>
                <w:p>
                  <w:pPr>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0" w:type="auto"/>
                  <w:vMerge w:val="continue"/>
                  <w:vAlign w:val="center"/>
                </w:tcPr>
                <w:p>
                  <w:pPr>
                    <w:snapToGrid w:val="0"/>
                    <w:jc w:val="center"/>
                    <w:rPr>
                      <w:rFonts w:hint="default" w:ascii="Times New Roman" w:hAnsi="Times New Roman" w:cs="Times New Roman"/>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Cs w:val="18"/>
                      <w:lang w:val="zh-CN" w:eastAsia="zh-CN"/>
                      <w14:textFill>
                        <w14:solidFill>
                          <w14:schemeClr w14:val="tx1"/>
                        </w14:solidFill>
                      </w14:textFill>
                    </w:rPr>
                  </w:pPr>
                </w:p>
              </w:tc>
              <w:tc>
                <w:tcPr>
                  <w:tcW w:w="1715" w:type="dxa"/>
                  <w:vAlign w:val="center"/>
                </w:tcPr>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DA004</w:t>
                  </w:r>
                </w:p>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天然气</w:t>
                  </w:r>
                </w:p>
                <w:p>
                  <w:pPr>
                    <w:keepNext w:val="0"/>
                    <w:keepLines w:val="0"/>
                    <w:pageBreakBefore w:val="0"/>
                    <w:kinsoku/>
                    <w:wordWrap/>
                    <w:overflowPunct/>
                    <w:topLinePunct w:val="0"/>
                    <w:bidi w:val="0"/>
                    <w:adjustRightInd w:val="0"/>
                    <w:snapToGrid w:val="0"/>
                    <w:spacing w:line="240" w:lineRule="auto"/>
                    <w:ind w:right="-63" w:rightChars="-3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燃烧废气</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362" w:type="dxa"/>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SO</w:t>
                  </w:r>
                  <w:r>
                    <w:rPr>
                      <w:rFonts w:hint="default" w:ascii="Times New Roman" w:hAnsi="Times New Roman" w:eastAsia="宋体"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、NOx</w:t>
                  </w: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3293" w:type="dxa"/>
                  <w:vAlign w:val="center"/>
                </w:tcPr>
                <w:p>
                  <w:pPr>
                    <w:jc w:val="center"/>
                    <w:rPr>
                      <w:rFonts w:hint="default" w:ascii="Times New Roman" w:hAnsi="Times New Roman" w:cs="Times New Roman"/>
                      <w:bCs/>
                      <w:color w:val="000000" w:themeColor="text1"/>
                      <w:szCs w:val="18"/>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天然气熔铝炉采取低氮燃烧</w:t>
                  </w:r>
                </w:p>
              </w:tc>
              <w:tc>
                <w:tcPr>
                  <w:tcW w:w="3948" w:type="dxa"/>
                  <w:vMerge w:val="continue"/>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0" w:type="auto"/>
                  <w:vAlign w:val="center"/>
                </w:tcPr>
                <w:p>
                  <w:pPr>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0" w:type="auto"/>
                  <w:vMerge w:val="continue"/>
                  <w:vAlign w:val="center"/>
                </w:tcPr>
                <w:p>
                  <w:pPr>
                    <w:snapToGrid w:val="0"/>
                    <w:jc w:val="center"/>
                    <w:rPr>
                      <w:rFonts w:hint="default" w:ascii="Times New Roman" w:hAnsi="Times New Roman" w:cs="Times New Roman"/>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6" w:type="dxa"/>
                  <w:vMerge w:val="continue"/>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食堂</w:t>
                  </w:r>
                </w:p>
              </w:tc>
              <w:tc>
                <w:tcPr>
                  <w:tcW w:w="1362" w:type="dxa"/>
                  <w:vAlign w:val="center"/>
                </w:tcPr>
                <w:p>
                  <w:pPr>
                    <w:snapToGrid w:val="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油烟</w:t>
                  </w:r>
                </w:p>
              </w:tc>
              <w:tc>
                <w:tcPr>
                  <w:tcW w:w="3293" w:type="dxa"/>
                  <w:vAlign w:val="center"/>
                </w:tcPr>
                <w:p>
                  <w:pPr>
                    <w:widowControl/>
                    <w:jc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经油烟净化器处理后经过烟道排放</w:t>
                  </w:r>
                </w:p>
              </w:tc>
              <w:tc>
                <w:tcPr>
                  <w:tcW w:w="3948" w:type="dxa"/>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《饮食业油烟排放标准（试行）》 （GB18483-2001）</w:t>
                  </w:r>
                  <w:r>
                    <w:rPr>
                      <w:rFonts w:hint="default" w:ascii="Times New Roman" w:hAnsi="Times New Roman" w:cs="Times New Roman"/>
                      <w:bCs/>
                      <w:color w:val="000000" w:themeColor="text1"/>
                      <w:szCs w:val="18"/>
                      <w:lang w:eastAsia="zh-CN"/>
                      <w14:textFill>
                        <w14:solidFill>
                          <w14:schemeClr w14:val="tx1"/>
                        </w14:solidFill>
                      </w14:textFill>
                    </w:rPr>
                    <w:t>小</w:t>
                  </w:r>
                  <w:r>
                    <w:rPr>
                      <w:rFonts w:hint="default" w:ascii="Times New Roman" w:hAnsi="Times New Roman" w:cs="Times New Roman"/>
                      <w:bCs/>
                      <w:color w:val="000000" w:themeColor="text1"/>
                      <w:szCs w:val="18"/>
                      <w14:textFill>
                        <w14:solidFill>
                          <w14:schemeClr w14:val="tx1"/>
                        </w14:solidFill>
                      </w14:textFill>
                    </w:rPr>
                    <w:t>型规模</w:t>
                  </w:r>
                </w:p>
              </w:tc>
              <w:tc>
                <w:tcPr>
                  <w:tcW w:w="0" w:type="auto"/>
                  <w:vAlign w:val="center"/>
                </w:tcPr>
                <w:p>
                  <w:pPr>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0" w:type="auto"/>
                  <w:vMerge w:val="continue"/>
                  <w:vAlign w:val="center"/>
                </w:tcPr>
                <w:p>
                  <w:pPr>
                    <w:snapToGrid w:val="0"/>
                    <w:jc w:val="center"/>
                    <w:rPr>
                      <w:rFonts w:hint="default" w:ascii="Times New Roman" w:hAnsi="Times New Roman" w:cs="Times New Roman"/>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56" w:type="dxa"/>
                  <w:vMerge w:val="restart"/>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废水治理</w:t>
                  </w:r>
                </w:p>
              </w:tc>
              <w:tc>
                <w:tcPr>
                  <w:tcW w:w="3077" w:type="dxa"/>
                  <w:gridSpan w:val="2"/>
                  <w:vMerge w:val="restart"/>
                  <w:vAlign w:val="center"/>
                </w:tcPr>
                <w:p>
                  <w:pPr>
                    <w:autoSpaceDE w:val="0"/>
                    <w:autoSpaceDN w:val="0"/>
                    <w:snapToGrid w:val="0"/>
                    <w:jc w:val="center"/>
                    <w:rPr>
                      <w:rFonts w:hint="default" w:ascii="Times New Roman" w:hAnsi="Times New Roman" w:eastAsia="宋体" w:cs="Times New Roman"/>
                      <w:color w:val="000000" w:themeColor="text1"/>
                      <w:szCs w:val="21"/>
                      <w:lang w:val="zh-CN"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r>
                    <w:rPr>
                      <w:rFonts w:hint="default" w:ascii="Times New Roman" w:hAnsi="Times New Roman" w:cs="Times New Roman"/>
                      <w:color w:val="000000" w:themeColor="text1"/>
                      <w:szCs w:val="21"/>
                      <w:lang w:eastAsia="zh-CN"/>
                      <w14:textFill>
                        <w14:solidFill>
                          <w14:schemeClr w14:val="tx1"/>
                        </w14:solidFill>
                      </w14:textFill>
                    </w:rPr>
                    <w:t>、循环冷却水</w:t>
                  </w:r>
                </w:p>
              </w:tc>
              <w:tc>
                <w:tcPr>
                  <w:tcW w:w="3293" w:type="dxa"/>
                  <w:vAlign w:val="center"/>
                </w:tcPr>
                <w:p>
                  <w:pPr>
                    <w:adjustRightInd w:val="0"/>
                    <w:snapToGrid w:val="0"/>
                    <w:jc w:val="center"/>
                    <w:rPr>
                      <w:rFonts w:hint="default" w:ascii="Times New Roman" w:hAnsi="Times New Roman" w:cs="Times New Roman"/>
                      <w:color w:val="000000" w:themeColor="text1"/>
                      <w:kern w:val="1"/>
                      <w:sz w:val="21"/>
                      <w:szCs w:val="21"/>
                      <w:highlight w:val="none"/>
                      <w:lang w:val="zh-CN" w:eastAsia="zh-CN" w:bidi="ar"/>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市政污水管网接通前，循环冷却水循环使用，定期补充，每三个月排放一次，循环冷却水进入厂区暂存池暂存，定期委托罐车外运至舒城经济开发区污水处理厂</w:t>
                  </w: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，处理达标后排入三里河</w:t>
                  </w:r>
                </w:p>
              </w:tc>
              <w:tc>
                <w:tcPr>
                  <w:tcW w:w="3948" w:type="dxa"/>
                  <w:vMerge w:val="restart"/>
                  <w:tcBorders>
                    <w:top w:val="single" w:color="auto" w:sz="4" w:space="0"/>
                    <w:right w:val="single" w:color="auto" w:sz="4" w:space="0"/>
                  </w:tcBorders>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排放</w:t>
                  </w:r>
                  <w:r>
                    <w:rPr>
                      <w:rFonts w:hint="default" w:ascii="Times New Roman" w:hAnsi="Times New Roman" w:cs="Times New Roman"/>
                      <w:bCs/>
                      <w:color w:val="000000" w:themeColor="text1"/>
                      <w:szCs w:val="18"/>
                      <w:lang w:val="en-US" w:eastAsia="zh-CN"/>
                      <w14:textFill>
                        <w14:solidFill>
                          <w14:schemeClr w14:val="tx1"/>
                        </w14:solidFill>
                      </w14:textFill>
                    </w:rPr>
                    <w:t>执行</w:t>
                  </w:r>
                  <w:r>
                    <w:rPr>
                      <w:rFonts w:hint="default" w:ascii="Times New Roman" w:hAnsi="Times New Roman" w:cs="Times New Roman"/>
                      <w:bCs/>
                      <w:color w:val="000000" w:themeColor="text1"/>
                      <w:szCs w:val="18"/>
                      <w14:textFill>
                        <w14:solidFill>
                          <w14:schemeClr w14:val="tx1"/>
                        </w14:solidFill>
                      </w14:textFill>
                    </w:rPr>
                    <w:t>《污水综合排放标准》（GB8978-1996）三级标准</w:t>
                  </w:r>
                  <w:r>
                    <w:rPr>
                      <w:rFonts w:hint="default" w:ascii="Times New Roman" w:hAnsi="Times New Roman" w:cs="Times New Roman"/>
                      <w:bCs/>
                      <w:color w:val="000000" w:themeColor="text1"/>
                      <w:szCs w:val="18"/>
                      <w:lang w:eastAsia="zh-CN"/>
                      <w14:textFill>
                        <w14:solidFill>
                          <w14:schemeClr w14:val="tx1"/>
                        </w14:solidFill>
                      </w14:textFill>
                    </w:rPr>
                    <w:t>，</w:t>
                  </w:r>
                  <w:r>
                    <w:rPr>
                      <w:rFonts w:hint="default" w:ascii="Times New Roman" w:hAnsi="Times New Roman" w:cs="Times New Roman"/>
                      <w:bCs/>
                      <w:color w:val="000000" w:themeColor="text1"/>
                      <w:szCs w:val="18"/>
                      <w14:textFill>
                        <w14:solidFill>
                          <w14:schemeClr w14:val="tx1"/>
                        </w14:solidFill>
                      </w14:textFill>
                    </w:rPr>
                    <w:t>同时满足</w:t>
                  </w:r>
                  <w:r>
                    <w:rPr>
                      <w:rFonts w:hint="default" w:ascii="Times New Roman" w:hAnsi="Times New Roman" w:cs="Times New Roman"/>
                      <w:bCs/>
                      <w:color w:val="000000" w:themeColor="text1"/>
                      <w:szCs w:val="18"/>
                      <w:lang w:val="en-US" w:eastAsia="zh-CN"/>
                      <w14:textFill>
                        <w14:solidFill>
                          <w14:schemeClr w14:val="tx1"/>
                        </w14:solidFill>
                      </w14:textFill>
                    </w:rPr>
                    <w:t>舒城经济开发区污水处理厂</w:t>
                  </w:r>
                  <w:r>
                    <w:rPr>
                      <w:rFonts w:hint="default" w:ascii="Times New Roman" w:hAnsi="Times New Roman" w:cs="Times New Roman"/>
                      <w:bCs/>
                      <w:color w:val="000000" w:themeColor="text1"/>
                      <w:szCs w:val="18"/>
                      <w14:textFill>
                        <w14:solidFill>
                          <w14:schemeClr w14:val="tx1"/>
                        </w14:solidFill>
                      </w14:textFill>
                    </w:rPr>
                    <w:t>接管要求</w:t>
                  </w:r>
                </w:p>
              </w:tc>
              <w:tc>
                <w:tcPr>
                  <w:tcW w:w="0" w:type="auto"/>
                  <w:tcBorders>
                    <w:left w:val="single" w:color="auto" w:sz="4" w:space="0"/>
                  </w:tcBorders>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0" w:type="auto"/>
                  <w:vMerge w:val="continue"/>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56" w:type="dxa"/>
                  <w:vMerge w:val="continue"/>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p>
              </w:tc>
              <w:tc>
                <w:tcPr>
                  <w:tcW w:w="3077" w:type="dxa"/>
                  <w:gridSpan w:val="2"/>
                  <w:vMerge w:val="continue"/>
                  <w:vAlign w:val="center"/>
                </w:tcPr>
                <w:p>
                  <w:pPr>
                    <w:autoSpaceDE w:val="0"/>
                    <w:autoSpaceDN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293" w:type="dxa"/>
                  <w:vAlign w:val="center"/>
                </w:tcPr>
                <w:p>
                  <w:pPr>
                    <w:adjustRightInd w:val="0"/>
                    <w:snapToGrid w:val="0"/>
                    <w:jc w:val="cente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1"/>
                      <w:sz w:val="21"/>
                      <w:szCs w:val="21"/>
                      <w:highlight w:val="none"/>
                      <w:lang w:val="en-US" w:eastAsia="zh-CN" w:bidi="ar"/>
                      <w14:textFill>
                        <w14:solidFill>
                          <w14:schemeClr w14:val="tx1"/>
                        </w14:solidFill>
                      </w14:textFill>
                    </w:rPr>
                    <w:t>市政污水管网接管后，循环冷却水循环使用，定期补充，每三个月排放一次，循环冷却水排水与经隔油池、化粪池处理后的生活污水接管龙津大道市政污水管网进入舒城经济开发区污水处理厂，处理达标后排入三里河</w:t>
                  </w:r>
                </w:p>
              </w:tc>
              <w:tc>
                <w:tcPr>
                  <w:tcW w:w="3948" w:type="dxa"/>
                  <w:vMerge w:val="continue"/>
                  <w:tcBorders>
                    <w:right w:val="single" w:color="auto" w:sz="4" w:space="0"/>
                  </w:tcBorders>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p>
              </w:tc>
              <w:tc>
                <w:tcPr>
                  <w:tcW w:w="0" w:type="auto"/>
                  <w:tcBorders>
                    <w:left w:val="single" w:color="auto" w:sz="4" w:space="0"/>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0" w:type="auto"/>
                  <w:vMerge w:val="continue"/>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0" w:type="auto"/>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噪声控制</w:t>
                  </w:r>
                </w:p>
              </w:tc>
              <w:tc>
                <w:tcPr>
                  <w:tcW w:w="3077" w:type="dxa"/>
                  <w:gridSpan w:val="2"/>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噪声</w:t>
                  </w:r>
                </w:p>
              </w:tc>
              <w:tc>
                <w:tcPr>
                  <w:tcW w:w="3293" w:type="dxa"/>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隔声、减震</w:t>
                  </w:r>
                </w:p>
              </w:tc>
              <w:tc>
                <w:tcPr>
                  <w:tcW w:w="3948" w:type="dxa"/>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满足《工业企业厂界环境噪声排放标准》（GB12348-2008）中3类标准</w:t>
                  </w:r>
                </w:p>
              </w:tc>
              <w:tc>
                <w:tcPr>
                  <w:tcW w:w="0" w:type="auto"/>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0" w:type="auto"/>
                  <w:vMerge w:val="continue"/>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0" w:type="auto"/>
                  <w:vMerge w:val="restart"/>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固废处置</w:t>
                  </w:r>
                </w:p>
              </w:tc>
              <w:tc>
                <w:tcPr>
                  <w:tcW w:w="3077" w:type="dxa"/>
                  <w:gridSpan w:val="2"/>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一般工业固废</w:t>
                  </w:r>
                </w:p>
              </w:tc>
              <w:tc>
                <w:tcPr>
                  <w:tcW w:w="3293" w:type="dxa"/>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一般固废暂存库</w:t>
                  </w:r>
                </w:p>
              </w:tc>
              <w:tc>
                <w:tcPr>
                  <w:tcW w:w="3948" w:type="dxa"/>
                  <w:vAlign w:val="center"/>
                </w:tcPr>
                <w:p>
                  <w:pPr>
                    <w:autoSpaceDE w:val="0"/>
                    <w:autoSpaceDN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废边角料</w:t>
                  </w:r>
                  <w:r>
                    <w:rPr>
                      <w:rFonts w:hint="default" w:ascii="Times New Roman" w:hAnsi="Times New Roman" w:cs="Times New Roman"/>
                      <w:color w:val="000000" w:themeColor="text1"/>
                      <w:szCs w:val="21"/>
                      <w:lang w:eastAsia="zh-CN"/>
                      <w14:textFill>
                        <w14:solidFill>
                          <w14:schemeClr w14:val="tx1"/>
                        </w14:solidFill>
                      </w14:textFill>
                    </w:rPr>
                    <w:t>、废铝屑、不合格品收集后回用于</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cs="Times New Roman"/>
                      <w:color w:val="000000" w:themeColor="text1"/>
                      <w:szCs w:val="21"/>
                      <w:lang w:eastAsia="zh-CN"/>
                      <w14:textFill>
                        <w14:solidFill>
                          <w14:schemeClr w14:val="tx1"/>
                        </w14:solidFill>
                      </w14:textFill>
                    </w:rPr>
                    <w:t>工序，</w:t>
                  </w:r>
                  <w:r>
                    <w:rPr>
                      <w:rFonts w:hint="default" w:ascii="Times New Roman" w:hAnsi="Times New Roman" w:cs="Times New Roman"/>
                      <w:color w:val="000000" w:themeColor="text1"/>
                      <w:szCs w:val="21"/>
                      <w14:textFill>
                        <w14:solidFill>
                          <w14:schemeClr w14:val="tx1"/>
                        </w14:solidFill>
                      </w14:textFill>
                    </w:rPr>
                    <w:t>废包装材料</w:t>
                  </w:r>
                  <w:r>
                    <w:rPr>
                      <w:rFonts w:hint="default" w:ascii="Times New Roman" w:hAnsi="Times New Roman" w:cs="Times New Roman"/>
                      <w:color w:val="000000" w:themeColor="text1"/>
                      <w:szCs w:val="21"/>
                      <w:lang w:eastAsia="zh-CN"/>
                      <w14:textFill>
                        <w14:solidFill>
                          <w14:schemeClr w14:val="tx1"/>
                        </w14:solidFill>
                      </w14:textFill>
                    </w:rPr>
                    <w:t>、废滤渣、废滤芯、</w:t>
                  </w:r>
                  <w:r>
                    <w:rPr>
                      <w:rFonts w:hint="default" w:ascii="Times New Roman" w:hAnsi="Times New Roman" w:cs="Times New Roman"/>
                      <w:color w:val="000000" w:themeColor="text1"/>
                      <w:szCs w:val="21"/>
                      <w:lang w:val="en-US" w:eastAsia="zh-CN"/>
                      <w14:textFill>
                        <w14:solidFill>
                          <w14:schemeClr w14:val="tx1"/>
                        </w14:solidFill>
                      </w14:textFill>
                    </w:rPr>
                    <w:t>废钢丸、抛丸除尘装置收集的粉尘</w:t>
                  </w:r>
                  <w:r>
                    <w:rPr>
                      <w:rFonts w:hint="default" w:ascii="Times New Roman" w:hAnsi="Times New Roman" w:cs="Times New Roman"/>
                      <w:color w:val="000000" w:themeColor="text1"/>
                      <w:szCs w:val="21"/>
                      <w14:textFill>
                        <w14:solidFill>
                          <w14:schemeClr w14:val="tx1"/>
                        </w14:solidFill>
                      </w14:textFill>
                    </w:rPr>
                    <w:t>收集后外售</w:t>
                  </w:r>
                </w:p>
              </w:tc>
              <w:tc>
                <w:tcPr>
                  <w:tcW w:w="0" w:type="auto"/>
                  <w:vAlign w:val="center"/>
                </w:tcPr>
                <w:p>
                  <w:pPr>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0" w:type="auto"/>
                  <w:vMerge w:val="continue"/>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0" w:type="auto"/>
                  <w:vMerge w:val="continue"/>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p>
              </w:tc>
              <w:tc>
                <w:tcPr>
                  <w:tcW w:w="3077" w:type="dxa"/>
                  <w:gridSpan w:val="2"/>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危险废物</w:t>
                  </w:r>
                </w:p>
              </w:tc>
              <w:tc>
                <w:tcPr>
                  <w:tcW w:w="3293" w:type="dxa"/>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危废暂存库（1</w:t>
                  </w: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），并采取防风、防雨、防渗和防腐措施</w:t>
                  </w:r>
                </w:p>
              </w:tc>
              <w:tc>
                <w:tcPr>
                  <w:tcW w:w="3948" w:type="dxa"/>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废脱模剂油、废机油、</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r>
                    <w:rPr>
                      <w:rFonts w:hint="default" w:ascii="Times New Roman" w:hAnsi="Times New Roman" w:cs="Times New Roman"/>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含油</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铝屑</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含油木屑</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污泥、</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废活性炭</w:t>
                  </w:r>
                  <w:r>
                    <w:rPr>
                      <w:rFonts w:hint="default" w:ascii="Times New Roman" w:hAnsi="Times New Roman" w:cs="Times New Roman"/>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油雾净化器收集的废油</w:t>
                  </w:r>
                  <w:r>
                    <w:rPr>
                      <w:rFonts w:hint="default" w:ascii="Times New Roman" w:hAnsi="Times New Roman" w:cs="Times New Roman"/>
                      <w:color w:val="000000" w:themeColor="text1"/>
                      <w:szCs w:val="21"/>
                      <w14:textFill>
                        <w14:solidFill>
                          <w14:schemeClr w14:val="tx1"/>
                        </w14:solidFill>
                      </w14:textFill>
                    </w:rPr>
                    <w:t xml:space="preserve">收集后暂存于危险废物暂存库，定期委托有危废处理资质单位处置  </w:t>
                  </w:r>
                </w:p>
              </w:tc>
              <w:tc>
                <w:tcPr>
                  <w:tcW w:w="0" w:type="auto"/>
                  <w:vAlign w:val="center"/>
                </w:tcPr>
                <w:p>
                  <w:pPr>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0" w:type="auto"/>
                  <w:vMerge w:val="continue"/>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0" w:type="auto"/>
                  <w:vMerge w:val="continue"/>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p>
              </w:tc>
              <w:tc>
                <w:tcPr>
                  <w:tcW w:w="3077" w:type="dxa"/>
                  <w:gridSpan w:val="2"/>
                  <w:vAlign w:val="center"/>
                </w:tcPr>
                <w:p>
                  <w:pPr>
                    <w:autoSpaceDE w:val="0"/>
                    <w:autoSpaceDN w:val="0"/>
                    <w:snapToGrid w:val="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生活垃圾</w:t>
                  </w:r>
                </w:p>
              </w:tc>
              <w:tc>
                <w:tcPr>
                  <w:tcW w:w="3293" w:type="dxa"/>
                  <w:vAlign w:val="center"/>
                </w:tcPr>
                <w:p>
                  <w:pPr>
                    <w:autoSpaceDE w:val="0"/>
                    <w:autoSpaceDN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垃圾桶</w:t>
                  </w:r>
                </w:p>
              </w:tc>
              <w:tc>
                <w:tcPr>
                  <w:tcW w:w="3948" w:type="dxa"/>
                  <w:vAlign w:val="center"/>
                </w:tcPr>
                <w:p>
                  <w:pPr>
                    <w:autoSpaceDE w:val="0"/>
                    <w:autoSpaceDN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r>
                    <w:rPr>
                      <w:rFonts w:hint="default" w:ascii="Times New Roman" w:hAnsi="Times New Roman" w:eastAsia="宋体" w:cs="Times New Roman"/>
                      <w:color w:val="000000" w:themeColor="text1"/>
                      <w:sz w:val="21"/>
                      <w:szCs w:val="21"/>
                      <w:lang w:eastAsia="zh-CN"/>
                      <w14:textFill>
                        <w14:solidFill>
                          <w14:schemeClr w14:val="tx1"/>
                        </w14:solidFill>
                      </w14:textFill>
                    </w:rPr>
                    <w:t>混入生活垃圾，</w:t>
                  </w:r>
                  <w:r>
                    <w:rPr>
                      <w:rFonts w:hint="default" w:ascii="Times New Roman" w:hAnsi="Times New Roman" w:cs="Times New Roman"/>
                      <w:color w:val="000000" w:themeColor="text1"/>
                      <w:szCs w:val="21"/>
                      <w14:textFill>
                        <w14:solidFill>
                          <w14:schemeClr w14:val="tx1"/>
                        </w14:solidFill>
                      </w14:textFill>
                    </w:rPr>
                    <w:t>委托环卫部门清运处理</w:t>
                  </w:r>
                </w:p>
              </w:tc>
              <w:tc>
                <w:tcPr>
                  <w:tcW w:w="0" w:type="auto"/>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0" w:type="auto"/>
                  <w:vMerge w:val="continue"/>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gridSpan w:val="5"/>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合计</w:t>
                  </w:r>
                </w:p>
              </w:tc>
              <w:tc>
                <w:tcPr>
                  <w:tcW w:w="0" w:type="auto"/>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0" w:type="auto"/>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bl>
          <w:p>
            <w:pPr>
              <w:pStyle w:val="29"/>
              <w:tabs>
                <w:tab w:val="left" w:pos="720"/>
              </w:tabs>
              <w:spacing w:before="0" w:beforeAutospacing="0" w:after="0" w:afterAutospacing="0"/>
              <w:jc w:val="both"/>
              <w:outlineLvl w:val="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lang w:eastAsia="zh-CN"/>
                <w14:textFill>
                  <w14:solidFill>
                    <w14:schemeClr w14:val="tx1"/>
                  </w14:solidFill>
                </w14:textFill>
              </w:rPr>
              <w:t>注：生活污水环保投资金额分污水管网建成前和污水管网建成后，总环保投资金额中只算其中一种。</w:t>
            </w:r>
          </w:p>
        </w:tc>
      </w:tr>
    </w:tbl>
    <w:p>
      <w:pPr>
        <w:rPr>
          <w:rFonts w:hint="default" w:ascii="Times New Roman" w:hAnsi="Times New Roman" w:cs="Times New Roman"/>
          <w:color w:val="000000" w:themeColor="text1"/>
          <w14:textFill>
            <w14:solidFill>
              <w14:schemeClr w14:val="tx1"/>
            </w14:solidFill>
          </w14:textFill>
        </w:rPr>
        <w:sectPr>
          <w:pgSz w:w="16838" w:h="11906" w:orient="landscape"/>
          <w:pgMar w:top="1701" w:right="1531" w:bottom="107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spacing w:before="100" w:beforeAutospacing="1"/>
        <w:jc w:val="center"/>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98"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pStyle w:val="7"/>
              <w:rPr>
                <w:rFonts w:hint="default" w:ascii="Times New Roman" w:hAnsi="Times New Roman" w:cs="Times New Roman"/>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t>本</w:t>
            </w:r>
            <w:r>
              <w:rPr>
                <w:rFonts w:hint="default" w:ascii="Times New Roman" w:hAnsi="Times New Roman" w:cs="Times New Roman"/>
                <w:b w:val="0"/>
                <w:bCs/>
                <w:color w:val="000000" w:themeColor="text1"/>
                <w:spacing w:val="0"/>
                <w:sz w:val="24"/>
                <w:szCs w:val="24"/>
                <w14:textFill>
                  <w14:solidFill>
                    <w14:schemeClr w14:val="tx1"/>
                  </w14:solidFill>
                </w14:textFill>
              </w:rPr>
              <w:t>项目符合</w:t>
            </w:r>
            <w:r>
              <w:rPr>
                <w:rFonts w:hint="default" w:ascii="Times New Roman" w:hAnsi="Times New Roman" w:cs="Times New Roman"/>
                <w:b w:val="0"/>
                <w:bCs/>
                <w:color w:val="000000" w:themeColor="text1"/>
                <w:sz w:val="24"/>
                <w:szCs w:val="24"/>
                <w14:textFill>
                  <w14:solidFill>
                    <w14:schemeClr w14:val="tx1"/>
                  </w14:solidFill>
                </w14:textFill>
              </w:rPr>
              <w:t>国家相关产业政策</w:t>
            </w:r>
            <w:r>
              <w:rPr>
                <w:rFonts w:hint="default" w:ascii="Times New Roman" w:hAnsi="Times New Roman" w:cs="Times New Roman"/>
                <w:b w:val="0"/>
                <w:bCs/>
                <w:color w:val="000000" w:themeColor="text1"/>
                <w:spacing w:val="0"/>
                <w:sz w:val="24"/>
                <w:szCs w:val="24"/>
                <w14:textFill>
                  <w14:solidFill>
                    <w14:schemeClr w14:val="tx1"/>
                  </w14:solidFill>
                </w14:textFill>
              </w:rPr>
              <w:t>，项目选址及平面布局合理。</w:t>
            </w:r>
            <w:r>
              <w:rPr>
                <w:rFonts w:hint="default" w:ascii="Times New Roman" w:hAnsi="Times New Roman" w:cs="Times New Roman"/>
                <w:b w:val="0"/>
                <w:bCs/>
                <w:color w:val="000000" w:themeColor="text1"/>
                <w:sz w:val="24"/>
                <w:szCs w:val="24"/>
                <w14:textFill>
                  <w14:solidFill>
                    <w14:schemeClr w14:val="tx1"/>
                  </w14:solidFill>
                </w14:textFill>
              </w:rPr>
              <w:t>项目在采取各项污染防治措施前提条件下，各项污染物可以做到达标排放；排放的各种污染物对周围空气环境、地表水环境及噪声环境影响能控制在国家相关的标准要求范围内</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14:textFill>
                  <w14:solidFill>
                    <w14:schemeClr w14:val="tx1"/>
                  </w14:solidFill>
                </w14:textFill>
              </w:rPr>
              <w:t>建设单位在落实本次环评提出的各项污染治理措施以及严格执行“三同时”制度后，项目运营期产生的废水、废气、噪声和固废均可做到达标排放和无害化处置。因此，从环境</w:t>
            </w:r>
            <w:r>
              <w:rPr>
                <w:rFonts w:hint="default" w:ascii="Times New Roman" w:hAnsi="Times New Roman" w:cs="Times New Roman"/>
                <w:b w:val="0"/>
                <w:bCs/>
                <w:color w:val="000000" w:themeColor="text1"/>
                <w:spacing w:val="0"/>
                <w:sz w:val="24"/>
                <w:szCs w:val="24"/>
                <w:lang w:eastAsia="zh-CN"/>
                <w14:textFill>
                  <w14:solidFill>
                    <w14:schemeClr w14:val="tx1"/>
                  </w14:solidFill>
                </w14:textFill>
              </w:rPr>
              <w:t>保护的</w:t>
            </w:r>
            <w:r>
              <w:rPr>
                <w:rFonts w:hint="default" w:ascii="Times New Roman" w:hAnsi="Times New Roman" w:cs="Times New Roman"/>
                <w:b w:val="0"/>
                <w:bCs/>
                <w:color w:val="000000" w:themeColor="text1"/>
                <w:spacing w:val="0"/>
                <w:sz w:val="24"/>
                <w:szCs w:val="24"/>
                <w14:textFill>
                  <w14:solidFill>
                    <w14:schemeClr w14:val="tx1"/>
                  </w14:solidFill>
                </w14:textFill>
              </w:rPr>
              <w:t>角度考虑，</w:t>
            </w:r>
            <w:r>
              <w:rPr>
                <w:rFonts w:hint="default" w:ascii="Times New Roman" w:hAnsi="Times New Roman" w:cs="Times New Roman"/>
                <w:b w:val="0"/>
                <w:bCs/>
                <w:color w:val="000000" w:themeColor="text1"/>
                <w:spacing w:val="0"/>
                <w:sz w:val="24"/>
                <w:szCs w:val="24"/>
                <w:lang w:val="en-US" w:eastAsia="zh-CN"/>
                <w14:textFill>
                  <w14:solidFill>
                    <w14:schemeClr w14:val="tx1"/>
                  </w14:solidFill>
                </w14:textFill>
              </w:rPr>
              <w:t>本</w:t>
            </w:r>
            <w:r>
              <w:rPr>
                <w:rFonts w:hint="default" w:ascii="Times New Roman" w:hAnsi="Times New Roman" w:cs="Times New Roman"/>
                <w:b w:val="0"/>
                <w:bCs/>
                <w:color w:val="000000" w:themeColor="text1"/>
                <w:spacing w:val="0"/>
                <w:sz w:val="24"/>
                <w:szCs w:val="24"/>
                <w14:textFill>
                  <w14:solidFill>
                    <w14:schemeClr w14:val="tx1"/>
                  </w14:solidFill>
                </w14:textFill>
              </w:rPr>
              <w:t>项目建设是可行</w:t>
            </w:r>
            <w:r>
              <w:rPr>
                <w:rFonts w:hint="default" w:ascii="Times New Roman" w:hAnsi="Times New Roman" w:cs="Times New Roman"/>
                <w:b w:val="0"/>
                <w:bCs/>
                <w:color w:val="000000" w:themeColor="text1"/>
                <w:spacing w:val="0"/>
                <w:sz w:val="24"/>
                <w:szCs w:val="24"/>
                <w:lang w:eastAsia="zh-CN"/>
                <w14:textFill>
                  <w14:solidFill>
                    <w14:schemeClr w14:val="tx1"/>
                  </w14:solidFill>
                </w14:textFill>
              </w:rPr>
              <w:t>的</w:t>
            </w:r>
            <w:r>
              <w:rPr>
                <w:rFonts w:hint="default" w:ascii="Times New Roman" w:hAnsi="Times New Roman" w:cs="Times New Roman"/>
                <w:b w:val="0"/>
                <w:bCs/>
                <w:color w:val="000000" w:themeColor="text1"/>
                <w:sz w:val="24"/>
                <w:szCs w:val="24"/>
                <w14:textFill>
                  <w14:solidFill>
                    <w14:schemeClr w14:val="tx1"/>
                  </w14:solidFill>
                </w14:textFill>
              </w:rPr>
              <w:t>。</w:t>
            </w:r>
          </w:p>
          <w:p>
            <w:pPr>
              <w:pStyle w:val="5"/>
              <w:numPr>
                <w:ilvl w:val="3"/>
                <w:numId w:val="0"/>
              </w:numPr>
              <w:ind w:left="567" w:leftChars="0"/>
              <w:rPr>
                <w:rFonts w:hint="default" w:ascii="Times New Roman" w:hAnsi="Times New Roman" w:cs="Times New Roman"/>
                <w:color w:val="000000" w:themeColor="text1"/>
                <w:lang w:val="en-US" w:eastAsia="zh-CN"/>
                <w14:textFill>
                  <w14:solidFill>
                    <w14:schemeClr w14:val="tx1"/>
                  </w14:solidFill>
                </w14:textFill>
              </w:rPr>
            </w:pPr>
          </w:p>
          <w:p>
            <w:pPr>
              <w:rPr>
                <w:rFonts w:hint="default" w:ascii="Times New Roman" w:hAnsi="Times New Roman" w:cs="Times New Roman"/>
                <w:color w:val="000000" w:themeColor="text1"/>
                <w:lang w:val="en-US" w:eastAsia="zh-CN"/>
                <w14:textFill>
                  <w14:solidFill>
                    <w14:schemeClr w14:val="tx1"/>
                  </w14:solidFill>
                </w14:textFill>
              </w:rPr>
            </w:pPr>
          </w:p>
          <w:p>
            <w:pPr>
              <w:rPr>
                <w:rFonts w:hint="default" w:ascii="Times New Roman" w:hAnsi="Times New Roman" w:cs="Times New Roman"/>
                <w:color w:val="000000" w:themeColor="text1"/>
                <w:lang w:val="en-US" w:eastAsia="zh-CN"/>
                <w14:textFill>
                  <w14:solidFill>
                    <w14:schemeClr w14:val="tx1"/>
                  </w14:solidFill>
                </w14:textFill>
              </w:rPr>
            </w:pPr>
          </w:p>
          <w:p>
            <w:pPr>
              <w:pStyle w:val="5"/>
              <w:numPr>
                <w:ilvl w:val="3"/>
                <w:numId w:val="0"/>
              </w:numPr>
              <w:ind w:left="1050" w:leftChars="0"/>
              <w:rPr>
                <w:rFonts w:hint="default" w:ascii="Times New Roman" w:hAnsi="Times New Roman" w:cs="Times New Roman"/>
                <w:color w:val="000000" w:themeColor="text1"/>
                <w:lang w:val="en-US" w:eastAsia="zh-CN"/>
                <w14:textFill>
                  <w14:solidFill>
                    <w14:schemeClr w14:val="tx1"/>
                  </w14:solidFill>
                </w14:textFill>
              </w:rPr>
            </w:pPr>
          </w:p>
          <w:p>
            <w:pPr>
              <w:rPr>
                <w:rFonts w:hint="default" w:ascii="Times New Roman" w:hAnsi="Times New Roman" w:cs="Times New Roman"/>
                <w:color w:val="000000" w:themeColor="text1"/>
                <w:lang w:val="en-US" w:eastAsia="zh-CN"/>
                <w14:textFill>
                  <w14:solidFill>
                    <w14:schemeClr w14:val="tx1"/>
                  </w14:solidFill>
                </w14:textFill>
              </w:rPr>
            </w:pPr>
          </w:p>
          <w:p>
            <w:pPr>
              <w:pStyle w:val="5"/>
              <w:numPr>
                <w:ilvl w:val="3"/>
                <w:numId w:val="0"/>
              </w:numPr>
              <w:ind w:left="1050" w:leftChars="0"/>
              <w:rPr>
                <w:rFonts w:hint="default" w:ascii="Times New Roman" w:hAnsi="Times New Roman" w:cs="Times New Roman"/>
                <w:color w:val="000000" w:themeColor="text1"/>
                <w:lang w:val="en-US" w:eastAsia="zh-CN"/>
                <w14:textFill>
                  <w14:solidFill>
                    <w14:schemeClr w14:val="tx1"/>
                  </w14:solidFill>
                </w14:textFill>
              </w:rPr>
            </w:pPr>
          </w:p>
          <w:p>
            <w:pPr>
              <w:pStyle w:val="5"/>
              <w:numPr>
                <w:ilvl w:val="3"/>
                <w:numId w:val="0"/>
              </w:numPr>
              <w:ind w:left="1050" w:leftChars="0"/>
              <w:rPr>
                <w:rFonts w:hint="default" w:ascii="Times New Roman" w:hAnsi="Times New Roman" w:cs="Times New Roman"/>
                <w:color w:val="000000" w:themeColor="text1"/>
                <w:lang w:val="en-US" w:eastAsia="zh-CN"/>
                <w14:textFill>
                  <w14:solidFill>
                    <w14:schemeClr w14:val="tx1"/>
                  </w14:solidFill>
                </w14:textFill>
              </w:rPr>
            </w:pPr>
          </w:p>
          <w:p>
            <w:pPr>
              <w:pStyle w:val="5"/>
              <w:numPr>
                <w:ilvl w:val="3"/>
                <w:numId w:val="0"/>
              </w:numPr>
              <w:rPr>
                <w:rFonts w:hint="default" w:ascii="Times New Roman" w:hAnsi="Times New Roman" w:cs="Times New Roman"/>
                <w:color w:val="000000" w:themeColor="text1"/>
                <w:lang w:val="en-US" w:eastAsia="zh-CN"/>
                <w14:textFill>
                  <w14:solidFill>
                    <w14:schemeClr w14:val="tx1"/>
                  </w14:solidFill>
                </w14:textFill>
              </w:rPr>
            </w:pPr>
          </w:p>
        </w:tc>
      </w:tr>
    </w:tbl>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sectPr>
          <w:pgSz w:w="11906" w:h="16838"/>
          <w:pgMar w:top="1531" w:right="1077"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adjustRightInd w:val="0"/>
        <w:snapToGrid w:val="0"/>
        <w:spacing w:before="0" w:beforeAutospacing="0" w:after="0" w:afterAutospacing="0"/>
        <w:jc w:val="left"/>
        <w:outlineLvl w:val="0"/>
        <w:rPr>
          <w:rFonts w:hint="default" w:ascii="Times New Roman" w:hAnsi="Times New Roman" w:cs="Times New Roman"/>
          <w:snapToGrid w:val="0"/>
          <w:color w:val="000000" w:themeColor="text1"/>
          <w:sz w:val="38"/>
          <w:szCs w:val="38"/>
          <w:lang w:val="en-US" w:eastAsia="zh-CN"/>
          <w14:textFill>
            <w14:solidFill>
              <w14:schemeClr w14:val="tx1"/>
            </w14:solidFill>
          </w14:textFill>
        </w:rPr>
      </w:pPr>
      <w:r>
        <w:rPr>
          <w:rFonts w:hint="default" w:ascii="Times New Roman" w:hAnsi="Times New Roman" w:cs="Times New Roman"/>
          <w:b/>
          <w:snapToGrid w:val="0"/>
          <w:color w:val="000000" w:themeColor="text1"/>
          <w:sz w:val="32"/>
          <w:szCs w:val="32"/>
          <w14:textFill>
            <w14:solidFill>
              <w14:schemeClr w14:val="tx1"/>
            </w14:solidFill>
          </w14:textFill>
        </w:rPr>
        <w:t>附表</w:t>
      </w:r>
      <w:r>
        <w:rPr>
          <w:rFonts w:hint="default" w:ascii="Times New Roman" w:hAnsi="Times New Roman" w:cs="Times New Roman"/>
          <w:snapToGrid w:val="0"/>
          <w:color w:val="000000" w:themeColor="text1"/>
          <w:sz w:val="38"/>
          <w:szCs w:val="38"/>
          <w:lang w:eastAsia="zh-CN"/>
          <w14:textFill>
            <w14:solidFill>
              <w14:schemeClr w14:val="tx1"/>
            </w14:solidFill>
          </w14:textFill>
        </w:rPr>
        <w:tab/>
      </w:r>
      <w:r>
        <w:rPr>
          <w:rFonts w:hint="default" w:ascii="Times New Roman" w:hAnsi="Times New Roman" w:cs="Times New Roman"/>
          <w:snapToGrid w:val="0"/>
          <w:color w:val="000000" w:themeColor="text1"/>
          <w:sz w:val="38"/>
          <w:szCs w:val="38"/>
          <w:lang w:val="en-US" w:eastAsia="zh-CN"/>
          <w14:textFill>
            <w14:solidFill>
              <w14:schemeClr w14:val="tx1"/>
            </w14:solidFill>
          </w14:textFill>
        </w:rPr>
        <w:t xml:space="preserve">               </w:t>
      </w:r>
    </w:p>
    <w:p>
      <w:pPr>
        <w:pStyle w:val="29"/>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r>
        <w:rPr>
          <w:rFonts w:hint="default" w:ascii="Times New Roman" w:hAnsi="Times New Roman" w:cs="Times New Roman"/>
          <w:snapToGrid w:val="0"/>
          <w:color w:val="000000" w:themeColor="text1"/>
          <w:sz w:val="38"/>
          <w:szCs w:val="38"/>
          <w14:textFill>
            <w14:solidFill>
              <w14:schemeClr w14:val="tx1"/>
            </w14:solidFill>
          </w14:textFill>
        </w:rPr>
        <w:t>建设项目污染物排放量汇总表（t/a）</w:t>
      </w: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1633"/>
        <w:gridCol w:w="1348"/>
        <w:gridCol w:w="1051"/>
        <w:gridCol w:w="1576"/>
        <w:gridCol w:w="1798"/>
        <w:gridCol w:w="1176"/>
        <w:gridCol w:w="1789"/>
        <w:gridCol w:w="12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0" w:type="auto"/>
            <w:tcBorders>
              <w:tl2br w:val="single" w:color="auto" w:sz="4" w:space="0"/>
            </w:tcBorders>
            <w:noWrap w:val="0"/>
            <w:tcMar>
              <w:left w:w="28" w:type="dxa"/>
              <w:right w:w="28" w:type="dxa"/>
            </w:tcMar>
            <w:vAlign w:val="center"/>
          </w:tcPr>
          <w:p>
            <w:pPr>
              <w:pStyle w:val="60"/>
              <w:spacing w:beforeLines="0" w:afterLines="0"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   项目</w:t>
            </w:r>
          </w:p>
          <w:p>
            <w:pPr>
              <w:pStyle w:val="60"/>
              <w:spacing w:beforeLines="0" w:afterLines="0" w:line="240" w:lineRule="auto"/>
              <w:ind w:firstLine="210" w:firstLineChars="100"/>
              <w:jc w:val="left"/>
              <w:rPr>
                <w:rFonts w:hint="default" w:ascii="Times New Roman" w:hAnsi="Times New Roman" w:eastAsia="黑体" w:cs="Times New Roman"/>
                <w:b w:val="0"/>
                <w:bCs w:val="0"/>
                <w:snapToGrid w:val="0"/>
                <w:color w:val="000000" w:themeColor="text1"/>
                <w:spacing w:val="-6"/>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分类</w:t>
            </w:r>
          </w:p>
        </w:tc>
        <w:tc>
          <w:tcPr>
            <w:tcW w:w="1633" w:type="dxa"/>
            <w:noWrap w:val="0"/>
            <w:tcMar>
              <w:left w:w="28" w:type="dxa"/>
              <w:right w:w="28" w:type="dxa"/>
            </w:tcMar>
            <w:vAlign w:val="center"/>
          </w:tcPr>
          <w:p>
            <w:pPr>
              <w:pStyle w:val="60"/>
              <w:spacing w:beforeLines="0" w:afterLines="0" w:line="240" w:lineRule="auto"/>
              <w:rPr>
                <w:rFonts w:hint="default" w:ascii="Times New Roman" w:hAnsi="Times New Roman" w:eastAsia="黑体" w:cs="Times New Roman"/>
                <w:b w:val="0"/>
                <w:bCs w:val="0"/>
                <w:snapToGrid w:val="0"/>
                <w:color w:val="000000" w:themeColor="text1"/>
                <w:spacing w:val="-6"/>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污染物名称</w:t>
            </w:r>
          </w:p>
        </w:tc>
        <w:tc>
          <w:tcPr>
            <w:tcW w:w="1348" w:type="dxa"/>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现有工程排放量（固体废物产生量）</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1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1051" w:type="dxa"/>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现有工程</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许可排放量</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②</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0" w:type="auto"/>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在建工程</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排放量（固体废物产生量）</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3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③</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0" w:type="auto"/>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排放量（固体废物产生量）</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4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④</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0" w:type="auto"/>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以新带老削减量</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（新建项目不填）</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5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⑤</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1789" w:type="dxa"/>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本项目建成后</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全厂排放量（固体废物产生量）</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6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⑥</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1226" w:type="dxa"/>
            <w:noWrap w:val="0"/>
            <w:tcMar>
              <w:left w:w="28" w:type="dxa"/>
              <w:right w:w="28" w:type="dxa"/>
            </w:tcMar>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变化量</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7 \* GB3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⑦</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95" w:type="dxa"/>
            <w:vMerge w:val="restart"/>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废气</w:t>
            </w:r>
          </w:p>
        </w:tc>
        <w:tc>
          <w:tcPr>
            <w:tcW w:w="1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9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8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122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NOx</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9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8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c>
          <w:tcPr>
            <w:tcW w:w="122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0.337</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89"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0.337</w:t>
            </w:r>
          </w:p>
        </w:tc>
        <w:tc>
          <w:tcPr>
            <w:tcW w:w="1226"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+0.337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0.087</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89"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0.087</w:t>
            </w:r>
          </w:p>
        </w:tc>
        <w:tc>
          <w:tcPr>
            <w:tcW w:w="1226"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0.087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油烟</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0.0006</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89" w:type="dxa"/>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0.0006</w:t>
            </w:r>
          </w:p>
        </w:tc>
        <w:tc>
          <w:tcPr>
            <w:tcW w:w="1226" w:type="dxa"/>
            <w:noWrap w:val="0"/>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895" w:type="dxa"/>
            <w:vMerge w:val="restart"/>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废水</w:t>
            </w:r>
          </w:p>
        </w:tc>
        <w:tc>
          <w:tcPr>
            <w:tcW w:w="1633" w:type="dxa"/>
            <w:noWrap w:val="0"/>
            <w:vAlign w:val="center"/>
          </w:tcPr>
          <w:p>
            <w:pPr>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废水量</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pStyle w:val="60"/>
              <w:spacing w:beforeLines="0" w:afterLines="0"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291.6</w:t>
            </w:r>
          </w:p>
        </w:tc>
        <w:tc>
          <w:tcPr>
            <w:tcW w:w="0" w:type="auto"/>
            <w:noWrap w:val="0"/>
            <w:vAlign w:val="center"/>
          </w:tcPr>
          <w:p>
            <w:pPr>
              <w:pStyle w:val="60"/>
              <w:spacing w:beforeLines="0" w:afterLines="0"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1789" w:type="dxa"/>
            <w:noWrap w:val="0"/>
            <w:vAlign w:val="center"/>
          </w:tcPr>
          <w:p>
            <w:pPr>
              <w:pStyle w:val="60"/>
              <w:spacing w:beforeLines="0" w:afterLines="0"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291.6</w:t>
            </w:r>
          </w:p>
        </w:tc>
        <w:tc>
          <w:tcPr>
            <w:tcW w:w="1226" w:type="dxa"/>
            <w:noWrap w:val="0"/>
            <w:vAlign w:val="center"/>
          </w:tcPr>
          <w:p>
            <w:pPr>
              <w:pStyle w:val="60"/>
              <w:spacing w:beforeLines="0" w:afterLines="0"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+291.6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COD</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0.084 </w:t>
            </w:r>
          </w:p>
        </w:tc>
        <w:tc>
          <w:tcPr>
            <w:tcW w:w="0" w:type="auto"/>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0.084 </w:t>
            </w:r>
          </w:p>
        </w:tc>
        <w:tc>
          <w:tcPr>
            <w:tcW w:w="1226" w:type="dxa"/>
            <w:noWrap w:val="0"/>
            <w:vAlign w:val="center"/>
          </w:tcPr>
          <w:p>
            <w:pPr>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+0.084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color w:val="000000" w:themeColor="text1"/>
                <w:sz w:val="21"/>
                <w:szCs w:val="21"/>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BOD</w:t>
            </w:r>
            <w:r>
              <w:rPr>
                <w:rFonts w:hint="default" w:ascii="Times New Roman" w:hAnsi="Times New Roman" w:eastAsia="宋体" w:cs="Times New Roman"/>
                <w:snapToGrid w:val="0"/>
                <w:color w:val="000000" w:themeColor="text1"/>
                <w:kern w:val="21"/>
                <w:sz w:val="21"/>
                <w:szCs w:val="21"/>
                <w:vertAlign w:val="subscript"/>
                <w:lang w:val="en-US" w:eastAsia="zh-CN"/>
                <w14:textFill>
                  <w14:solidFill>
                    <w14:schemeClr w14:val="tx1"/>
                  </w14:solidFill>
                </w14:textFill>
              </w:rPr>
              <w:t>5</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0.046 </w:t>
            </w:r>
          </w:p>
        </w:tc>
        <w:tc>
          <w:tcPr>
            <w:tcW w:w="0" w:type="auto"/>
            <w:noWrap w:val="0"/>
            <w:vAlign w:val="center"/>
          </w:tcPr>
          <w:p>
            <w:pPr>
              <w:snapToGrid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0.046 </w:t>
            </w:r>
          </w:p>
        </w:tc>
        <w:tc>
          <w:tcPr>
            <w:tcW w:w="1226"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SS</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0.040 </w:t>
            </w:r>
          </w:p>
        </w:tc>
        <w:tc>
          <w:tcPr>
            <w:tcW w:w="0" w:type="auto"/>
            <w:noWrap w:val="0"/>
            <w:vAlign w:val="center"/>
          </w:tcPr>
          <w:p>
            <w:pPr>
              <w:snapToGrid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0.040 </w:t>
            </w:r>
          </w:p>
        </w:tc>
        <w:tc>
          <w:tcPr>
            <w:tcW w:w="1226"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+0.040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氨氮</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0.008 </w:t>
            </w:r>
          </w:p>
        </w:tc>
        <w:tc>
          <w:tcPr>
            <w:tcW w:w="0" w:type="auto"/>
            <w:noWrap w:val="0"/>
            <w:vAlign w:val="center"/>
          </w:tcPr>
          <w:p>
            <w:pPr>
              <w:snapToGrid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0.008 </w:t>
            </w:r>
          </w:p>
        </w:tc>
        <w:tc>
          <w:tcPr>
            <w:tcW w:w="1226"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总磷</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c>
          <w:tcPr>
            <w:tcW w:w="0" w:type="auto"/>
            <w:noWrap w:val="0"/>
            <w:vAlign w:val="center"/>
          </w:tcPr>
          <w:p>
            <w:pPr>
              <w:snapToGrid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c>
          <w:tcPr>
            <w:tcW w:w="1226"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动植物油</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0" w:type="auto"/>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c>
          <w:tcPr>
            <w:tcW w:w="0" w:type="auto"/>
            <w:noWrap w:val="0"/>
            <w:vAlign w:val="center"/>
          </w:tcPr>
          <w:p>
            <w:pPr>
              <w:snapToGrid w:val="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789"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c>
          <w:tcPr>
            <w:tcW w:w="1226" w:type="dxa"/>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+0.003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895" w:type="dxa"/>
            <w:vMerge w:val="restart"/>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一般工业固体废物</w:t>
            </w:r>
          </w:p>
        </w:tc>
        <w:tc>
          <w:tcPr>
            <w:tcW w:w="1633" w:type="dxa"/>
            <w:noWrap w:val="0"/>
            <w:vAlign w:val="center"/>
          </w:tcPr>
          <w:p>
            <w:pPr>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废边角料</w:t>
            </w:r>
            <w:r>
              <w:rPr>
                <w:rFonts w:hint="default" w:ascii="Times New Roman" w:hAnsi="Times New Roman" w:cs="Times New Roman"/>
                <w:color w:val="000000" w:themeColor="text1"/>
                <w:spacing w:val="-4"/>
                <w:sz w:val="21"/>
                <w:szCs w:val="21"/>
                <w:lang w:eastAsia="zh-CN"/>
                <w14:textFill>
                  <w14:solidFill>
                    <w14:schemeClr w14:val="tx1"/>
                  </w14:solidFill>
                </w14:textFill>
              </w:rPr>
              <w:t>、废铝屑</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0" w:type="auto"/>
            <w:noWrap w:val="0"/>
            <w:vAlign w:val="center"/>
          </w:tcPr>
          <w:p>
            <w:pPr>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废包装材料</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0" w:type="auto"/>
            <w:noWrap w:val="0"/>
            <w:vAlign w:val="center"/>
          </w:tcPr>
          <w:p>
            <w:pPr>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废滤渣</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、废滤芯</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c>
          <w:tcPr>
            <w:tcW w:w="0" w:type="auto"/>
            <w:noWrap w:val="0"/>
            <w:vAlign w:val="center"/>
          </w:tcPr>
          <w:p>
            <w:pPr>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不合格品</w:t>
            </w:r>
          </w:p>
        </w:tc>
        <w:tc>
          <w:tcPr>
            <w:tcW w:w="1348"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10</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10</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废钢丸</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0" w:type="auto"/>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0.01</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0.01</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抛丸除尘装置收集的粉尘</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1576"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c>
          <w:tcPr>
            <w:tcW w:w="1176"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vMerge w:val="restart"/>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危险废物</w:t>
            </w: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134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0" w:type="auto"/>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c>
          <w:tcPr>
            <w:tcW w:w="0" w:type="auto"/>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c>
          <w:tcPr>
            <w:tcW w:w="0" w:type="auto"/>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废机油</w:t>
            </w:r>
          </w:p>
        </w:tc>
        <w:tc>
          <w:tcPr>
            <w:tcW w:w="134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0" w:type="auto"/>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0" w:type="auto"/>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0" w:type="auto"/>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c>
          <w:tcPr>
            <w:tcW w:w="1226"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含油</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铝屑</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0" w:type="auto"/>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0" w:type="auto"/>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含油木屑</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c>
          <w:tcPr>
            <w:tcW w:w="11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c>
          <w:tcPr>
            <w:tcW w:w="11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污泥</w:t>
            </w:r>
          </w:p>
        </w:tc>
        <w:tc>
          <w:tcPr>
            <w:tcW w:w="1348"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051"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w:t>
            </w:r>
          </w:p>
        </w:tc>
        <w:tc>
          <w:tcPr>
            <w:tcW w:w="1576"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c>
          <w:tcPr>
            <w:tcW w:w="117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废活性炭</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c>
          <w:tcPr>
            <w:tcW w:w="11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油雾净化器收集的废油</w:t>
            </w:r>
          </w:p>
        </w:tc>
        <w:tc>
          <w:tcPr>
            <w:tcW w:w="134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76"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1176"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895" w:type="dxa"/>
            <w:vMerge w:val="continue"/>
            <w:noWrap w:val="0"/>
            <w:vAlign w:val="center"/>
          </w:tcPr>
          <w:p>
            <w:pPr>
              <w:pStyle w:val="60"/>
              <w:spacing w:beforeLines="0" w:afterLines="0" w:line="240" w:lineRule="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33" w:type="dxa"/>
            <w:noWrap w:val="0"/>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p>
        </w:tc>
        <w:tc>
          <w:tcPr>
            <w:tcW w:w="1348"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76"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1176"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1226"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895" w:type="dxa"/>
            <w:noWrap w:val="0"/>
            <w:vAlign w:val="center"/>
          </w:tcPr>
          <w:p>
            <w:pPr>
              <w:pStyle w:val="6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1633"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134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1"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98" w:type="dxa"/>
            <w:noWrap w:val="0"/>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w:t>
            </w:r>
          </w:p>
        </w:tc>
        <w:tc>
          <w:tcPr>
            <w:tcW w:w="117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789"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w:t>
            </w:r>
          </w:p>
        </w:tc>
        <w:tc>
          <w:tcPr>
            <w:tcW w:w="1226" w:type="dxa"/>
            <w:noWrap w:val="0"/>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w:t>
            </w:r>
          </w:p>
        </w:tc>
      </w:tr>
    </w:tbl>
    <w:p>
      <w:pPr>
        <w:pStyle w:val="60"/>
        <w:keepNext w:val="0"/>
        <w:keepLines w:val="0"/>
        <w:pageBreakBefore w:val="0"/>
        <w:widowControl/>
        <w:kinsoku/>
        <w:wordWrap/>
        <w:overflowPunct/>
        <w:topLinePunct w:val="0"/>
        <w:autoSpaceDE/>
        <w:autoSpaceDN/>
        <w:bidi w:val="0"/>
        <w:adjustRightInd w:val="0"/>
        <w:snapToGrid w:val="0"/>
        <w:spacing w:before="192" w:beforeLines="80" w:after="24" w:line="240" w:lineRule="auto"/>
        <w:jc w:val="left"/>
        <w:textAlignment w:val="auto"/>
        <w:rPr>
          <w:rFonts w:hint="default" w:ascii="Times New Roman" w:hAnsi="Times New Roman"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fldChar w:fldCharType="end"/>
      </w:r>
    </w:p>
    <w:p>
      <w:pPr>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p>
    <w:p>
      <w:pPr>
        <w:pStyle w:val="109"/>
        <w:spacing w:before="120" w:beforeLines="50" w:line="360" w:lineRule="auto"/>
        <w:jc w:val="left"/>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附表  建设项目排污许可申请与填报信息表</w:t>
      </w:r>
    </w:p>
    <w:p>
      <w:pPr>
        <w:pStyle w:val="109"/>
        <w:spacing w:before="100" w:beforeAutospacing="1"/>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表1  建设项目排污许可申请基本信息表 </w:t>
      </w:r>
    </w:p>
    <w:tbl>
      <w:tblPr>
        <w:tblStyle w:val="31"/>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5"/>
        <w:gridCol w:w="1374"/>
        <w:gridCol w:w="1374"/>
        <w:gridCol w:w="1523"/>
        <w:gridCol w:w="1982"/>
        <w:gridCol w:w="1374"/>
        <w:gridCol w:w="1523"/>
        <w:gridCol w:w="1219"/>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tblHeader/>
          <w:jc w:val="center"/>
        </w:trPr>
        <w:tc>
          <w:tcPr>
            <w:tcW w:w="219"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序号</w:t>
            </w:r>
          </w:p>
        </w:tc>
        <w:tc>
          <w:tcPr>
            <w:tcW w:w="506"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生产线类型</w:t>
            </w:r>
          </w:p>
        </w:tc>
        <w:tc>
          <w:tcPr>
            <w:tcW w:w="506" w:type="pct"/>
            <w:vAlign w:val="center"/>
          </w:tcPr>
          <w:p>
            <w:pPr>
              <w:pStyle w:val="110"/>
              <w:widowControl/>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生产线编号</w:t>
            </w:r>
          </w:p>
        </w:tc>
        <w:tc>
          <w:tcPr>
            <w:tcW w:w="561"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产品名称</w:t>
            </w:r>
          </w:p>
        </w:tc>
        <w:tc>
          <w:tcPr>
            <w:tcW w:w="730"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生产能力</w:t>
            </w:r>
          </w:p>
        </w:tc>
        <w:tc>
          <w:tcPr>
            <w:tcW w:w="506"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设计年生产时间（h）</w:t>
            </w:r>
          </w:p>
        </w:tc>
        <w:tc>
          <w:tcPr>
            <w:tcW w:w="561"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国民经济行业类别</w:t>
            </w:r>
          </w:p>
        </w:tc>
        <w:tc>
          <w:tcPr>
            <w:tcW w:w="449"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排污许可管理类别</w:t>
            </w:r>
          </w:p>
        </w:tc>
        <w:tc>
          <w:tcPr>
            <w:tcW w:w="958" w:type="pct"/>
            <w:vAlign w:val="center"/>
          </w:tcPr>
          <w:p>
            <w:pPr>
              <w:pStyle w:val="11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排污许可申请与核发技术规范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219" w:type="pct"/>
            <w:vMerge w:val="restart"/>
            <w:vAlign w:val="center"/>
          </w:tcPr>
          <w:p>
            <w:pPr>
              <w:pStyle w:val="11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06" w:type="pct"/>
            <w:vMerge w:val="restart"/>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铝压铸件</w:t>
            </w:r>
            <w:r>
              <w:rPr>
                <w:rFonts w:hint="default" w:ascii="Times New Roman" w:hAnsi="Times New Roman" w:cs="Times New Roman"/>
                <w:color w:val="000000" w:themeColor="text1"/>
                <w:szCs w:val="21"/>
                <w14:textFill>
                  <w14:solidFill>
                    <w14:schemeClr w14:val="tx1"/>
                  </w14:solidFill>
                </w14:textFill>
              </w:rPr>
              <w:t>生产线</w:t>
            </w:r>
          </w:p>
        </w:tc>
        <w:tc>
          <w:tcPr>
            <w:tcW w:w="506" w:type="pct"/>
            <w:vMerge w:val="restart"/>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SCX001</w:t>
            </w:r>
          </w:p>
        </w:tc>
        <w:tc>
          <w:tcPr>
            <w:tcW w:w="561" w:type="pct"/>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合力叉车脚踏板</w:t>
            </w:r>
          </w:p>
        </w:tc>
        <w:tc>
          <w:tcPr>
            <w:tcW w:w="730" w:type="pct"/>
            <w:vAlign w:val="center"/>
          </w:tcPr>
          <w:p>
            <w:pPr>
              <w:widowControl/>
              <w:adjustRightInd w:val="0"/>
              <w:snapToGrid w:val="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20万/套</w:t>
            </w:r>
          </w:p>
        </w:tc>
        <w:tc>
          <w:tcPr>
            <w:tcW w:w="506" w:type="pct"/>
            <w:vMerge w:val="restart"/>
            <w:vAlign w:val="center"/>
          </w:tcPr>
          <w:p>
            <w:pPr>
              <w:pStyle w:val="11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4800</w:t>
            </w:r>
          </w:p>
        </w:tc>
        <w:tc>
          <w:tcPr>
            <w:tcW w:w="561" w:type="pct"/>
            <w:vMerge w:val="restart"/>
            <w:vAlign w:val="center"/>
          </w:tcPr>
          <w:p>
            <w:pPr>
              <w:pStyle w:val="11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金属结构制造</w:t>
            </w:r>
            <w:r>
              <w:rPr>
                <w:rFonts w:hint="default" w:ascii="Times New Roman" w:hAnsi="Times New Roman" w:cs="Times New Roman"/>
                <w:color w:val="000000" w:themeColor="text1"/>
                <w:szCs w:val="21"/>
                <w14:textFill>
                  <w14:solidFill>
                    <w14:schemeClr w14:val="tx1"/>
                  </w14:solidFill>
                </w14:textFill>
              </w:rPr>
              <w:t>［C</w:t>
            </w:r>
            <w:r>
              <w:rPr>
                <w:rFonts w:hint="default" w:ascii="Times New Roman" w:hAnsi="Times New Roman" w:cs="Times New Roman"/>
                <w:color w:val="000000" w:themeColor="text1"/>
                <w:szCs w:val="21"/>
                <w:lang w:val="en-US" w:eastAsia="zh-CN"/>
                <w14:textFill>
                  <w14:solidFill>
                    <w14:schemeClr w14:val="tx1"/>
                  </w14:solidFill>
                </w14:textFill>
              </w:rPr>
              <w:t>3311</w:t>
            </w:r>
            <w:r>
              <w:rPr>
                <w:rFonts w:hint="default" w:ascii="Times New Roman" w:hAnsi="Times New Roman" w:cs="Times New Roman"/>
                <w:color w:val="000000" w:themeColor="text1"/>
                <w:szCs w:val="21"/>
                <w14:textFill>
                  <w14:solidFill>
                    <w14:schemeClr w14:val="tx1"/>
                  </w14:solidFill>
                </w14:textFill>
              </w:rPr>
              <w:t>］、有色金属铸造［C3392］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家用电力器具专用配件制造</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3857</w:t>
            </w:r>
            <w:r>
              <w:rPr>
                <w:rFonts w:hint="default" w:ascii="Times New Roman" w:hAnsi="Times New Roman" w:cs="Times New Roman"/>
                <w:color w:val="000000" w:themeColor="text1"/>
                <w:szCs w:val="21"/>
                <w:lang w:eastAsia="zh-CN"/>
                <w14:textFill>
                  <w14:solidFill>
                    <w14:schemeClr w14:val="tx1"/>
                  </w14:solidFill>
                </w14:textFill>
              </w:rPr>
              <w:t>］</w:t>
            </w:r>
          </w:p>
        </w:tc>
        <w:tc>
          <w:tcPr>
            <w:tcW w:w="449" w:type="pct"/>
            <w:vMerge w:val="restart"/>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简化管理</w:t>
            </w:r>
          </w:p>
        </w:tc>
        <w:tc>
          <w:tcPr>
            <w:tcW w:w="958" w:type="pct"/>
            <w:vMerge w:val="restart"/>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《排污许可证申请与核发技术规范 金属铸造工业》（HJ1115-2020）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19"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06" w:type="pct"/>
            <w:vMerge w:val="continue"/>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p>
        </w:tc>
        <w:tc>
          <w:tcPr>
            <w:tcW w:w="506"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61" w:type="pct"/>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洗衣机滚筒连接法兰盘</w:t>
            </w:r>
          </w:p>
        </w:tc>
        <w:tc>
          <w:tcPr>
            <w:tcW w:w="730" w:type="pct"/>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10万/套</w:t>
            </w:r>
          </w:p>
        </w:tc>
        <w:tc>
          <w:tcPr>
            <w:tcW w:w="506"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61" w:type="pct"/>
            <w:vMerge w:val="continue"/>
            <w:vAlign w:val="center"/>
          </w:tcPr>
          <w:p>
            <w:pPr>
              <w:pStyle w:val="110"/>
              <w:jc w:val="center"/>
              <w:rPr>
                <w:rFonts w:hint="default" w:ascii="Times New Roman" w:hAnsi="Times New Roman" w:cs="Times New Roman"/>
                <w:color w:val="000000" w:themeColor="text1"/>
                <w:sz w:val="24"/>
                <w14:textFill>
                  <w14:solidFill>
                    <w14:schemeClr w14:val="tx1"/>
                  </w14:solidFill>
                </w14:textFill>
              </w:rPr>
            </w:pPr>
          </w:p>
        </w:tc>
        <w:tc>
          <w:tcPr>
            <w:tcW w:w="449"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958"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19"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06" w:type="pct"/>
            <w:vMerge w:val="continue"/>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p>
        </w:tc>
        <w:tc>
          <w:tcPr>
            <w:tcW w:w="506"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61" w:type="pct"/>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电机外壳系列产品</w:t>
            </w:r>
          </w:p>
        </w:tc>
        <w:tc>
          <w:tcPr>
            <w:tcW w:w="730" w:type="pct"/>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10万/套</w:t>
            </w:r>
          </w:p>
        </w:tc>
        <w:tc>
          <w:tcPr>
            <w:tcW w:w="506"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61" w:type="pct"/>
            <w:vMerge w:val="continue"/>
            <w:vAlign w:val="center"/>
          </w:tcPr>
          <w:p>
            <w:pPr>
              <w:pStyle w:val="110"/>
              <w:jc w:val="center"/>
              <w:rPr>
                <w:rFonts w:hint="default" w:ascii="Times New Roman" w:hAnsi="Times New Roman" w:cs="Times New Roman"/>
                <w:color w:val="000000" w:themeColor="text1"/>
                <w:sz w:val="24"/>
                <w14:textFill>
                  <w14:solidFill>
                    <w14:schemeClr w14:val="tx1"/>
                  </w14:solidFill>
                </w14:textFill>
              </w:rPr>
            </w:pPr>
          </w:p>
        </w:tc>
        <w:tc>
          <w:tcPr>
            <w:tcW w:w="449"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958"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19"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06" w:type="pct"/>
            <w:vMerge w:val="continue"/>
            <w:vAlign w:val="center"/>
          </w:tcPr>
          <w:p>
            <w:pPr>
              <w:pStyle w:val="110"/>
              <w:jc w:val="center"/>
              <w:rPr>
                <w:rFonts w:hint="default" w:ascii="Times New Roman" w:hAnsi="Times New Roman" w:cs="Times New Roman"/>
                <w:color w:val="000000" w:themeColor="text1"/>
                <w:szCs w:val="21"/>
                <w14:textFill>
                  <w14:solidFill>
                    <w14:schemeClr w14:val="tx1"/>
                  </w14:solidFill>
                </w14:textFill>
              </w:rPr>
            </w:pPr>
          </w:p>
        </w:tc>
        <w:tc>
          <w:tcPr>
            <w:tcW w:w="506"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61" w:type="pct"/>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门业扭簧法兰</w:t>
            </w:r>
          </w:p>
        </w:tc>
        <w:tc>
          <w:tcPr>
            <w:tcW w:w="730" w:type="pct"/>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10万/套</w:t>
            </w:r>
          </w:p>
        </w:tc>
        <w:tc>
          <w:tcPr>
            <w:tcW w:w="506"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561" w:type="pct"/>
            <w:vMerge w:val="continue"/>
            <w:vAlign w:val="center"/>
          </w:tcPr>
          <w:p>
            <w:pPr>
              <w:pStyle w:val="110"/>
              <w:jc w:val="center"/>
              <w:rPr>
                <w:rFonts w:hint="default" w:ascii="Times New Roman" w:hAnsi="Times New Roman" w:cs="Times New Roman"/>
                <w:color w:val="000000" w:themeColor="text1"/>
                <w:sz w:val="24"/>
                <w14:textFill>
                  <w14:solidFill>
                    <w14:schemeClr w14:val="tx1"/>
                  </w14:solidFill>
                </w14:textFill>
              </w:rPr>
            </w:pPr>
          </w:p>
        </w:tc>
        <w:tc>
          <w:tcPr>
            <w:tcW w:w="449"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c>
          <w:tcPr>
            <w:tcW w:w="958" w:type="pct"/>
            <w:vMerge w:val="continue"/>
            <w:vAlign w:val="center"/>
          </w:tcPr>
          <w:p>
            <w:pPr>
              <w:pStyle w:val="110"/>
              <w:jc w:val="center"/>
              <w:rPr>
                <w:rFonts w:hint="default" w:ascii="Times New Roman" w:hAnsi="Times New Roman" w:cs="Times New Roman"/>
                <w:color w:val="000000" w:themeColor="text1"/>
                <w14:textFill>
                  <w14:solidFill>
                    <w14:schemeClr w14:val="tx1"/>
                  </w14:solidFill>
                </w14:textFill>
              </w:rPr>
            </w:pPr>
          </w:p>
        </w:tc>
      </w:tr>
    </w:tbl>
    <w:p>
      <w:pPr>
        <w:pStyle w:val="109"/>
        <w:spacing w:before="100" w:beforeAutospacing="1"/>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表2  全厂主要原辅材料及燃料信息表</w:t>
      </w:r>
    </w:p>
    <w:tbl>
      <w:tblPr>
        <w:tblStyle w:val="31"/>
        <w:tblW w:w="50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7"/>
        <w:gridCol w:w="1286"/>
        <w:gridCol w:w="1929"/>
        <w:gridCol w:w="1797"/>
        <w:gridCol w:w="1371"/>
        <w:gridCol w:w="1095"/>
        <w:gridCol w:w="1274"/>
        <w:gridCol w:w="778"/>
        <w:gridCol w:w="778"/>
        <w:gridCol w:w="789"/>
        <w:gridCol w:w="835"/>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35"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序号</w:t>
            </w:r>
          </w:p>
        </w:tc>
        <w:tc>
          <w:tcPr>
            <w:tcW w:w="475"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种类</w:t>
            </w:r>
          </w:p>
        </w:tc>
        <w:tc>
          <w:tcPr>
            <w:tcW w:w="712"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名称</w:t>
            </w:r>
          </w:p>
        </w:tc>
        <w:tc>
          <w:tcPr>
            <w:tcW w:w="663"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设计年使用量</w:t>
            </w:r>
          </w:p>
        </w:tc>
        <w:tc>
          <w:tcPr>
            <w:tcW w:w="506"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年最大使用量</w:t>
            </w:r>
          </w:p>
        </w:tc>
        <w:tc>
          <w:tcPr>
            <w:tcW w:w="404"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计量单位</w:t>
            </w:r>
          </w:p>
        </w:tc>
        <w:tc>
          <w:tcPr>
            <w:tcW w:w="470" w:type="pct"/>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有毒有害成分</w:t>
            </w:r>
          </w:p>
        </w:tc>
        <w:tc>
          <w:tcPr>
            <w:tcW w:w="865" w:type="pct"/>
            <w:gridSpan w:val="3"/>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有毒有害成分占比(%)</w:t>
            </w:r>
          </w:p>
        </w:tc>
        <w:tc>
          <w:tcPr>
            <w:tcW w:w="565" w:type="pct"/>
            <w:gridSpan w:val="2"/>
            <w:vAlign w:val="center"/>
          </w:tcPr>
          <w:p>
            <w:pPr>
              <w:pStyle w:val="111"/>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475"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原料</w:t>
            </w:r>
          </w:p>
        </w:tc>
        <w:tc>
          <w:tcPr>
            <w:tcW w:w="712"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铝合金锭</w:t>
            </w:r>
          </w:p>
        </w:tc>
        <w:tc>
          <w:tcPr>
            <w:tcW w:w="66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3100</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3100</w:t>
            </w:r>
          </w:p>
        </w:tc>
        <w:tc>
          <w:tcPr>
            <w:tcW w:w="404"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47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水性脱模剂</w:t>
            </w:r>
          </w:p>
        </w:tc>
        <w:tc>
          <w:tcPr>
            <w:tcW w:w="66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404"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47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切削液</w:t>
            </w:r>
          </w:p>
        </w:tc>
        <w:tc>
          <w:tcPr>
            <w:tcW w:w="66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404"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47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机油</w:t>
            </w:r>
          </w:p>
        </w:tc>
        <w:tc>
          <w:tcPr>
            <w:tcW w:w="66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404"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47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冲头</w:t>
            </w:r>
          </w:p>
        </w:tc>
        <w:tc>
          <w:tcPr>
            <w:tcW w:w="66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2500</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2500</w:t>
            </w:r>
          </w:p>
        </w:tc>
        <w:tc>
          <w:tcPr>
            <w:tcW w:w="404"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件</w:t>
            </w:r>
            <w:r>
              <w:rPr>
                <w:rFonts w:hint="default" w:ascii="Times New Roman" w:hAnsi="Times New Roman" w:cs="Times New Roman"/>
                <w:color w:val="000000" w:themeColor="text1"/>
                <w14:textFill>
                  <w14:solidFill>
                    <w14:schemeClr w14:val="tx1"/>
                  </w14:solidFill>
                </w14:textFill>
              </w:rPr>
              <w: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47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砂带</w:t>
            </w:r>
          </w:p>
        </w:tc>
        <w:tc>
          <w:tcPr>
            <w:tcW w:w="66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500</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500</w:t>
            </w:r>
          </w:p>
        </w:tc>
        <w:tc>
          <w:tcPr>
            <w:tcW w:w="404"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条</w:t>
            </w:r>
            <w:r>
              <w:rPr>
                <w:rFonts w:hint="default" w:ascii="Times New Roman" w:hAnsi="Times New Roman" w:cs="Times New Roman"/>
                <w:color w:val="000000" w:themeColor="text1"/>
                <w14:textFill>
                  <w14:solidFill>
                    <w14:schemeClr w14:val="tx1"/>
                  </w14:solidFill>
                </w14:textFill>
              </w:rPr>
              <w: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35" w:type="pct"/>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47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不锈钢丸</w:t>
            </w:r>
          </w:p>
        </w:tc>
        <w:tc>
          <w:tcPr>
            <w:tcW w:w="663"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50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404" w:type="pct"/>
            <w:vAlign w:val="center"/>
          </w:tcPr>
          <w:p>
            <w:pPr>
              <w:pStyle w:val="111"/>
              <w:spacing w:line="240" w:lineRule="atLeast"/>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35"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8</w:t>
            </w:r>
          </w:p>
        </w:tc>
        <w:tc>
          <w:tcPr>
            <w:tcW w:w="47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木屑</w:t>
            </w:r>
          </w:p>
        </w:tc>
        <w:tc>
          <w:tcPr>
            <w:tcW w:w="663" w:type="pct"/>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0.06</w:t>
            </w:r>
          </w:p>
        </w:tc>
        <w:tc>
          <w:tcPr>
            <w:tcW w:w="506" w:type="pct"/>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0.06</w:t>
            </w:r>
          </w:p>
        </w:tc>
        <w:tc>
          <w:tcPr>
            <w:tcW w:w="404" w:type="pct"/>
            <w:vAlign w:val="center"/>
          </w:tcPr>
          <w:p>
            <w:pPr>
              <w:spacing w:line="240" w:lineRule="atLeas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35"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w:t>
            </w:r>
          </w:p>
        </w:tc>
        <w:tc>
          <w:tcPr>
            <w:tcW w:w="47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辅料</w:t>
            </w:r>
          </w:p>
        </w:tc>
        <w:tc>
          <w:tcPr>
            <w:tcW w:w="712" w:type="pct"/>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振动研磨剂</w:t>
            </w:r>
          </w:p>
        </w:tc>
        <w:tc>
          <w:tcPr>
            <w:tcW w:w="663" w:type="pct"/>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w:t>
            </w:r>
          </w:p>
        </w:tc>
        <w:tc>
          <w:tcPr>
            <w:tcW w:w="506" w:type="pct"/>
            <w:vAlign w:val="center"/>
          </w:tcPr>
          <w:p>
            <w:pPr>
              <w:widowControl/>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w:t>
            </w:r>
          </w:p>
        </w:tc>
        <w:tc>
          <w:tcPr>
            <w:tcW w:w="404" w:type="pct"/>
            <w:vAlign w:val="center"/>
          </w:tcPr>
          <w:p>
            <w:pPr>
              <w:spacing w:line="240" w:lineRule="atLeas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470" w:type="pct"/>
            <w:vAlign w:val="center"/>
          </w:tcPr>
          <w:p>
            <w:pPr>
              <w:pStyle w:val="111"/>
              <w:spacing w:line="240" w:lineRule="atLeast"/>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65" w:type="pct"/>
            <w:gridSpan w:val="3"/>
            <w:vAlign w:val="center"/>
          </w:tcPr>
          <w:p>
            <w:pPr>
              <w:pStyle w:val="111"/>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65" w:type="pct"/>
            <w:gridSpan w:val="2"/>
            <w:vAlign w:val="center"/>
          </w:tcPr>
          <w:p>
            <w:pPr>
              <w:pStyle w:val="111"/>
              <w:spacing w:line="240" w:lineRule="atLeast"/>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35" w:type="pct"/>
            <w:shd w:val="clear" w:color="auto" w:fill="auto"/>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序号</w:t>
            </w:r>
          </w:p>
        </w:tc>
        <w:tc>
          <w:tcPr>
            <w:tcW w:w="475"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燃料名称</w:t>
            </w:r>
          </w:p>
        </w:tc>
        <w:tc>
          <w:tcPr>
            <w:tcW w:w="712"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设计年使用量</w:t>
            </w:r>
          </w:p>
        </w:tc>
        <w:tc>
          <w:tcPr>
            <w:tcW w:w="663"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年最大使用量</w:t>
            </w:r>
          </w:p>
        </w:tc>
        <w:tc>
          <w:tcPr>
            <w:tcW w:w="506"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计量单位</w:t>
            </w:r>
          </w:p>
        </w:tc>
        <w:tc>
          <w:tcPr>
            <w:tcW w:w="404"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灰分（%）</w:t>
            </w:r>
          </w:p>
        </w:tc>
        <w:tc>
          <w:tcPr>
            <w:tcW w:w="470"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硫分（%）</w:t>
            </w:r>
          </w:p>
        </w:tc>
        <w:tc>
          <w:tcPr>
            <w:tcW w:w="287"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挥发分（%）</w:t>
            </w:r>
          </w:p>
        </w:tc>
        <w:tc>
          <w:tcPr>
            <w:tcW w:w="287"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热值（MJ/ m</w:t>
            </w:r>
            <w:r>
              <w:rPr>
                <w:rFonts w:hint="default" w:ascii="Times New Roman" w:hAnsi="Times New Roman" w:cs="Times New Roman"/>
                <w:b/>
                <w:color w:val="000000" w:themeColor="text1"/>
                <w:szCs w:val="20"/>
                <w:vertAlign w:val="superscript"/>
                <w14:textFill>
                  <w14:solidFill>
                    <w14:schemeClr w14:val="tx1"/>
                  </w14:solidFill>
                </w14:textFill>
              </w:rPr>
              <w:t>3</w:t>
            </w:r>
            <w:r>
              <w:rPr>
                <w:rFonts w:hint="default" w:ascii="Times New Roman" w:hAnsi="Times New Roman" w:cs="Times New Roman"/>
                <w:b/>
                <w:color w:val="000000" w:themeColor="text1"/>
                <w:szCs w:val="20"/>
                <w14:textFill>
                  <w14:solidFill>
                    <w14:schemeClr w14:val="tx1"/>
                  </w14:solidFill>
                </w14:textFill>
              </w:rPr>
              <w:t>）</w:t>
            </w:r>
          </w:p>
        </w:tc>
        <w:tc>
          <w:tcPr>
            <w:tcW w:w="291"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有毒有害物质</w:t>
            </w:r>
          </w:p>
        </w:tc>
        <w:tc>
          <w:tcPr>
            <w:tcW w:w="308"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有毒有害成分占比(%)</w:t>
            </w:r>
          </w:p>
        </w:tc>
        <w:tc>
          <w:tcPr>
            <w:tcW w:w="257"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35" w:type="pct"/>
            <w:shd w:val="clear" w:color="auto" w:fill="auto"/>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b/>
                <w:color w:val="000000" w:themeColor="text1"/>
                <w:szCs w:val="20"/>
                <w14:textFill>
                  <w14:solidFill>
                    <w14:schemeClr w14:val="tx1"/>
                  </w14:solidFill>
                </w14:textFill>
              </w:rPr>
              <w:t>1</w:t>
            </w:r>
          </w:p>
        </w:tc>
        <w:tc>
          <w:tcPr>
            <w:tcW w:w="475"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w:t>
            </w:r>
          </w:p>
        </w:tc>
        <w:tc>
          <w:tcPr>
            <w:tcW w:w="712"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48.6</w:t>
            </w:r>
            <w:r>
              <w:rPr>
                <w:rFonts w:hint="default" w:ascii="Times New Roman" w:hAnsi="Times New Roman" w:cs="Times New Roman"/>
                <w:color w:val="000000" w:themeColor="text1"/>
                <w:kern w:val="0"/>
                <w:szCs w:val="21"/>
                <w:lang w:bidi="ar"/>
                <w14:textFill>
                  <w14:solidFill>
                    <w14:schemeClr w14:val="tx1"/>
                  </w14:solidFill>
                </w14:textFill>
              </w:rPr>
              <w:t>万</w:t>
            </w:r>
          </w:p>
        </w:tc>
        <w:tc>
          <w:tcPr>
            <w:tcW w:w="663"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48.6</w:t>
            </w:r>
            <w:r>
              <w:rPr>
                <w:rFonts w:hint="default" w:ascii="Times New Roman" w:hAnsi="Times New Roman" w:cs="Times New Roman"/>
                <w:color w:val="000000" w:themeColor="text1"/>
                <w:kern w:val="0"/>
                <w:szCs w:val="21"/>
                <w:lang w:bidi="ar"/>
                <w14:textFill>
                  <w14:solidFill>
                    <w14:schemeClr w14:val="tx1"/>
                  </w14:solidFill>
                </w14:textFill>
              </w:rPr>
              <w:t>万</w:t>
            </w:r>
          </w:p>
        </w:tc>
        <w:tc>
          <w:tcPr>
            <w:tcW w:w="506" w:type="pct"/>
            <w:vAlign w:val="center"/>
          </w:tcPr>
          <w:p>
            <w:pPr>
              <w:jc w:val="center"/>
              <w:rPr>
                <w:rFonts w:hint="default" w:ascii="Times New Roman" w:hAnsi="Times New Roman" w:cs="Times New Roman"/>
                <w:b/>
                <w:color w:val="000000" w:themeColor="text1"/>
                <w:szCs w:val="20"/>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w:t>
            </w:r>
            <w:r>
              <w:rPr>
                <w:rFonts w:hint="default" w:ascii="Times New Roman" w:hAnsi="Times New Roman" w:cs="Times New Roman"/>
                <w:color w:val="000000" w:themeColor="text1"/>
                <w:kern w:val="0"/>
                <w:szCs w:val="21"/>
                <w:vertAlign w:val="superscript"/>
                <w:lang w:bidi="ar"/>
                <w14:textFill>
                  <w14:solidFill>
                    <w14:schemeClr w14:val="tx1"/>
                  </w14:solidFill>
                </w14:textFill>
              </w:rPr>
              <w:t>3</w:t>
            </w:r>
            <w:r>
              <w:rPr>
                <w:rFonts w:hint="default" w:ascii="Times New Roman" w:hAnsi="Times New Roman" w:cs="Times New Roman"/>
                <w:color w:val="000000" w:themeColor="text1"/>
                <w:kern w:val="0"/>
                <w:szCs w:val="21"/>
                <w:lang w:bidi="ar"/>
                <w14:textFill>
                  <w14:solidFill>
                    <w14:schemeClr w14:val="tx1"/>
                  </w14:solidFill>
                </w14:textFill>
              </w:rPr>
              <w:t xml:space="preserve"> /a</w:t>
            </w:r>
          </w:p>
        </w:tc>
        <w:tc>
          <w:tcPr>
            <w:tcW w:w="404" w:type="pct"/>
            <w:vAlign w:val="center"/>
          </w:tcPr>
          <w:p>
            <w:pPr>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w:t>
            </w:r>
          </w:p>
        </w:tc>
        <w:tc>
          <w:tcPr>
            <w:tcW w:w="470" w:type="pct"/>
            <w:vAlign w:val="center"/>
          </w:tcPr>
          <w:p>
            <w:pPr>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w:t>
            </w:r>
          </w:p>
        </w:tc>
        <w:tc>
          <w:tcPr>
            <w:tcW w:w="287" w:type="pct"/>
            <w:vAlign w:val="center"/>
          </w:tcPr>
          <w:p>
            <w:pPr>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w:t>
            </w:r>
          </w:p>
        </w:tc>
        <w:tc>
          <w:tcPr>
            <w:tcW w:w="287"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36.44</w:t>
            </w:r>
          </w:p>
        </w:tc>
        <w:tc>
          <w:tcPr>
            <w:tcW w:w="29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w:t>
            </w:r>
          </w:p>
        </w:tc>
        <w:tc>
          <w:tcPr>
            <w:tcW w:w="308" w:type="pct"/>
            <w:vAlign w:val="center"/>
          </w:tcPr>
          <w:p>
            <w:pPr>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w:t>
            </w:r>
          </w:p>
        </w:tc>
        <w:tc>
          <w:tcPr>
            <w:tcW w:w="257" w:type="pct"/>
            <w:vAlign w:val="center"/>
          </w:tcPr>
          <w:p>
            <w:pPr>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w:t>
            </w:r>
          </w:p>
        </w:tc>
      </w:tr>
    </w:tbl>
    <w:p>
      <w:pPr>
        <w:pStyle w:val="109"/>
        <w:spacing w:before="100" w:beforeAutospacing="1"/>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表3  建设项目主要生产设施一览表</w:t>
      </w:r>
    </w:p>
    <w:tbl>
      <w:tblPr>
        <w:tblStyle w:val="31"/>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783"/>
        <w:gridCol w:w="1104"/>
        <w:gridCol w:w="975"/>
        <w:gridCol w:w="1943"/>
        <w:gridCol w:w="1943"/>
        <w:gridCol w:w="972"/>
        <w:gridCol w:w="975"/>
        <w:gridCol w:w="1381"/>
        <w:gridCol w:w="911"/>
        <w:gridCol w:w="77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29"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序号</w:t>
            </w:r>
          </w:p>
        </w:tc>
        <w:tc>
          <w:tcPr>
            <w:tcW w:w="289"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生产线名称</w:t>
            </w:r>
          </w:p>
        </w:tc>
        <w:tc>
          <w:tcPr>
            <w:tcW w:w="408"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主要生产单元名称</w:t>
            </w:r>
          </w:p>
        </w:tc>
        <w:tc>
          <w:tcPr>
            <w:tcW w:w="360"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主要工艺名称</w:t>
            </w:r>
          </w:p>
        </w:tc>
        <w:tc>
          <w:tcPr>
            <w:tcW w:w="718"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生产设施名称</w:t>
            </w:r>
          </w:p>
        </w:tc>
        <w:tc>
          <w:tcPr>
            <w:tcW w:w="718"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生产设施编号</w:t>
            </w:r>
          </w:p>
        </w:tc>
        <w:tc>
          <w:tcPr>
            <w:tcW w:w="1567" w:type="pct"/>
            <w:gridSpan w:val="4"/>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设施参数</w:t>
            </w:r>
          </w:p>
        </w:tc>
        <w:tc>
          <w:tcPr>
            <w:tcW w:w="284"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其他设施信息</w:t>
            </w:r>
          </w:p>
        </w:tc>
        <w:tc>
          <w:tcPr>
            <w:tcW w:w="423" w:type="pct"/>
            <w:vMerge w:val="restar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其他工艺信息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0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60"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1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1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9" w:type="pc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参数名称</w:t>
            </w:r>
          </w:p>
        </w:tc>
        <w:tc>
          <w:tcPr>
            <w:tcW w:w="360" w:type="pc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计量单位</w:t>
            </w:r>
          </w:p>
        </w:tc>
        <w:tc>
          <w:tcPr>
            <w:tcW w:w="510" w:type="pc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设计值</w:t>
            </w:r>
          </w:p>
        </w:tc>
        <w:tc>
          <w:tcPr>
            <w:tcW w:w="336" w:type="pct"/>
            <w:vAlign w:val="center"/>
          </w:tcPr>
          <w:p>
            <w:pPr>
              <w:pStyle w:val="112"/>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其他设施参数信息</w:t>
            </w:r>
          </w:p>
        </w:tc>
        <w:tc>
          <w:tcPr>
            <w:tcW w:w="284"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2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89" w:type="pct"/>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铝压铸件</w:t>
            </w:r>
            <w:r>
              <w:rPr>
                <w:rFonts w:hint="default" w:ascii="Times New Roman" w:hAnsi="Times New Roman" w:cs="Times New Roman"/>
                <w:color w:val="000000" w:themeColor="text1"/>
                <w:szCs w:val="21"/>
                <w14:textFill>
                  <w14:solidFill>
                    <w14:schemeClr w14:val="tx1"/>
                  </w14:solidFill>
                </w14:textFill>
              </w:rPr>
              <w:t>生产线</w:t>
            </w:r>
          </w:p>
        </w:tc>
        <w:tc>
          <w:tcPr>
            <w:tcW w:w="408" w:type="pct"/>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p>
        </w:tc>
        <w:tc>
          <w:tcPr>
            <w:tcW w:w="360" w:type="pct"/>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p>
        </w:tc>
        <w:tc>
          <w:tcPr>
            <w:tcW w:w="718" w:type="pct"/>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718"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MF0001~MF00</w:t>
            </w: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359" w:type="pct"/>
            <w:vAlign w:val="center"/>
          </w:tcPr>
          <w:p>
            <w:pPr>
              <w:pStyle w:val="112"/>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容量</w:t>
            </w:r>
          </w:p>
        </w:tc>
        <w:tc>
          <w:tcPr>
            <w:tcW w:w="36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t</w:t>
            </w:r>
          </w:p>
        </w:tc>
        <w:tc>
          <w:tcPr>
            <w:tcW w:w="510" w:type="pct"/>
            <w:vAlign w:val="center"/>
          </w:tcPr>
          <w:p>
            <w:pPr>
              <w:adjustRightIn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0.4、0.6、0.8</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08" w:type="pct"/>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w:t>
            </w:r>
          </w:p>
        </w:tc>
        <w:tc>
          <w:tcPr>
            <w:tcW w:w="360" w:type="pct"/>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w:t>
            </w:r>
          </w:p>
        </w:tc>
        <w:tc>
          <w:tcPr>
            <w:tcW w:w="718" w:type="pct"/>
            <w:vAlign w:val="center"/>
          </w:tcPr>
          <w:p>
            <w:pPr>
              <w:adjustRightInd w:val="0"/>
              <w:jc w:val="center"/>
              <w:rPr>
                <w:rFonts w:hint="default" w:ascii="Times New Roman" w:hAnsi="Times New Roman" w:cs="Times New Roman"/>
                <w:color w:val="000000" w:themeColor="text1"/>
                <w:kern w:val="24"/>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冷室压铸机</w:t>
            </w:r>
          </w:p>
        </w:tc>
        <w:tc>
          <w:tcPr>
            <w:tcW w:w="718"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MF000</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~MF001</w:t>
            </w: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359"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锁型力</w:t>
            </w:r>
          </w:p>
        </w:tc>
        <w:tc>
          <w:tcPr>
            <w:tcW w:w="3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kN</w:t>
            </w:r>
          </w:p>
        </w:tc>
        <w:tc>
          <w:tcPr>
            <w:tcW w:w="510" w:type="pct"/>
            <w:vAlign w:val="center"/>
          </w:tcPr>
          <w:p>
            <w:pPr>
              <w:adjustRightIn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2800、400t0、5000</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08" w:type="pct"/>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去毛刺水口</w:t>
            </w:r>
          </w:p>
        </w:tc>
        <w:tc>
          <w:tcPr>
            <w:tcW w:w="360" w:type="pct"/>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去毛刺水口</w:t>
            </w:r>
          </w:p>
        </w:tc>
        <w:tc>
          <w:tcPr>
            <w:tcW w:w="718"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砂磨抛光机</w:t>
            </w:r>
          </w:p>
        </w:tc>
        <w:tc>
          <w:tcPr>
            <w:tcW w:w="71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MF00</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3</w:t>
            </w:r>
          </w:p>
        </w:tc>
        <w:tc>
          <w:tcPr>
            <w:tcW w:w="359"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3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510"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3</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08" w:type="pct"/>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去毛刺水口</w:t>
            </w:r>
          </w:p>
        </w:tc>
        <w:tc>
          <w:tcPr>
            <w:tcW w:w="360" w:type="pct"/>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去毛刺水口</w:t>
            </w:r>
          </w:p>
        </w:tc>
        <w:tc>
          <w:tcPr>
            <w:tcW w:w="718"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油压切边机</w:t>
            </w:r>
          </w:p>
        </w:tc>
        <w:tc>
          <w:tcPr>
            <w:tcW w:w="718" w:type="pct"/>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MF0014~MF0015</w:t>
            </w:r>
          </w:p>
        </w:tc>
        <w:tc>
          <w:tcPr>
            <w:tcW w:w="359"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36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510" w:type="pct"/>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5.5</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粗加工</w:t>
            </w:r>
          </w:p>
        </w:tc>
        <w:tc>
          <w:tcPr>
            <w:tcW w:w="0" w:type="auto"/>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粗加工</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数控机床</w:t>
            </w:r>
          </w:p>
        </w:tc>
        <w:tc>
          <w:tcPr>
            <w:tcW w:w="0" w:type="auto"/>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MF0016~MF0025</w:t>
            </w:r>
          </w:p>
        </w:tc>
        <w:tc>
          <w:tcPr>
            <w:tcW w:w="971" w:type="dxa"/>
            <w:vAlign w:val="center"/>
          </w:tcPr>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0" w:type="auto"/>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粗加工</w:t>
            </w:r>
          </w:p>
        </w:tc>
        <w:tc>
          <w:tcPr>
            <w:tcW w:w="0" w:type="auto"/>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粗加工</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多孔钻系列钻床</w:t>
            </w:r>
          </w:p>
        </w:tc>
        <w:tc>
          <w:tcPr>
            <w:tcW w:w="0" w:type="auto"/>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MF0026</w:t>
            </w:r>
          </w:p>
        </w:tc>
        <w:tc>
          <w:tcPr>
            <w:tcW w:w="971" w:type="dxa"/>
            <w:vAlign w:val="center"/>
          </w:tcPr>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0" w:type="auto"/>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精加工</w:t>
            </w:r>
          </w:p>
        </w:tc>
        <w:tc>
          <w:tcPr>
            <w:tcW w:w="0" w:type="auto"/>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精加工</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CNC加工中心</w:t>
            </w:r>
          </w:p>
        </w:tc>
        <w:tc>
          <w:tcPr>
            <w:tcW w:w="0" w:type="auto"/>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MF0027~MF0028</w:t>
            </w:r>
          </w:p>
        </w:tc>
        <w:tc>
          <w:tcPr>
            <w:tcW w:w="971" w:type="dxa"/>
            <w:vAlign w:val="center"/>
          </w:tcPr>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0" w:type="auto"/>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10</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抛丸</w:t>
            </w:r>
          </w:p>
        </w:tc>
        <w:tc>
          <w:tcPr>
            <w:tcW w:w="0" w:type="auto"/>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抛丸</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抛丸机（挂抛式、滚抛式）</w:t>
            </w:r>
          </w:p>
        </w:tc>
        <w:tc>
          <w:tcPr>
            <w:tcW w:w="0" w:type="auto"/>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MF0029~MF0030</w:t>
            </w:r>
          </w:p>
        </w:tc>
        <w:tc>
          <w:tcPr>
            <w:tcW w:w="971" w:type="dxa"/>
            <w:vAlign w:val="center"/>
          </w:tcPr>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0" w:type="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13</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光</w:t>
            </w:r>
            <w:r>
              <w:rPr>
                <w:rFonts w:hint="default" w:ascii="Times New Roman" w:hAnsi="Times New Roman" w:cs="Times New Roman"/>
                <w:color w:val="000000" w:themeColor="text1"/>
                <w:lang w:val="en-US" w:eastAsia="zh-CN"/>
                <w14:textFill>
                  <w14:solidFill>
                    <w14:schemeClr w14:val="tx1"/>
                  </w14:solidFill>
                </w14:textFill>
              </w:rPr>
              <w:t>饰</w:t>
            </w:r>
          </w:p>
        </w:tc>
        <w:tc>
          <w:tcPr>
            <w:tcW w:w="0" w:type="auto"/>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光</w:t>
            </w:r>
            <w:r>
              <w:rPr>
                <w:rFonts w:hint="default" w:ascii="Times New Roman" w:hAnsi="Times New Roman" w:cs="Times New Roman"/>
                <w:color w:val="000000" w:themeColor="text1"/>
                <w:lang w:val="en-US" w:eastAsia="zh-CN"/>
                <w14:textFill>
                  <w14:solidFill>
                    <w14:schemeClr w14:val="tx1"/>
                  </w14:solidFill>
                </w14:textFill>
              </w:rPr>
              <w:t>饰</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振动光饰机</w:t>
            </w:r>
          </w:p>
        </w:tc>
        <w:tc>
          <w:tcPr>
            <w:tcW w:w="0" w:type="auto"/>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MF0031~MF0032</w:t>
            </w:r>
          </w:p>
        </w:tc>
        <w:tc>
          <w:tcPr>
            <w:tcW w:w="971" w:type="dxa"/>
            <w:vAlign w:val="center"/>
          </w:tcPr>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功率</w:t>
            </w:r>
          </w:p>
        </w:tc>
        <w:tc>
          <w:tcPr>
            <w:tcW w:w="0" w:type="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kW</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4</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w:t>
            </w:r>
          </w:p>
        </w:tc>
        <w:tc>
          <w:tcPr>
            <w:tcW w:w="0" w:type="auto"/>
            <w:vAlign w:val="center"/>
          </w:tcPr>
          <w:p>
            <w:pPr>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压铸</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冷却塔</w:t>
            </w:r>
          </w:p>
        </w:tc>
        <w:tc>
          <w:tcPr>
            <w:tcW w:w="0" w:type="auto"/>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MF0033</w:t>
            </w:r>
          </w:p>
        </w:tc>
        <w:tc>
          <w:tcPr>
            <w:tcW w:w="0" w:type="auto"/>
          </w:tcPr>
          <w:p>
            <w:pPr>
              <w:pStyle w:val="112"/>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生产能力</w:t>
            </w:r>
          </w:p>
        </w:tc>
        <w:tc>
          <w:tcPr>
            <w:tcW w:w="0" w:type="auto"/>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1"/>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/h</w:t>
            </w:r>
          </w:p>
        </w:tc>
        <w:tc>
          <w:tcPr>
            <w:tcW w:w="0" w:type="auto"/>
            <w:vAlign w:val="center"/>
          </w:tcPr>
          <w:p>
            <w:pPr>
              <w:widowControl/>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10</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229" w:type="pct"/>
            <w:vMerge w:val="continue"/>
          </w:tcPr>
          <w:p>
            <w:pPr>
              <w:jc w:val="center"/>
              <w:rPr>
                <w:rFonts w:hint="default" w:ascii="Times New Roman" w:hAnsi="Times New Roman" w:cs="Times New Roman"/>
                <w:color w:val="000000" w:themeColor="text1"/>
                <w14:textFill>
                  <w14:solidFill>
                    <w14:schemeClr w14:val="tx1"/>
                  </w14:solidFill>
                </w14:textFill>
              </w:rPr>
            </w:pPr>
          </w:p>
        </w:tc>
        <w:tc>
          <w:tcPr>
            <w:tcW w:w="289" w:type="pct"/>
            <w:vMerge w:val="continue"/>
          </w:tcPr>
          <w:p>
            <w:pPr>
              <w:jc w:val="center"/>
              <w:rPr>
                <w:rFonts w:hint="default" w:ascii="Times New Roman" w:hAnsi="Times New Roman" w:cs="Times New Roman"/>
                <w:color w:val="000000" w:themeColor="text1"/>
                <w:szCs w:val="21"/>
                <w14:textFill>
                  <w14:solidFill>
                    <w14:schemeClr w14:val="tx1"/>
                  </w14:solidFill>
                </w14:textFill>
              </w:rPr>
            </w:pPr>
          </w:p>
        </w:tc>
        <w:tc>
          <w:tcPr>
            <w:tcW w:w="0" w:type="auto"/>
            <w:vAlign w:val="center"/>
          </w:tcPr>
          <w:p>
            <w:pPr>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0" w:type="auto"/>
            <w:vAlign w:val="center"/>
          </w:tcPr>
          <w:p>
            <w:pPr>
              <w:adjustRightIn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0" w:type="auto"/>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空压机</w:t>
            </w:r>
          </w:p>
        </w:tc>
        <w:tc>
          <w:tcPr>
            <w:tcW w:w="0" w:type="auto"/>
            <w:vAlign w:val="center"/>
          </w:tcPr>
          <w:p>
            <w:pPr>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MF0034~MF0037</w:t>
            </w:r>
          </w:p>
        </w:tc>
        <w:tc>
          <w:tcPr>
            <w:tcW w:w="0" w:type="auto"/>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容量</w:t>
            </w:r>
          </w:p>
        </w:tc>
        <w:tc>
          <w:tcPr>
            <w:tcW w:w="0" w:type="auto"/>
          </w:tcPr>
          <w:p>
            <w:pPr>
              <w:pStyle w:val="112"/>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1"/>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/min</w:t>
            </w:r>
          </w:p>
        </w:tc>
        <w:tc>
          <w:tcPr>
            <w:tcW w:w="0" w:type="auto"/>
            <w:vAlign w:val="center"/>
          </w:tcPr>
          <w:p>
            <w:pPr>
              <w:widowControl/>
              <w:jc w:val="cente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4"/>
                <w:lang w:val="en-US" w:eastAsia="zh-CN"/>
                <w14:textFill>
                  <w14:solidFill>
                    <w14:schemeClr w14:val="tx1"/>
                  </w14:solidFill>
                </w14:textFill>
              </w:rPr>
              <w:t>3.2</w:t>
            </w:r>
          </w:p>
        </w:tc>
        <w:tc>
          <w:tcPr>
            <w:tcW w:w="336"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84"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23" w:type="pct"/>
            <w:vAlign w:val="center"/>
          </w:tcPr>
          <w:p>
            <w:pPr>
              <w:pStyle w:val="11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pStyle w:val="109"/>
        <w:spacing w:before="100" w:beforeAutospacing="1"/>
        <w:jc w:val="center"/>
        <w:rPr>
          <w:rFonts w:hint="default" w:ascii="Times New Roman" w:hAnsi="Times New Roman" w:cs="Times New Roman"/>
          <w:b/>
          <w:color w:val="000000" w:themeColor="text1"/>
          <w:sz w:val="24"/>
          <w:szCs w:val="24"/>
          <w14:textFill>
            <w14:solidFill>
              <w14:schemeClr w14:val="tx1"/>
            </w14:solidFill>
          </w14:textFill>
        </w:rPr>
      </w:pPr>
    </w:p>
    <w:p>
      <w:pPr>
        <w:pStyle w:val="109"/>
        <w:spacing w:before="100" w:beforeAutospacing="1"/>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表4  建设项目废气产排污节点、污染物及污染治理设施信息表 </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018"/>
        <w:gridCol w:w="762"/>
        <w:gridCol w:w="740"/>
        <w:gridCol w:w="849"/>
        <w:gridCol w:w="691"/>
        <w:gridCol w:w="732"/>
        <w:gridCol w:w="844"/>
        <w:gridCol w:w="805"/>
        <w:gridCol w:w="882"/>
        <w:gridCol w:w="844"/>
        <w:gridCol w:w="866"/>
        <w:gridCol w:w="830"/>
        <w:gridCol w:w="1114"/>
        <w:gridCol w:w="967"/>
        <w:gridCol w:w="691"/>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72"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序号</w:t>
            </w:r>
          </w:p>
        </w:tc>
        <w:tc>
          <w:tcPr>
            <w:tcW w:w="372"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主要生产单元</w:t>
            </w:r>
          </w:p>
        </w:tc>
        <w:tc>
          <w:tcPr>
            <w:tcW w:w="279"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产污设施编号</w:t>
            </w:r>
          </w:p>
        </w:tc>
        <w:tc>
          <w:tcPr>
            <w:tcW w:w="271"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产污设施名称</w:t>
            </w:r>
          </w:p>
        </w:tc>
        <w:tc>
          <w:tcPr>
            <w:tcW w:w="310"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对应产污环节名称</w:t>
            </w:r>
          </w:p>
        </w:tc>
        <w:tc>
          <w:tcPr>
            <w:tcW w:w="253"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污染物种类</w:t>
            </w:r>
          </w:p>
        </w:tc>
        <w:tc>
          <w:tcPr>
            <w:tcW w:w="268"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排放形式</w:t>
            </w:r>
          </w:p>
        </w:tc>
        <w:tc>
          <w:tcPr>
            <w:tcW w:w="1553" w:type="pct"/>
            <w:gridSpan w:val="5"/>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污染治理设施</w:t>
            </w:r>
          </w:p>
        </w:tc>
        <w:tc>
          <w:tcPr>
            <w:tcW w:w="303"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有组织排放口编号</w:t>
            </w:r>
          </w:p>
        </w:tc>
        <w:tc>
          <w:tcPr>
            <w:tcW w:w="407"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有组织排放口名称</w:t>
            </w:r>
          </w:p>
        </w:tc>
        <w:tc>
          <w:tcPr>
            <w:tcW w:w="354"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排放口设置是否符合要求</w:t>
            </w:r>
          </w:p>
        </w:tc>
        <w:tc>
          <w:tcPr>
            <w:tcW w:w="253"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排放口类型</w:t>
            </w:r>
          </w:p>
        </w:tc>
        <w:tc>
          <w:tcPr>
            <w:tcW w:w="199" w:type="pct"/>
            <w:vMerge w:val="restar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blHeader/>
          <w:jc w:val="center"/>
        </w:trPr>
        <w:tc>
          <w:tcPr>
            <w:tcW w:w="172"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72"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7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71"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10"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5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6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09" w:type="pc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污染治理设施编号</w:t>
            </w:r>
          </w:p>
        </w:tc>
        <w:tc>
          <w:tcPr>
            <w:tcW w:w="294" w:type="pc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污染治理设施名称</w:t>
            </w:r>
          </w:p>
        </w:tc>
        <w:tc>
          <w:tcPr>
            <w:tcW w:w="323" w:type="pc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污染治理设施工艺</w:t>
            </w:r>
          </w:p>
        </w:tc>
        <w:tc>
          <w:tcPr>
            <w:tcW w:w="309" w:type="pc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是否为可行技术</w:t>
            </w:r>
          </w:p>
        </w:tc>
        <w:tc>
          <w:tcPr>
            <w:tcW w:w="317" w:type="pct"/>
            <w:vAlign w:val="center"/>
          </w:tcPr>
          <w:p>
            <w:pPr>
              <w:pStyle w:val="113"/>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污染治理设施其他信息</w:t>
            </w:r>
          </w:p>
        </w:tc>
        <w:tc>
          <w:tcPr>
            <w:tcW w:w="30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07"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4"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5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9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279"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71"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3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熔化</w:t>
            </w:r>
          </w:p>
        </w:tc>
        <w:tc>
          <w:tcPr>
            <w:tcW w:w="253"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268"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有组织排放</w:t>
            </w: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TA001</w:t>
            </w:r>
          </w:p>
        </w:tc>
        <w:tc>
          <w:tcPr>
            <w:tcW w:w="294" w:type="pct"/>
            <w:vMerge w:val="restart"/>
            <w:vAlign w:val="center"/>
          </w:tcPr>
          <w:p>
            <w:pPr>
              <w:pStyle w:val="113"/>
              <w:jc w:val="center"/>
              <w:rPr>
                <w:rFonts w:hint="default" w:ascii="Times New Roman" w:hAnsi="Times New Roman" w:cs="Times New Roman" w:eastAsiaTheme="minorEastAsia"/>
                <w:bCs/>
                <w:color w:val="000000" w:themeColor="text1"/>
                <w:lang w:val="en-GB" w:eastAsia="zh-CN"/>
                <w14:textFill>
                  <w14:solidFill>
                    <w14:schemeClr w14:val="tx1"/>
                  </w14:solidFill>
                </w14:textFill>
              </w:rPr>
            </w:pPr>
            <w:r>
              <w:rPr>
                <w:rFonts w:hint="default" w:ascii="Times New Roman" w:hAnsi="Times New Roman" w:cs="Times New Roman" w:eastAsiaTheme="minorEastAsia"/>
                <w:bCs/>
                <w:color w:val="000000" w:themeColor="text1"/>
                <w:lang w:val="en-GB" w:eastAsia="zh-CN"/>
                <w14:textFill>
                  <w14:solidFill>
                    <w14:schemeClr w14:val="tx1"/>
                  </w14:solidFill>
                </w14:textFill>
              </w:rPr>
              <w:t>耐高温</w:t>
            </w:r>
            <w:r>
              <w:rPr>
                <w:rFonts w:hint="default" w:ascii="Times New Roman" w:hAnsi="Times New Roman" w:cs="Times New Roman" w:eastAsiaTheme="minorEastAsia"/>
                <w:bCs/>
                <w:color w:val="000000" w:themeColor="text1"/>
                <w:lang w:val="en-GB"/>
                <w14:textFill>
                  <w14:solidFill>
                    <w14:schemeClr w14:val="tx1"/>
                  </w14:solidFill>
                </w14:textFill>
              </w:rPr>
              <w:t>布袋除尘器</w:t>
            </w:r>
          </w:p>
          <w:p>
            <w:pPr>
              <w:pStyle w:val="11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+两级活性炭</w:t>
            </w:r>
          </w:p>
        </w:tc>
        <w:tc>
          <w:tcPr>
            <w:tcW w:w="323" w:type="pct"/>
            <w:vMerge w:val="restart"/>
            <w:vAlign w:val="center"/>
          </w:tcPr>
          <w:p>
            <w:pPr>
              <w:pStyle w:val="113"/>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湿式除尘</w:t>
            </w:r>
            <w:r>
              <w:rPr>
                <w:rFonts w:hint="default" w:ascii="Times New Roman" w:hAnsi="Times New Roman" w:cs="Times New Roman"/>
                <w:bCs/>
                <w:color w:val="000000" w:themeColor="text1"/>
                <w:szCs w:val="21"/>
                <w:lang w:eastAsia="zh-CN"/>
                <w14:textFill>
                  <w14:solidFill>
                    <w14:schemeClr w14:val="tx1"/>
                  </w14:solidFill>
                </w14:textFill>
              </w:rPr>
              <w:t>、吸附</w:t>
            </w: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317"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3" w:type="pct"/>
            <w:vMerge w:val="restar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DA001</w:t>
            </w:r>
          </w:p>
        </w:tc>
        <w:tc>
          <w:tcPr>
            <w:tcW w:w="407" w:type="pct"/>
            <w:vMerge w:val="restart"/>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lang w:eastAsia="zh-CN"/>
                <w14:textFill>
                  <w14:solidFill>
                    <w14:schemeClr w14:val="tx1"/>
                  </w14:solidFill>
                </w14:textFill>
              </w:rPr>
              <w:t>熔化、压铸、脱膜</w:t>
            </w:r>
            <w:r>
              <w:rPr>
                <w:rFonts w:hint="default" w:ascii="Times New Roman" w:hAnsi="Times New Roman" w:cs="Times New Roman"/>
                <w:color w:val="000000" w:themeColor="text1"/>
                <w:kern w:val="0"/>
                <w:szCs w:val="21"/>
                <w14:textFill>
                  <w14:solidFill>
                    <w14:schemeClr w14:val="tx1"/>
                  </w14:solidFill>
                </w14:textFill>
              </w:rPr>
              <w:t>废气排放口</w:t>
            </w:r>
          </w:p>
        </w:tc>
        <w:tc>
          <w:tcPr>
            <w:tcW w:w="354"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53"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199"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冷室压铸机</w:t>
            </w:r>
          </w:p>
        </w:tc>
        <w:tc>
          <w:tcPr>
            <w:tcW w:w="279"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71"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冷室压铸机</w:t>
            </w:r>
          </w:p>
        </w:tc>
        <w:tc>
          <w:tcPr>
            <w:tcW w:w="310" w:type="pct"/>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压铸</w:t>
            </w:r>
            <w:r>
              <w:rPr>
                <w:rFonts w:hint="default" w:ascii="Times New Roman" w:hAnsi="Times New Roman" w:cs="Times New Roman"/>
                <w:bCs/>
                <w:color w:val="000000" w:themeColor="text1"/>
                <w:szCs w:val="21"/>
                <w:lang w:eastAsia="zh-CN"/>
                <w14:textFill>
                  <w14:solidFill>
                    <w14:schemeClr w14:val="tx1"/>
                  </w14:solidFill>
                </w14:textFill>
              </w:rPr>
              <w:t>、脱膜</w:t>
            </w:r>
          </w:p>
        </w:tc>
        <w:tc>
          <w:tcPr>
            <w:tcW w:w="253" w:type="pct"/>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非甲烷总烃</w:t>
            </w:r>
          </w:p>
        </w:tc>
        <w:tc>
          <w:tcPr>
            <w:tcW w:w="268"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有组织排放</w:t>
            </w: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TA002</w:t>
            </w:r>
          </w:p>
        </w:tc>
        <w:tc>
          <w:tcPr>
            <w:tcW w:w="294" w:type="pct"/>
            <w:vMerge w:val="continue"/>
            <w:vAlign w:val="center"/>
          </w:tcPr>
          <w:p>
            <w:pPr>
              <w:pStyle w:val="113"/>
              <w:jc w:val="center"/>
              <w:rPr>
                <w:rFonts w:hint="default" w:ascii="Times New Roman" w:hAnsi="Times New Roman" w:cs="Times New Roman"/>
                <w:color w:val="000000" w:themeColor="text1"/>
                <w14:textFill>
                  <w14:solidFill>
                    <w14:schemeClr w14:val="tx1"/>
                  </w14:solidFill>
                </w14:textFill>
              </w:rPr>
            </w:pPr>
          </w:p>
        </w:tc>
        <w:tc>
          <w:tcPr>
            <w:tcW w:w="323" w:type="pct"/>
            <w:vMerge w:val="continue"/>
            <w:vAlign w:val="center"/>
          </w:tcPr>
          <w:p>
            <w:pPr>
              <w:pStyle w:val="113"/>
              <w:jc w:val="center"/>
              <w:rPr>
                <w:rFonts w:hint="default" w:ascii="Times New Roman" w:hAnsi="Times New Roman" w:cs="Times New Roman"/>
                <w:color w:val="000000" w:themeColor="text1"/>
                <w14:textFill>
                  <w14:solidFill>
                    <w14:schemeClr w14:val="tx1"/>
                  </w14:solidFill>
                </w14:textFill>
              </w:rPr>
            </w:pP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317"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3"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07" w:type="pct"/>
            <w:vMerge w:val="continue"/>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p>
        </w:tc>
        <w:tc>
          <w:tcPr>
            <w:tcW w:w="354"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53"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199"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blHeader/>
          <w:jc w:val="center"/>
        </w:trPr>
        <w:tc>
          <w:tcPr>
            <w:tcW w:w="1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砂磨抛光机</w:t>
            </w:r>
          </w:p>
        </w:tc>
        <w:tc>
          <w:tcPr>
            <w:tcW w:w="279"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7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砂磨抛光机</w:t>
            </w:r>
          </w:p>
        </w:tc>
        <w:tc>
          <w:tcPr>
            <w:tcW w:w="310" w:type="pct"/>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抛光</w:t>
            </w:r>
          </w:p>
        </w:tc>
        <w:tc>
          <w:tcPr>
            <w:tcW w:w="253"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268"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有组织排放</w:t>
            </w: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TA003</w:t>
            </w:r>
          </w:p>
        </w:tc>
        <w:tc>
          <w:tcPr>
            <w:tcW w:w="294" w:type="pct"/>
            <w:vAlign w:val="center"/>
          </w:tcPr>
          <w:p>
            <w:pPr>
              <w:pStyle w:val="113"/>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lang w:val="en-GB" w:eastAsia="zh-CN"/>
                <w14:textFill>
                  <w14:solidFill>
                    <w14:schemeClr w14:val="tx1"/>
                  </w14:solidFill>
                </w14:textFill>
              </w:rPr>
              <w:t>自带湿式除尘器</w:t>
            </w:r>
          </w:p>
        </w:tc>
        <w:tc>
          <w:tcPr>
            <w:tcW w:w="323"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湿式除尘</w:t>
            </w: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317"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3" w:type="pct"/>
            <w:vMerge w:val="restart"/>
            <w:vAlign w:val="center"/>
          </w:tcPr>
          <w:p>
            <w:pPr>
              <w:widowControl/>
              <w:ind w:left="-105" w:leftChars="-50" w:right="-105" w:rightChars="-5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DA00</w:t>
            </w:r>
            <w:r>
              <w:rPr>
                <w:rFonts w:hint="default" w:ascii="Times New Roman" w:hAnsi="Times New Roman" w:cs="Times New Roman"/>
                <w:color w:val="000000" w:themeColor="text1"/>
                <w:kern w:val="0"/>
                <w:szCs w:val="21"/>
                <w:lang w:val="en-US" w:eastAsia="zh-CN"/>
                <w14:textFill>
                  <w14:solidFill>
                    <w14:schemeClr w14:val="tx1"/>
                  </w14:solidFill>
                </w14:textFill>
              </w:rPr>
              <w:t>2</w:t>
            </w:r>
          </w:p>
        </w:tc>
        <w:tc>
          <w:tcPr>
            <w:tcW w:w="407" w:type="pct"/>
            <w:vMerge w:val="restart"/>
            <w:vAlign w:val="center"/>
          </w:tcPr>
          <w:p>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抛光</w:t>
            </w:r>
            <w:r>
              <w:rPr>
                <w:rFonts w:hint="default" w:ascii="Times New Roman" w:hAnsi="Times New Roman" w:cs="Times New Roman"/>
                <w:color w:val="000000" w:themeColor="text1"/>
                <w:kern w:val="0"/>
                <w:szCs w:val="21"/>
                <w:lang w:eastAsia="zh-CN"/>
                <w14:textFill>
                  <w14:solidFill>
                    <w14:schemeClr w14:val="tx1"/>
                  </w14:solidFill>
                </w14:textFill>
              </w:rPr>
              <w:t>、抛丸机</w:t>
            </w:r>
            <w:r>
              <w:rPr>
                <w:rFonts w:hint="default" w:ascii="Times New Roman" w:hAnsi="Times New Roman" w:cs="Times New Roman"/>
                <w:color w:val="000000" w:themeColor="text1"/>
                <w:kern w:val="0"/>
                <w:szCs w:val="21"/>
                <w14:textFill>
                  <w14:solidFill>
                    <w14:schemeClr w14:val="tx1"/>
                  </w14:solidFill>
                </w14:textFill>
              </w:rPr>
              <w:t>废气排放口</w:t>
            </w:r>
          </w:p>
        </w:tc>
        <w:tc>
          <w:tcPr>
            <w:tcW w:w="354" w:type="pct"/>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53" w:type="pct"/>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199" w:type="pct"/>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7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372" w:type="pct"/>
            <w:vAlign w:val="center"/>
          </w:tcPr>
          <w:p>
            <w:pPr>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抛丸机</w:t>
            </w:r>
          </w:p>
        </w:tc>
        <w:tc>
          <w:tcPr>
            <w:tcW w:w="279" w:type="pct"/>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71" w:type="pct"/>
            <w:vAlign w:val="center"/>
          </w:tcPr>
          <w:p>
            <w:pPr>
              <w:jc w:val="center"/>
              <w:rPr>
                <w:rFonts w:hint="default"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抛丸机</w:t>
            </w:r>
          </w:p>
        </w:tc>
        <w:tc>
          <w:tcPr>
            <w:tcW w:w="310" w:type="pct"/>
            <w:vAlign w:val="center"/>
          </w:tcPr>
          <w:p>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抛丸</w:t>
            </w:r>
          </w:p>
        </w:tc>
        <w:tc>
          <w:tcPr>
            <w:tcW w:w="2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268"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有组织排放</w:t>
            </w:r>
          </w:p>
        </w:tc>
        <w:tc>
          <w:tcPr>
            <w:tcW w:w="309" w:type="pct"/>
            <w:vAlign w:val="center"/>
          </w:tcPr>
          <w:p>
            <w:pPr>
              <w:pStyle w:val="113"/>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TA00</w:t>
            </w:r>
            <w:r>
              <w:rPr>
                <w:rFonts w:hint="default" w:ascii="Times New Roman" w:hAnsi="Times New Roman" w:cs="Times New Roman"/>
                <w:color w:val="000000" w:themeColor="text1"/>
                <w:lang w:val="en-US" w:eastAsia="zh-CN"/>
                <w14:textFill>
                  <w14:solidFill>
                    <w14:schemeClr w14:val="tx1"/>
                  </w14:solidFill>
                </w14:textFill>
              </w:rPr>
              <w:t>4</w:t>
            </w:r>
          </w:p>
        </w:tc>
        <w:tc>
          <w:tcPr>
            <w:tcW w:w="294" w:type="pct"/>
            <w:vAlign w:val="center"/>
          </w:tcPr>
          <w:p>
            <w:pPr>
              <w:pStyle w:val="113"/>
              <w:jc w:val="center"/>
              <w:rPr>
                <w:rFonts w:hint="default" w:ascii="Times New Roman" w:hAnsi="Times New Roman" w:cs="Times New Roman" w:eastAsiaTheme="minorEastAsia"/>
                <w:bCs/>
                <w:color w:val="000000" w:themeColor="text1"/>
                <w:lang w:val="en-GB"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自带布袋除尘器</w:t>
            </w:r>
          </w:p>
        </w:tc>
        <w:tc>
          <w:tcPr>
            <w:tcW w:w="323"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除尘</w:t>
            </w:r>
          </w:p>
        </w:tc>
        <w:tc>
          <w:tcPr>
            <w:tcW w:w="309"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317" w:type="pct"/>
            <w:vAlign w:val="center"/>
          </w:tcPr>
          <w:p>
            <w:pPr>
              <w:pStyle w:val="11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3"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07" w:type="pct"/>
            <w:vMerge w:val="continue"/>
            <w:vAlign w:val="center"/>
          </w:tcPr>
          <w:p>
            <w:pPr>
              <w:widowControl/>
              <w:jc w:val="center"/>
              <w:rPr>
                <w:rFonts w:hint="default" w:ascii="Times New Roman" w:hAnsi="Times New Roman" w:cs="Times New Roman"/>
                <w:bCs/>
                <w:color w:val="000000" w:themeColor="text1"/>
                <w14:textFill>
                  <w14:solidFill>
                    <w14:schemeClr w14:val="tx1"/>
                  </w14:solidFill>
                </w14:textFill>
              </w:rPr>
            </w:pPr>
          </w:p>
        </w:tc>
        <w:tc>
          <w:tcPr>
            <w:tcW w:w="354"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5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9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72"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372"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危废库</w:t>
            </w:r>
          </w:p>
        </w:tc>
        <w:tc>
          <w:tcPr>
            <w:tcW w:w="279"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71"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危废库</w:t>
            </w:r>
          </w:p>
        </w:tc>
        <w:tc>
          <w:tcPr>
            <w:tcW w:w="310" w:type="pct"/>
            <w:vAlign w:val="center"/>
          </w:tcPr>
          <w:p>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危废库</w:t>
            </w:r>
          </w:p>
        </w:tc>
        <w:tc>
          <w:tcPr>
            <w:tcW w:w="25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挥发性有机废气</w:t>
            </w:r>
          </w:p>
        </w:tc>
        <w:tc>
          <w:tcPr>
            <w:tcW w:w="268"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有组织排放</w:t>
            </w:r>
          </w:p>
        </w:tc>
        <w:tc>
          <w:tcPr>
            <w:tcW w:w="309"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TA00</w:t>
            </w:r>
            <w:r>
              <w:rPr>
                <w:rFonts w:hint="default" w:ascii="Times New Roman" w:hAnsi="Times New Roman" w:cs="Times New Roman"/>
                <w:color w:val="000000" w:themeColor="text1"/>
                <w:lang w:val="en-US" w:eastAsia="zh-CN"/>
                <w14:textFill>
                  <w14:solidFill>
                    <w14:schemeClr w14:val="tx1"/>
                  </w14:solidFill>
                </w14:textFill>
              </w:rPr>
              <w:t>5</w:t>
            </w:r>
          </w:p>
        </w:tc>
        <w:tc>
          <w:tcPr>
            <w:tcW w:w="294" w:type="pct"/>
            <w:vAlign w:val="center"/>
          </w:tcPr>
          <w:p>
            <w:pPr>
              <w:pStyle w:val="113"/>
              <w:jc w:val="center"/>
              <w:rPr>
                <w:rFonts w:hint="default" w:ascii="Times New Roman" w:hAnsi="Times New Roman" w:cs="Times New Roman" w:eastAsiaTheme="minorEastAsia"/>
                <w:bCs/>
                <w:color w:val="000000" w:themeColor="text1"/>
                <w:kern w:val="2"/>
                <w:sz w:val="21"/>
                <w:lang w:val="en-GB"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两级活性炭</w:t>
            </w:r>
          </w:p>
        </w:tc>
        <w:tc>
          <w:tcPr>
            <w:tcW w:w="323"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吸附</w:t>
            </w:r>
          </w:p>
        </w:tc>
        <w:tc>
          <w:tcPr>
            <w:tcW w:w="309"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317"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3" w:type="pct"/>
            <w:vAlign w:val="center"/>
          </w:tcPr>
          <w:p>
            <w:pPr>
              <w:widowControl/>
              <w:ind w:left="-105" w:leftChars="-50" w:right="-105" w:rightChars="-5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DA003</w:t>
            </w:r>
          </w:p>
        </w:tc>
        <w:tc>
          <w:tcPr>
            <w:tcW w:w="407" w:type="pct"/>
            <w:vAlign w:val="center"/>
          </w:tcPr>
          <w:p>
            <w:pPr>
              <w:widowControl/>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危废库</w:t>
            </w:r>
            <w:r>
              <w:rPr>
                <w:rFonts w:hint="default" w:ascii="Times New Roman" w:hAnsi="Times New Roman" w:cs="Times New Roman"/>
                <w:color w:val="000000" w:themeColor="text1"/>
                <w:kern w:val="0"/>
                <w:szCs w:val="21"/>
                <w14:textFill>
                  <w14:solidFill>
                    <w14:schemeClr w14:val="tx1"/>
                  </w14:solidFill>
                </w14:textFill>
              </w:rPr>
              <w:t>废气排放口</w:t>
            </w:r>
          </w:p>
        </w:tc>
        <w:tc>
          <w:tcPr>
            <w:tcW w:w="354"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53"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199"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72"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372"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279"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271"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天然气熔铝炉</w:t>
            </w:r>
          </w:p>
        </w:tc>
        <w:tc>
          <w:tcPr>
            <w:tcW w:w="310"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天然燃烧燃烧</w:t>
            </w:r>
          </w:p>
        </w:tc>
        <w:tc>
          <w:tcPr>
            <w:tcW w:w="25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SO</w:t>
            </w:r>
            <w:r>
              <w:rPr>
                <w:rFonts w:hint="default" w:ascii="Times New Roman" w:hAnsi="Times New Roman" w:cs="Times New Roman"/>
                <w:color w:val="000000" w:themeColor="text1"/>
                <w:szCs w:val="21"/>
                <w:vertAlign w:val="sub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、NOx</w:t>
            </w:r>
            <w:r>
              <w:rPr>
                <w:rFonts w:hint="default" w:ascii="Times New Roman" w:hAnsi="Times New Roman" w:cs="Times New Roman"/>
                <w:color w:val="000000" w:themeColor="text1"/>
                <w:szCs w:val="21"/>
                <w:lang w:eastAsia="zh-CN"/>
                <w14:textFill>
                  <w14:solidFill>
                    <w14:schemeClr w14:val="tx1"/>
                  </w14:solidFill>
                </w14:textFill>
              </w:rPr>
              <w:t>、颗粒物</w:t>
            </w:r>
          </w:p>
        </w:tc>
        <w:tc>
          <w:tcPr>
            <w:tcW w:w="268"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有组织排放</w:t>
            </w:r>
          </w:p>
        </w:tc>
        <w:tc>
          <w:tcPr>
            <w:tcW w:w="309"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TA00</w:t>
            </w:r>
            <w:r>
              <w:rPr>
                <w:rFonts w:hint="default" w:ascii="Times New Roman" w:hAnsi="Times New Roman" w:cs="Times New Roman"/>
                <w:color w:val="000000" w:themeColor="text1"/>
                <w:lang w:val="en-US" w:eastAsia="zh-CN"/>
                <w14:textFill>
                  <w14:solidFill>
                    <w14:schemeClr w14:val="tx1"/>
                  </w14:solidFill>
                </w14:textFill>
              </w:rPr>
              <w:t>6</w:t>
            </w:r>
          </w:p>
        </w:tc>
        <w:tc>
          <w:tcPr>
            <w:tcW w:w="294" w:type="pct"/>
            <w:vAlign w:val="center"/>
          </w:tcPr>
          <w:p>
            <w:pPr>
              <w:pStyle w:val="113"/>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14:textFill>
                  <w14:solidFill>
                    <w14:schemeClr w14:val="tx1"/>
                  </w14:solidFill>
                </w14:textFill>
              </w:rPr>
              <w:t>低氮燃烧</w:t>
            </w:r>
          </w:p>
        </w:tc>
        <w:tc>
          <w:tcPr>
            <w:tcW w:w="323" w:type="pct"/>
            <w:vAlign w:val="center"/>
          </w:tcPr>
          <w:p>
            <w:pPr>
              <w:keepNext w:val="0"/>
              <w:keepLines w:val="0"/>
              <w:suppressLineNumbers w:val="0"/>
              <w:spacing w:beforeAutospacing="0" w:afterAutospacing="0"/>
              <w:ind w:left="0" w:leftChars="0" w:right="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14:textFill>
                  <w14:solidFill>
                    <w14:schemeClr w14:val="tx1"/>
                  </w14:solidFill>
                </w14:textFill>
              </w:rPr>
              <w:t>低氮燃烧</w:t>
            </w:r>
          </w:p>
        </w:tc>
        <w:tc>
          <w:tcPr>
            <w:tcW w:w="309"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317" w:type="pct"/>
            <w:vAlign w:val="center"/>
          </w:tcPr>
          <w:p>
            <w:pPr>
              <w:pStyle w:val="113"/>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03" w:type="pct"/>
            <w:vAlign w:val="center"/>
          </w:tcPr>
          <w:p>
            <w:pPr>
              <w:widowControl/>
              <w:ind w:left="-105" w:leftChars="-50" w:right="-105" w:rightChars="-5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DA004</w:t>
            </w:r>
          </w:p>
        </w:tc>
        <w:tc>
          <w:tcPr>
            <w:tcW w:w="407" w:type="pct"/>
            <w:vAlign w:val="center"/>
          </w:tcPr>
          <w:p>
            <w:pPr>
              <w:widowControl/>
              <w:jc w:val="center"/>
              <w:rPr>
                <w:rFonts w:hint="default"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天然燃烧燃烧</w:t>
            </w:r>
            <w:r>
              <w:rPr>
                <w:rFonts w:hint="default" w:ascii="Times New Roman" w:hAnsi="Times New Roman" w:cs="Times New Roman"/>
                <w:color w:val="000000" w:themeColor="text1"/>
                <w:kern w:val="0"/>
                <w:szCs w:val="21"/>
                <w14:textFill>
                  <w14:solidFill>
                    <w14:schemeClr w14:val="tx1"/>
                  </w14:solidFill>
                </w14:textFill>
              </w:rPr>
              <w:t>排放口</w:t>
            </w:r>
          </w:p>
        </w:tc>
        <w:tc>
          <w:tcPr>
            <w:tcW w:w="354"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53"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一般排放口</w:t>
            </w:r>
          </w:p>
        </w:tc>
        <w:tc>
          <w:tcPr>
            <w:tcW w:w="199"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widowControl/>
        <w:spacing w:before="100" w:beforeAutospacing="1"/>
        <w:ind w:left="-105" w:leftChars="-50"/>
        <w:jc w:val="center"/>
        <w:rPr>
          <w:rFonts w:hint="default" w:ascii="Times New Roman" w:hAnsi="Times New Roman" w:cs="Times New Roman"/>
          <w:b/>
          <w:color w:val="000000" w:themeColor="text1"/>
          <w:kern w:val="0"/>
          <w:sz w:val="24"/>
          <w:szCs w:val="20"/>
          <w14:textFill>
            <w14:solidFill>
              <w14:schemeClr w14:val="tx1"/>
            </w14:solidFill>
          </w14:textFill>
        </w:rPr>
      </w:pPr>
    </w:p>
    <w:p>
      <w:pPr>
        <w:widowControl/>
        <w:spacing w:before="100" w:beforeAutospacing="1"/>
        <w:ind w:left="-105" w:leftChars="-50"/>
        <w:jc w:val="center"/>
        <w:rPr>
          <w:rFonts w:hint="default" w:ascii="Times New Roman" w:hAnsi="Times New Roman" w:cs="Times New Roman"/>
          <w:b/>
          <w:color w:val="000000" w:themeColor="text1"/>
          <w:kern w:val="0"/>
          <w:sz w:val="24"/>
          <w:szCs w:val="20"/>
          <w14:textFill>
            <w14:solidFill>
              <w14:schemeClr w14:val="tx1"/>
            </w14:solidFill>
          </w14:textFill>
        </w:rPr>
      </w:pPr>
      <w:r>
        <w:rPr>
          <w:rFonts w:hint="default" w:ascii="Times New Roman" w:hAnsi="Times New Roman" w:cs="Times New Roman"/>
          <w:b/>
          <w:color w:val="000000" w:themeColor="text1"/>
          <w:kern w:val="0"/>
          <w:sz w:val="24"/>
          <w:szCs w:val="20"/>
          <w14:textFill>
            <w14:solidFill>
              <w14:schemeClr w14:val="tx1"/>
            </w14:solidFill>
          </w14:textFill>
        </w:rPr>
        <w:t>表5  建设项目大气污染物有组织排放基本情况表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5"/>
        <w:gridCol w:w="1160"/>
        <w:gridCol w:w="1046"/>
        <w:gridCol w:w="952"/>
        <w:gridCol w:w="626"/>
        <w:gridCol w:w="664"/>
        <w:gridCol w:w="683"/>
        <w:gridCol w:w="797"/>
        <w:gridCol w:w="1888"/>
        <w:gridCol w:w="1059"/>
        <w:gridCol w:w="977"/>
        <w:gridCol w:w="861"/>
        <w:gridCol w:w="711"/>
        <w:gridCol w:w="672"/>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jc w:val="center"/>
        </w:trPr>
        <w:tc>
          <w:tcPr>
            <w:tcW w:w="250" w:type="pct"/>
            <w:vMerge w:val="restart"/>
            <w:vAlign w:val="center"/>
          </w:tcPr>
          <w:p>
            <w:pPr>
              <w:widowControl/>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排放口编号</w:t>
            </w:r>
          </w:p>
        </w:tc>
        <w:tc>
          <w:tcPr>
            <w:tcW w:w="430"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排放口名称</w:t>
            </w:r>
          </w:p>
        </w:tc>
        <w:tc>
          <w:tcPr>
            <w:tcW w:w="740" w:type="pct"/>
            <w:gridSpan w:val="2"/>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排放口地理坐标（</w:t>
            </w:r>
            <w:r>
              <w:rPr>
                <w:rFonts w:hint="default" w:ascii="Times New Roman" w:hAnsi="Times New Roman" w:cs="Times New Roman"/>
                <w:b/>
                <w:color w:val="000000" w:themeColor="text1"/>
                <w:kern w:val="0"/>
                <w:szCs w:val="21"/>
                <w:vertAlign w:val="superscript"/>
                <w14:textFill>
                  <w14:solidFill>
                    <w14:schemeClr w14:val="tx1"/>
                  </w14:solidFill>
                </w14:textFill>
              </w:rPr>
              <w:t>o</w:t>
            </w:r>
            <w:r>
              <w:rPr>
                <w:rFonts w:hint="default" w:ascii="Times New Roman" w:hAnsi="Times New Roman" w:cs="Times New Roman"/>
                <w:b/>
                <w:color w:val="000000" w:themeColor="text1"/>
                <w:kern w:val="0"/>
                <w:szCs w:val="21"/>
                <w14:textFill>
                  <w14:solidFill>
                    <w14:schemeClr w14:val="tx1"/>
                  </w14:solidFill>
                </w14:textFill>
              </w:rPr>
              <w:t>）</w:t>
            </w:r>
          </w:p>
        </w:tc>
        <w:tc>
          <w:tcPr>
            <w:tcW w:w="1026" w:type="pct"/>
            <w:gridSpan w:val="4"/>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排气筒参数</w:t>
            </w:r>
          </w:p>
        </w:tc>
        <w:tc>
          <w:tcPr>
            <w:tcW w:w="1453" w:type="pct"/>
            <w:gridSpan w:val="3"/>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国家或地方污染物排放标准</w:t>
            </w:r>
          </w:p>
        </w:tc>
        <w:tc>
          <w:tcPr>
            <w:tcW w:w="319"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污染物</w:t>
            </w:r>
          </w:p>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名称</w:t>
            </w:r>
          </w:p>
        </w:tc>
        <w:tc>
          <w:tcPr>
            <w:tcW w:w="263"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年许可排放量（t/a）</w:t>
            </w:r>
          </w:p>
        </w:tc>
        <w:tc>
          <w:tcPr>
            <w:tcW w:w="249"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申请特殊排放浓度限值</w:t>
            </w:r>
          </w:p>
        </w:tc>
        <w:tc>
          <w:tcPr>
            <w:tcW w:w="267"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申请特殊时段许可排放量限值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50" w:type="pct"/>
            <w:vMerge w:val="continue"/>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430" w:type="pct"/>
            <w:vMerge w:val="continue"/>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387" w:type="pc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经度</w:t>
            </w:r>
          </w:p>
        </w:tc>
        <w:tc>
          <w:tcPr>
            <w:tcW w:w="352" w:type="pc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纬度</w:t>
            </w:r>
          </w:p>
        </w:tc>
        <w:tc>
          <w:tcPr>
            <w:tcW w:w="232" w:type="pc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高度</w:t>
            </w:r>
          </w:p>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m</w:t>
            </w:r>
          </w:p>
        </w:tc>
        <w:tc>
          <w:tcPr>
            <w:tcW w:w="246" w:type="pc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直径</w:t>
            </w:r>
          </w:p>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m</w:t>
            </w:r>
          </w:p>
        </w:tc>
        <w:tc>
          <w:tcPr>
            <w:tcW w:w="253" w:type="pc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温度</w:t>
            </w:r>
          </w:p>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w:t>
            </w:r>
          </w:p>
        </w:tc>
        <w:tc>
          <w:tcPr>
            <w:tcW w:w="294" w:type="pct"/>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排气量</w:t>
            </w:r>
          </w:p>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Nm</w:t>
            </w:r>
            <w:r>
              <w:rPr>
                <w:rFonts w:hint="default" w:ascii="Times New Roman" w:hAnsi="Times New Roman" w:cs="Times New Roman"/>
                <w:b/>
                <w:color w:val="000000" w:themeColor="text1"/>
                <w:kern w:val="0"/>
                <w:szCs w:val="21"/>
                <w:vertAlign w:val="superscript"/>
                <w14:textFill>
                  <w14:solidFill>
                    <w14:schemeClr w14:val="tx1"/>
                  </w14:solidFill>
                </w14:textFill>
              </w:rPr>
              <w:t>3</w:t>
            </w:r>
            <w:r>
              <w:rPr>
                <w:rFonts w:hint="default" w:ascii="Times New Roman" w:hAnsi="Times New Roman" w:cs="Times New Roman"/>
                <w:b/>
                <w:color w:val="000000" w:themeColor="text1"/>
                <w:kern w:val="0"/>
                <w:szCs w:val="21"/>
                <w14:textFill>
                  <w14:solidFill>
                    <w14:schemeClr w14:val="tx1"/>
                  </w14:solidFill>
                </w14:textFill>
              </w:rPr>
              <w:t>/h</w:t>
            </w:r>
          </w:p>
        </w:tc>
        <w:tc>
          <w:tcPr>
            <w:tcW w:w="699" w:type="pc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标准名称</w:t>
            </w:r>
          </w:p>
        </w:tc>
        <w:tc>
          <w:tcPr>
            <w:tcW w:w="392" w:type="pc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浓度限值（mg/m</w:t>
            </w:r>
            <w:r>
              <w:rPr>
                <w:rFonts w:hint="default" w:ascii="Times New Roman" w:hAnsi="Times New Roman" w:cs="Times New Roman"/>
                <w:b/>
                <w:color w:val="000000" w:themeColor="text1"/>
                <w:kern w:val="0"/>
                <w:szCs w:val="21"/>
                <w:vertAlign w:val="superscript"/>
                <w14:textFill>
                  <w14:solidFill>
                    <w14:schemeClr w14:val="tx1"/>
                  </w14:solidFill>
                </w14:textFill>
              </w:rPr>
              <w:t>3</w:t>
            </w:r>
            <w:r>
              <w:rPr>
                <w:rFonts w:hint="default" w:ascii="Times New Roman" w:hAnsi="Times New Roman" w:cs="Times New Roman"/>
                <w:b/>
                <w:color w:val="000000" w:themeColor="text1"/>
                <w:kern w:val="0"/>
                <w:szCs w:val="21"/>
                <w14:textFill>
                  <w14:solidFill>
                    <w14:schemeClr w14:val="tx1"/>
                  </w14:solidFill>
                </w14:textFill>
              </w:rPr>
              <w:t>）</w:t>
            </w:r>
          </w:p>
        </w:tc>
        <w:tc>
          <w:tcPr>
            <w:tcW w:w="361" w:type="pc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速率限值（kg/h）</w:t>
            </w:r>
          </w:p>
        </w:tc>
        <w:tc>
          <w:tcPr>
            <w:tcW w:w="319" w:type="pct"/>
            <w:vMerge w:val="continue"/>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263" w:type="pct"/>
            <w:vMerge w:val="continue"/>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249" w:type="pct"/>
            <w:vMerge w:val="continue"/>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p>
        </w:tc>
        <w:tc>
          <w:tcPr>
            <w:tcW w:w="267" w:type="pct"/>
            <w:vMerge w:val="continue"/>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250" w:type="pct"/>
            <w:vMerge w:val="restar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DA001</w:t>
            </w:r>
          </w:p>
        </w:tc>
        <w:tc>
          <w:tcPr>
            <w:tcW w:w="430"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zCs w:val="18"/>
                <w:lang w:val="en-US" w:eastAsia="zh-CN"/>
                <w14:textFill>
                  <w14:solidFill>
                    <w14:schemeClr w14:val="tx1"/>
                  </w14:solidFill>
                </w14:textFill>
              </w:rPr>
              <w:t>、压铸</w:t>
            </w:r>
            <w:r>
              <w:rPr>
                <w:rFonts w:hint="default" w:ascii="Times New Roman" w:hAnsi="Times New Roman" w:cs="Times New Roman"/>
                <w:color w:val="000000" w:themeColor="text1"/>
                <w:szCs w:val="18"/>
                <w:lang w:val="en-US" w:eastAsia="zh-CN"/>
                <w14:textFill>
                  <w14:solidFill>
                    <w14:schemeClr w14:val="tx1"/>
                  </w14:solidFill>
                </w14:textFill>
              </w:rPr>
              <w:t>、</w:t>
            </w:r>
            <w:r>
              <w:rPr>
                <w:rFonts w:hint="default" w:ascii="Times New Roman" w:hAnsi="Times New Roman" w:eastAsia="宋体" w:cs="Times New Roman"/>
                <w:color w:val="000000" w:themeColor="text1"/>
                <w:szCs w:val="18"/>
                <w:lang w:val="en-US" w:eastAsia="zh-CN"/>
                <w14:textFill>
                  <w14:solidFill>
                    <w14:schemeClr w14:val="tx1"/>
                  </w14:solidFill>
                </w14:textFill>
              </w:rPr>
              <w:t>脱膜</w:t>
            </w:r>
            <w:r>
              <w:rPr>
                <w:rFonts w:hint="default" w:ascii="Times New Roman" w:hAnsi="Times New Roman" w:cs="Times New Roman"/>
                <w:color w:val="000000" w:themeColor="text1"/>
                <w:kern w:val="0"/>
                <w:szCs w:val="21"/>
                <w14:textFill>
                  <w14:solidFill>
                    <w14:schemeClr w14:val="tx1"/>
                  </w14:solidFill>
                </w14:textFill>
              </w:rPr>
              <w:t>废气排放口</w:t>
            </w:r>
          </w:p>
        </w:tc>
        <w:tc>
          <w:tcPr>
            <w:tcW w:w="387" w:type="pct"/>
            <w:vMerge w:val="restar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116.974856</w:t>
            </w:r>
          </w:p>
        </w:tc>
        <w:tc>
          <w:tcPr>
            <w:tcW w:w="352" w:type="pct"/>
            <w:vMerge w:val="restar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31.492084</w:t>
            </w:r>
          </w:p>
        </w:tc>
        <w:tc>
          <w:tcPr>
            <w:tcW w:w="23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246" w:type="pct"/>
            <w:vMerge w:val="restar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253" w:type="pct"/>
            <w:vMerge w:val="restar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294" w:type="pct"/>
            <w:vMerge w:val="restart"/>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150</w:t>
            </w:r>
            <w:r>
              <w:rPr>
                <w:rFonts w:hint="default" w:ascii="Times New Roman" w:hAnsi="Times New Roman" w:cs="Times New Roman"/>
                <w:color w:val="000000" w:themeColor="text1"/>
                <w:szCs w:val="21"/>
                <w:lang w:val="en-GB"/>
                <w14:textFill>
                  <w14:solidFill>
                    <w14:schemeClr w14:val="tx1"/>
                  </w14:solidFill>
                </w14:textFill>
              </w:rPr>
              <w:t>00</w:t>
            </w:r>
          </w:p>
        </w:tc>
        <w:tc>
          <w:tcPr>
            <w:tcW w:w="699" w:type="pct"/>
            <w:vMerge w:val="restar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《铸造工业大气污染物排放标准》（GB397</w:t>
            </w:r>
            <w:r>
              <w:rPr>
                <w:rFonts w:hint="default" w:ascii="Times New Roman" w:hAnsi="Times New Roman" w:cs="Times New Roman"/>
                <w:color w:val="000000" w:themeColor="text1"/>
                <w:kern w:val="0"/>
                <w:lang w:val="en-US" w:eastAsia="zh-CN"/>
                <w14:textFill>
                  <w14:solidFill>
                    <w14:schemeClr w14:val="tx1"/>
                  </w14:solidFill>
                </w14:textFill>
              </w:rPr>
              <w:t>9</w:t>
            </w:r>
            <w:r>
              <w:rPr>
                <w:rFonts w:hint="default" w:ascii="Times New Roman" w:hAnsi="Times New Roman" w:cs="Times New Roman"/>
                <w:color w:val="000000" w:themeColor="text1"/>
                <w:kern w:val="0"/>
                <w14:textFill>
                  <w14:solidFill>
                    <w14:schemeClr w14:val="tx1"/>
                  </w14:solidFill>
                </w14:textFill>
              </w:rPr>
              <w:t>26-2020）</w:t>
            </w:r>
          </w:p>
        </w:tc>
        <w:tc>
          <w:tcPr>
            <w:tcW w:w="39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361"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319"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颗粒物</w:t>
            </w:r>
          </w:p>
        </w:tc>
        <w:tc>
          <w:tcPr>
            <w:tcW w:w="263"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18"/>
                <w:lang w:val="en-US" w:eastAsia="zh-CN" w:bidi="ar-SA"/>
                <w14:textFill>
                  <w14:solidFill>
                    <w14:schemeClr w14:val="tx1"/>
                  </w14:solidFill>
                </w14:textFill>
              </w:rPr>
              <w:t>0.066</w:t>
            </w:r>
          </w:p>
        </w:tc>
        <w:tc>
          <w:tcPr>
            <w:tcW w:w="249"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267"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250"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30" w:type="pct"/>
            <w:vMerge w:val="continue"/>
            <w:vAlign w:val="center"/>
          </w:tcPr>
          <w:p>
            <w:pPr>
              <w:widowControl/>
              <w:snapToGrid w:val="0"/>
              <w:jc w:val="center"/>
              <w:rPr>
                <w:rFonts w:hint="default" w:ascii="Times New Roman" w:hAnsi="Times New Roman" w:cs="Times New Roman"/>
                <w:bCs/>
                <w:color w:val="000000" w:themeColor="text1"/>
                <w14:textFill>
                  <w14:solidFill>
                    <w14:schemeClr w14:val="tx1"/>
                  </w14:solidFill>
                </w14:textFill>
              </w:rPr>
            </w:pPr>
          </w:p>
        </w:tc>
        <w:tc>
          <w:tcPr>
            <w:tcW w:w="387" w:type="pct"/>
            <w:vMerge w:val="continue"/>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352" w:type="pct"/>
            <w:vMerge w:val="continue"/>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232"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246"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253"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294" w:type="pct"/>
            <w:vMerge w:val="continue"/>
            <w:vAlign w:val="center"/>
          </w:tcPr>
          <w:p>
            <w:pPr>
              <w:overflowPunct w:val="0"/>
              <w:adjustRightInd w:val="0"/>
              <w:snapToGrid w:val="0"/>
              <w:ind w:firstLine="4"/>
              <w:jc w:val="center"/>
              <w:textAlignment w:val="baseline"/>
              <w:rPr>
                <w:rFonts w:hint="default" w:ascii="Times New Roman" w:hAnsi="Times New Roman" w:cs="Times New Roman"/>
                <w:b/>
                <w:color w:val="000000" w:themeColor="text1"/>
                <w:kern w:val="0"/>
                <w:szCs w:val="21"/>
                <w14:textFill>
                  <w14:solidFill>
                    <w14:schemeClr w14:val="tx1"/>
                  </w14:solidFill>
                </w14:textFill>
              </w:rPr>
            </w:pPr>
          </w:p>
        </w:tc>
        <w:tc>
          <w:tcPr>
            <w:tcW w:w="699" w:type="pct"/>
            <w:vMerge w:val="continue"/>
            <w:vAlign w:val="center"/>
          </w:tcPr>
          <w:p>
            <w:pPr>
              <w:widowControl/>
              <w:snapToGrid w:val="0"/>
              <w:jc w:val="center"/>
              <w:rPr>
                <w:rFonts w:hint="default" w:ascii="Times New Roman" w:hAnsi="Times New Roman" w:cs="Times New Roman"/>
                <w:color w:val="000000" w:themeColor="text1"/>
                <w:kern w:val="0"/>
                <w14:textFill>
                  <w14:solidFill>
                    <w14:schemeClr w14:val="tx1"/>
                  </w14:solidFill>
                </w14:textFill>
              </w:rPr>
            </w:pPr>
          </w:p>
        </w:tc>
        <w:tc>
          <w:tcPr>
            <w:tcW w:w="39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361"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319"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63" w:type="pct"/>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0.041</w:t>
            </w:r>
          </w:p>
        </w:tc>
        <w:tc>
          <w:tcPr>
            <w:tcW w:w="249"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267"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50" w:type="pc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DA002</w:t>
            </w:r>
          </w:p>
        </w:tc>
        <w:tc>
          <w:tcPr>
            <w:tcW w:w="430" w:type="pct"/>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18"/>
                <w:lang w:eastAsia="zh-CN"/>
                <w14:textFill>
                  <w14:solidFill>
                    <w14:schemeClr w14:val="tx1"/>
                  </w14:solidFill>
                </w14:textFill>
              </w:rPr>
              <w:t>抛丸、</w:t>
            </w:r>
            <w:r>
              <w:rPr>
                <w:rFonts w:hint="default" w:ascii="Times New Roman" w:hAnsi="Times New Roman" w:cs="Times New Roman"/>
                <w:color w:val="000000" w:themeColor="text1"/>
                <w:szCs w:val="21"/>
                <w:lang w:val="en-US" w:eastAsia="zh-CN"/>
                <w14:textFill>
                  <w14:solidFill>
                    <w14:schemeClr w14:val="tx1"/>
                  </w14:solidFill>
                </w14:textFill>
              </w:rPr>
              <w:t>抛光</w:t>
            </w:r>
            <w:r>
              <w:rPr>
                <w:rFonts w:hint="default" w:ascii="Times New Roman" w:hAnsi="Times New Roman" w:cs="Times New Roman"/>
                <w:color w:val="000000" w:themeColor="text1"/>
                <w:kern w:val="0"/>
                <w:szCs w:val="21"/>
                <w14:textFill>
                  <w14:solidFill>
                    <w14:schemeClr w14:val="tx1"/>
                  </w14:solidFill>
                </w14:textFill>
              </w:rPr>
              <w:t>废气排放口</w:t>
            </w:r>
          </w:p>
        </w:tc>
        <w:tc>
          <w:tcPr>
            <w:tcW w:w="387" w:type="pct"/>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116.975108</w:t>
            </w:r>
          </w:p>
        </w:tc>
        <w:tc>
          <w:tcPr>
            <w:tcW w:w="352" w:type="pct"/>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31.491929</w:t>
            </w:r>
          </w:p>
        </w:tc>
        <w:tc>
          <w:tcPr>
            <w:tcW w:w="232"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246"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25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294" w:type="pct"/>
            <w:vAlign w:val="center"/>
          </w:tcPr>
          <w:p>
            <w:pPr>
              <w:widowControl/>
              <w:jc w:val="center"/>
              <w:rPr>
                <w:rFonts w:hint="default" w:ascii="Times New Roman" w:hAnsi="Times New Roman" w:cs="Times New Roman"/>
                <w:color w:val="000000" w:themeColor="text1"/>
                <w:szCs w:val="21"/>
                <w:lang w:val="en-GB"/>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lang w:val="en-GB"/>
                <w14:textFill>
                  <w14:solidFill>
                    <w14:schemeClr w14:val="tx1"/>
                  </w14:solidFill>
                </w14:textFill>
              </w:rPr>
              <w:t>000</w:t>
            </w:r>
          </w:p>
        </w:tc>
        <w:tc>
          <w:tcPr>
            <w:tcW w:w="699" w:type="pct"/>
            <w:vMerge w:val="continue"/>
            <w:vAlign w:val="center"/>
          </w:tcPr>
          <w:p>
            <w:pPr>
              <w:widowControl/>
              <w:snapToGrid w:val="0"/>
              <w:jc w:val="center"/>
              <w:rPr>
                <w:rFonts w:hint="default" w:ascii="Times New Roman" w:hAnsi="Times New Roman" w:cs="Times New Roman"/>
                <w:b/>
                <w:color w:val="000000" w:themeColor="text1"/>
                <w:kern w:val="0"/>
                <w:szCs w:val="21"/>
                <w14:textFill>
                  <w14:solidFill>
                    <w14:schemeClr w14:val="tx1"/>
                  </w14:solidFill>
                </w14:textFill>
              </w:rPr>
            </w:pPr>
          </w:p>
        </w:tc>
        <w:tc>
          <w:tcPr>
            <w:tcW w:w="392"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30</w:t>
            </w:r>
          </w:p>
        </w:tc>
        <w:tc>
          <w:tcPr>
            <w:tcW w:w="361" w:type="pct"/>
            <w:vAlign w:val="center"/>
          </w:tcPr>
          <w:p>
            <w:pPr>
              <w:widowControl/>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319" w:type="pct"/>
            <w:vAlign w:val="center"/>
          </w:tcPr>
          <w:p>
            <w:pPr>
              <w:keepNext w:val="0"/>
              <w:keepLines w:val="0"/>
              <w:pageBreakBefore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263" w:type="pc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0.061</w:t>
            </w:r>
          </w:p>
        </w:tc>
        <w:tc>
          <w:tcPr>
            <w:tcW w:w="249"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267"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50" w:type="pct"/>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DA003</w:t>
            </w:r>
          </w:p>
        </w:tc>
        <w:tc>
          <w:tcPr>
            <w:tcW w:w="430" w:type="pct"/>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危废库排放口</w:t>
            </w:r>
          </w:p>
        </w:tc>
        <w:tc>
          <w:tcPr>
            <w:tcW w:w="387" w:type="pc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116.975165</w:t>
            </w:r>
          </w:p>
        </w:tc>
        <w:tc>
          <w:tcPr>
            <w:tcW w:w="352" w:type="pc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31.491911</w:t>
            </w:r>
          </w:p>
        </w:tc>
        <w:tc>
          <w:tcPr>
            <w:tcW w:w="232"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246"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0.2</w:t>
            </w:r>
          </w:p>
        </w:tc>
        <w:tc>
          <w:tcPr>
            <w:tcW w:w="253"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294" w:type="pc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w:t>
            </w:r>
            <w:r>
              <w:rPr>
                <w:rFonts w:hint="default" w:ascii="Times New Roman" w:hAnsi="Times New Roman" w:eastAsia="宋体" w:cs="Times New Roman"/>
                <w:color w:val="000000" w:themeColor="text1"/>
                <w:szCs w:val="18"/>
                <w:lang w:val="en-US" w:eastAsia="zh-CN"/>
                <w14:textFill>
                  <w14:solidFill>
                    <w14:schemeClr w14:val="tx1"/>
                  </w14:solidFill>
                </w14:textFill>
              </w:rPr>
              <w:t>000</w:t>
            </w:r>
          </w:p>
        </w:tc>
        <w:tc>
          <w:tcPr>
            <w:tcW w:w="699" w:type="pct"/>
            <w:vMerge w:val="continue"/>
            <w:vAlign w:val="center"/>
          </w:tcPr>
          <w:p>
            <w:pPr>
              <w:widowControl/>
              <w:snapToGrid w:val="0"/>
              <w:jc w:val="center"/>
              <w:rPr>
                <w:rFonts w:hint="default" w:ascii="Times New Roman" w:hAnsi="Times New Roman" w:cs="Times New Roman"/>
                <w:color w:val="000000" w:themeColor="text1"/>
                <w:kern w:val="0"/>
                <w14:textFill>
                  <w14:solidFill>
                    <w14:schemeClr w14:val="tx1"/>
                  </w14:solidFill>
                </w14:textFill>
              </w:rPr>
            </w:pPr>
          </w:p>
        </w:tc>
        <w:tc>
          <w:tcPr>
            <w:tcW w:w="392" w:type="pct"/>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w:t>
            </w:r>
          </w:p>
        </w:tc>
        <w:tc>
          <w:tcPr>
            <w:tcW w:w="361"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319" w:type="pct"/>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6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249"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267"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50" w:type="pct"/>
            <w:vMerge w:val="restart"/>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DA004</w:t>
            </w:r>
          </w:p>
        </w:tc>
        <w:tc>
          <w:tcPr>
            <w:tcW w:w="430" w:type="pct"/>
            <w:vMerge w:val="restart"/>
            <w:vAlign w:val="center"/>
          </w:tcPr>
          <w:p>
            <w:pPr>
              <w:jc w:val="center"/>
              <w:rPr>
                <w:rFonts w:hint="default" w:ascii="Times New Roman" w:hAnsi="Times New Roman" w:cs="Times New Roman"/>
                <w:bCs/>
                <w:color w:val="000000" w:themeColor="text1"/>
                <w:szCs w:val="18"/>
                <w:lang w:eastAsia="zh-CN"/>
                <w14:textFill>
                  <w14:solidFill>
                    <w14:schemeClr w14:val="tx1"/>
                  </w14:solidFill>
                </w14:textFill>
              </w:rPr>
            </w:pPr>
            <w:r>
              <w:rPr>
                <w:rFonts w:hint="default" w:ascii="Times New Roman" w:hAnsi="Times New Roman" w:cs="Times New Roman"/>
                <w:bCs/>
                <w:color w:val="000000" w:themeColor="text1"/>
                <w:szCs w:val="18"/>
                <w:lang w:val="en-US" w:eastAsia="zh-CN"/>
                <w14:textFill>
                  <w14:solidFill>
                    <w14:schemeClr w14:val="tx1"/>
                  </w14:solidFill>
                </w14:textFill>
              </w:rPr>
              <w:t>天然气燃烧</w:t>
            </w:r>
            <w:r>
              <w:rPr>
                <w:rFonts w:hint="default" w:ascii="Times New Roman" w:hAnsi="Times New Roman" w:cs="Times New Roman"/>
                <w:bCs/>
                <w:color w:val="000000" w:themeColor="text1"/>
                <w:szCs w:val="18"/>
                <w:lang w:eastAsia="zh-CN"/>
                <w14:textFill>
                  <w14:solidFill>
                    <w14:schemeClr w14:val="tx1"/>
                  </w14:solidFill>
                </w14:textFill>
              </w:rPr>
              <w:t>排放口</w:t>
            </w:r>
          </w:p>
        </w:tc>
        <w:tc>
          <w:tcPr>
            <w:tcW w:w="387" w:type="pct"/>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116.975097</w:t>
            </w:r>
          </w:p>
        </w:tc>
        <w:tc>
          <w:tcPr>
            <w:tcW w:w="352" w:type="pct"/>
            <w:vMerge w:val="restart"/>
            <w:vAlign w:val="center"/>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bCs/>
                <w:color w:val="000000" w:themeColor="text1"/>
                <w:szCs w:val="18"/>
                <w14:textFill>
                  <w14:solidFill>
                    <w14:schemeClr w14:val="tx1"/>
                  </w14:solidFill>
                </w14:textFill>
              </w:rPr>
              <w:t>31.491940</w:t>
            </w:r>
          </w:p>
        </w:tc>
        <w:tc>
          <w:tcPr>
            <w:tcW w:w="232" w:type="pct"/>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15</w:t>
            </w:r>
          </w:p>
        </w:tc>
        <w:tc>
          <w:tcPr>
            <w:tcW w:w="246" w:type="pct"/>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0.3</w:t>
            </w:r>
          </w:p>
        </w:tc>
        <w:tc>
          <w:tcPr>
            <w:tcW w:w="253" w:type="pct"/>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18"/>
                <w:lang w:val="en-US" w:eastAsia="zh-CN"/>
                <w14:textFill>
                  <w14:solidFill>
                    <w14:schemeClr w14:val="tx1"/>
                  </w14:solidFill>
                </w14:textFill>
              </w:rPr>
              <w:t>25</w:t>
            </w:r>
          </w:p>
        </w:tc>
        <w:tc>
          <w:tcPr>
            <w:tcW w:w="294" w:type="pct"/>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1695</w:t>
            </w:r>
          </w:p>
        </w:tc>
        <w:tc>
          <w:tcPr>
            <w:tcW w:w="699" w:type="pct"/>
            <w:vMerge w:val="continue"/>
            <w:vAlign w:val="center"/>
          </w:tcPr>
          <w:p>
            <w:pPr>
              <w:widowControl/>
              <w:snapToGrid w:val="0"/>
              <w:jc w:val="center"/>
              <w:rPr>
                <w:rFonts w:hint="default" w:ascii="Times New Roman" w:hAnsi="Times New Roman" w:cs="Times New Roman"/>
                <w:color w:val="000000" w:themeColor="text1"/>
                <w:kern w:val="0"/>
                <w14:textFill>
                  <w14:solidFill>
                    <w14:schemeClr w14:val="tx1"/>
                  </w14:solidFill>
                </w14:textFill>
              </w:rPr>
            </w:pPr>
          </w:p>
        </w:tc>
        <w:tc>
          <w:tcPr>
            <w:tcW w:w="392" w:type="pct"/>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30</w:t>
            </w:r>
          </w:p>
        </w:tc>
        <w:tc>
          <w:tcPr>
            <w:tcW w:w="361"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319" w:type="pct"/>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26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w:t>
            </w:r>
          </w:p>
        </w:tc>
        <w:tc>
          <w:tcPr>
            <w:tcW w:w="249"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267" w:type="pct"/>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50" w:type="pct"/>
            <w:vMerge w:val="continue"/>
          </w:tcPr>
          <w:p>
            <w:pPr>
              <w:jc w:val="center"/>
              <w:rPr>
                <w:rFonts w:hint="default" w:ascii="Times New Roman" w:hAnsi="Times New Roman" w:cs="Times New Roman"/>
                <w:color w:val="000000" w:themeColor="text1"/>
                <w:kern w:val="0"/>
                <w:szCs w:val="21"/>
                <w14:textFill>
                  <w14:solidFill>
                    <w14:schemeClr w14:val="tx1"/>
                  </w14:solidFill>
                </w14:textFill>
              </w:rPr>
            </w:pPr>
          </w:p>
        </w:tc>
        <w:tc>
          <w:tcPr>
            <w:tcW w:w="430" w:type="pct"/>
            <w:vMerge w:val="continue"/>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387" w:type="pct"/>
            <w:vMerge w:val="continue"/>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p>
        </w:tc>
        <w:tc>
          <w:tcPr>
            <w:tcW w:w="352" w:type="pct"/>
            <w:vMerge w:val="continue"/>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p>
        </w:tc>
        <w:tc>
          <w:tcPr>
            <w:tcW w:w="232"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246"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253"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294"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699" w:type="pct"/>
            <w:vMerge w:val="continue"/>
          </w:tcPr>
          <w:p>
            <w:pPr>
              <w:widowControl/>
              <w:snapToGrid w:val="0"/>
              <w:jc w:val="center"/>
              <w:rPr>
                <w:rFonts w:hint="default" w:ascii="Times New Roman" w:hAnsi="Times New Roman" w:cs="Times New Roman"/>
                <w:color w:val="000000" w:themeColor="text1"/>
                <w:kern w:val="0"/>
                <w14:textFill>
                  <w14:solidFill>
                    <w14:schemeClr w14:val="tx1"/>
                  </w14:solidFill>
                </w14:textFill>
              </w:rPr>
            </w:pPr>
          </w:p>
        </w:tc>
        <w:tc>
          <w:tcPr>
            <w:tcW w:w="0" w:type="auto"/>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100</w:t>
            </w:r>
          </w:p>
        </w:tc>
        <w:tc>
          <w:tcPr>
            <w:tcW w:w="0" w:type="auto"/>
            <w:vAlign w:val="center"/>
          </w:tcPr>
          <w:p>
            <w:pPr>
              <w:widowControl/>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0" w:type="auto"/>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0.097</w:t>
            </w:r>
          </w:p>
        </w:tc>
        <w:tc>
          <w:tcPr>
            <w:tcW w:w="672" w:type="dxa"/>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721" w:type="dxa"/>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50" w:type="pct"/>
            <w:vMerge w:val="continue"/>
          </w:tcPr>
          <w:p>
            <w:pPr>
              <w:jc w:val="center"/>
              <w:rPr>
                <w:rFonts w:hint="default" w:ascii="Times New Roman" w:hAnsi="Times New Roman" w:cs="Times New Roman"/>
                <w:color w:val="000000" w:themeColor="text1"/>
                <w:kern w:val="0"/>
                <w:szCs w:val="21"/>
                <w14:textFill>
                  <w14:solidFill>
                    <w14:schemeClr w14:val="tx1"/>
                  </w14:solidFill>
                </w14:textFill>
              </w:rPr>
            </w:pPr>
          </w:p>
        </w:tc>
        <w:tc>
          <w:tcPr>
            <w:tcW w:w="430" w:type="pct"/>
            <w:vMerge w:val="continue"/>
          </w:tcPr>
          <w:p>
            <w:pPr>
              <w:jc w:val="center"/>
              <w:rPr>
                <w:rFonts w:hint="default" w:ascii="Times New Roman" w:hAnsi="Times New Roman" w:cs="Times New Roman"/>
                <w:bCs/>
                <w:color w:val="000000" w:themeColor="text1"/>
                <w:szCs w:val="18"/>
                <w:lang w:eastAsia="zh-CN"/>
                <w14:textFill>
                  <w14:solidFill>
                    <w14:schemeClr w14:val="tx1"/>
                  </w14:solidFill>
                </w14:textFill>
              </w:rPr>
            </w:pPr>
          </w:p>
        </w:tc>
        <w:tc>
          <w:tcPr>
            <w:tcW w:w="387" w:type="pct"/>
            <w:vMerge w:val="continue"/>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p>
        </w:tc>
        <w:tc>
          <w:tcPr>
            <w:tcW w:w="352" w:type="pct"/>
            <w:vMerge w:val="continue"/>
          </w:tcPr>
          <w:p>
            <w:pPr>
              <w:jc w:val="center"/>
              <w:rPr>
                <w:rFonts w:hint="default" w:ascii="Times New Roman" w:hAnsi="Times New Roman" w:eastAsia="宋体" w:cs="Times New Roman"/>
                <w:bCs/>
                <w:color w:val="000000" w:themeColor="text1"/>
                <w:kern w:val="2"/>
                <w:sz w:val="21"/>
                <w:szCs w:val="18"/>
                <w:lang w:val="en-US" w:eastAsia="zh-CN" w:bidi="ar-SA"/>
                <w14:textFill>
                  <w14:solidFill>
                    <w14:schemeClr w14:val="tx1"/>
                  </w14:solidFill>
                </w14:textFill>
              </w:rPr>
            </w:pPr>
          </w:p>
        </w:tc>
        <w:tc>
          <w:tcPr>
            <w:tcW w:w="232"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246"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253"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294" w:type="pct"/>
            <w:vMerge w:val="continue"/>
          </w:tcPr>
          <w:p>
            <w:pPr>
              <w:widowControl/>
              <w:jc w:val="center"/>
              <w:textAlignment w:val="center"/>
              <w:rPr>
                <w:rFonts w:hint="default" w:ascii="Times New Roman" w:hAnsi="Times New Roman" w:eastAsia="宋体" w:cs="Times New Roman"/>
                <w:color w:val="000000" w:themeColor="text1"/>
                <w:kern w:val="2"/>
                <w:sz w:val="21"/>
                <w:szCs w:val="18"/>
                <w:lang w:val="en-US" w:eastAsia="zh-CN" w:bidi="ar-SA"/>
                <w14:textFill>
                  <w14:solidFill>
                    <w14:schemeClr w14:val="tx1"/>
                  </w14:solidFill>
                </w14:textFill>
              </w:rPr>
            </w:pPr>
          </w:p>
        </w:tc>
        <w:tc>
          <w:tcPr>
            <w:tcW w:w="699" w:type="pct"/>
            <w:vMerge w:val="continue"/>
          </w:tcPr>
          <w:p>
            <w:pPr>
              <w:widowControl/>
              <w:snapToGrid w:val="0"/>
              <w:jc w:val="center"/>
              <w:rPr>
                <w:rFonts w:hint="default" w:ascii="Times New Roman" w:hAnsi="Times New Roman" w:cs="Times New Roman"/>
                <w:color w:val="000000" w:themeColor="text1"/>
                <w:kern w:val="0"/>
                <w14:textFill>
                  <w14:solidFill>
                    <w14:schemeClr w14:val="tx1"/>
                  </w14:solidFill>
                </w14:textFill>
              </w:rPr>
            </w:pPr>
          </w:p>
        </w:tc>
        <w:tc>
          <w:tcPr>
            <w:tcW w:w="0" w:type="auto"/>
            <w:vAlign w:val="center"/>
          </w:tcPr>
          <w:p>
            <w:pPr>
              <w:pStyle w:val="96"/>
              <w:keepNext w:val="0"/>
              <w:keepLines w:val="0"/>
              <w:pageBreakBefore w:val="0"/>
              <w:kinsoku/>
              <w:wordWrap/>
              <w:overflowPunct/>
              <w:topLinePunct w:val="0"/>
              <w:bidi w:val="0"/>
              <w:spacing w:line="240" w:lineRule="auto"/>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400</w:t>
            </w:r>
          </w:p>
        </w:tc>
        <w:tc>
          <w:tcPr>
            <w:tcW w:w="0" w:type="auto"/>
            <w:vAlign w:val="top"/>
          </w:tcPr>
          <w:p>
            <w:pPr>
              <w:widowControl/>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0" w:type="auto"/>
            <w:vAlign w:val="center"/>
          </w:tcPr>
          <w:p>
            <w:pPr>
              <w:keepNext w:val="0"/>
              <w:keepLines w:val="0"/>
              <w:pageBreakBefore w:val="0"/>
              <w:kinsoku/>
              <w:wordWrap/>
              <w:overflowPunct/>
              <w:topLinePunct w:val="0"/>
              <w:bidi w:val="0"/>
              <w:adjustRightInd w:val="0"/>
              <w:snapToGrid w:val="0"/>
              <w:spacing w:line="240" w:lineRule="auto"/>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X</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0.455</w:t>
            </w:r>
          </w:p>
        </w:tc>
        <w:tc>
          <w:tcPr>
            <w:tcW w:w="672" w:type="dxa"/>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721" w:type="dxa"/>
            <w:vAlign w:val="center"/>
          </w:tcPr>
          <w:p>
            <w:pPr>
              <w:widowControl/>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bl>
    <w:p>
      <w:pPr>
        <w:widowControl/>
        <w:spacing w:before="100" w:beforeAutospacing="1"/>
        <w:ind w:left="-105" w:leftChars="-5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b/>
          <w:color w:val="000000" w:themeColor="text1"/>
          <w:sz w:val="24"/>
          <w14:textFill>
            <w14:solidFill>
              <w14:schemeClr w14:val="tx1"/>
            </w14:solidFill>
          </w14:textFill>
        </w:rPr>
        <w:t>表6  建设项目废水类别、污染物及污染治理设施信息表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054"/>
        <w:gridCol w:w="1368"/>
        <w:gridCol w:w="1371"/>
        <w:gridCol w:w="904"/>
        <w:gridCol w:w="1237"/>
        <w:gridCol w:w="1248"/>
        <w:gridCol w:w="2649"/>
        <w:gridCol w:w="117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429" w:type="pct"/>
            <w:vMerge w:val="restart"/>
            <w:vAlign w:val="center"/>
          </w:tcPr>
          <w:p>
            <w:pPr>
              <w:adjustRightInd w:val="0"/>
              <w:snapToGrid w:val="0"/>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废水类别</w:t>
            </w:r>
          </w:p>
        </w:tc>
        <w:tc>
          <w:tcPr>
            <w:tcW w:w="1389" w:type="pct"/>
            <w:gridSpan w:val="3"/>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污染防治设施</w:t>
            </w:r>
          </w:p>
        </w:tc>
        <w:tc>
          <w:tcPr>
            <w:tcW w:w="331" w:type="pct"/>
            <w:vMerge w:val="restar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排放去向</w:t>
            </w:r>
          </w:p>
        </w:tc>
        <w:tc>
          <w:tcPr>
            <w:tcW w:w="453" w:type="pct"/>
            <w:vMerge w:val="restar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排放口编号</w:t>
            </w:r>
          </w:p>
        </w:tc>
        <w:tc>
          <w:tcPr>
            <w:tcW w:w="457" w:type="pct"/>
            <w:vMerge w:val="restar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排放口类型</w:t>
            </w:r>
          </w:p>
        </w:tc>
        <w:tc>
          <w:tcPr>
            <w:tcW w:w="1939" w:type="pct"/>
            <w:gridSpan w:val="3"/>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blHeader/>
          <w:jc w:val="center"/>
        </w:trPr>
        <w:tc>
          <w:tcPr>
            <w:tcW w:w="42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污染治理设施编号</w:t>
            </w:r>
          </w:p>
        </w:tc>
        <w:tc>
          <w:tcPr>
            <w:tcW w:w="501" w:type="pct"/>
            <w:vAlign w:val="center"/>
          </w:tcPr>
          <w:p>
            <w:pPr>
              <w:adjustRightInd w:val="0"/>
              <w:snapToGrid w:val="0"/>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污染治理设施名称</w:t>
            </w:r>
          </w:p>
        </w:tc>
        <w:tc>
          <w:tcPr>
            <w:tcW w:w="502"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污染治理设施工艺</w:t>
            </w:r>
          </w:p>
        </w:tc>
        <w:tc>
          <w:tcPr>
            <w:tcW w:w="331"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标准名称</w:t>
            </w:r>
          </w:p>
        </w:tc>
        <w:tc>
          <w:tcPr>
            <w:tcW w:w="428"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污染物种类</w:t>
            </w:r>
          </w:p>
        </w:tc>
        <w:tc>
          <w:tcPr>
            <w:tcW w:w="539"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blHeader/>
          <w:jc w:val="center"/>
        </w:trPr>
        <w:tc>
          <w:tcPr>
            <w:tcW w:w="429"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p>
        </w:tc>
        <w:tc>
          <w:tcPr>
            <w:tcW w:w="386" w:type="pct"/>
            <w:vMerge w:val="restar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TW001</w:t>
            </w:r>
          </w:p>
        </w:tc>
        <w:tc>
          <w:tcPr>
            <w:tcW w:w="501" w:type="pct"/>
            <w:vMerge w:val="restar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隔油池、化粪池</w:t>
            </w:r>
          </w:p>
        </w:tc>
        <w:tc>
          <w:tcPr>
            <w:tcW w:w="502"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隔油池、化粪池</w:t>
            </w:r>
          </w:p>
        </w:tc>
        <w:tc>
          <w:tcPr>
            <w:tcW w:w="331"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进入城市污水处理厂</w:t>
            </w:r>
          </w:p>
        </w:tc>
        <w:tc>
          <w:tcPr>
            <w:tcW w:w="453"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DW001</w:t>
            </w:r>
          </w:p>
        </w:tc>
        <w:tc>
          <w:tcPr>
            <w:tcW w:w="457" w:type="pct"/>
            <w:vMerge w:val="restar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企业总排口</w:t>
            </w:r>
          </w:p>
        </w:tc>
        <w:tc>
          <w:tcPr>
            <w:tcW w:w="970" w:type="pct"/>
            <w:vMerge w:val="restar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《污水综合排放标准》（GB8978-1996）表4三级标准</w:t>
            </w: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539"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blHeader/>
          <w:jc w:val="center"/>
        </w:trPr>
        <w:tc>
          <w:tcPr>
            <w:tcW w:w="429"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1"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2"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31"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539"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29"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1"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2"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31"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539"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tc>
          <w:tcPr>
            <w:tcW w:w="429"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1"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2"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31"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氨氮</w:t>
            </w:r>
          </w:p>
        </w:tc>
        <w:tc>
          <w:tcPr>
            <w:tcW w:w="539"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429"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1"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2"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31"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动植物油</w:t>
            </w:r>
          </w:p>
        </w:tc>
        <w:tc>
          <w:tcPr>
            <w:tcW w:w="539"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429"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1"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2"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31"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总磷</w:t>
            </w:r>
          </w:p>
        </w:tc>
        <w:tc>
          <w:tcPr>
            <w:tcW w:w="539"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blHeader/>
          <w:jc w:val="center"/>
        </w:trPr>
        <w:tc>
          <w:tcPr>
            <w:tcW w:w="429"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86"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1"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02"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31"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970"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8"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539"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400</w:t>
            </w:r>
          </w:p>
        </w:tc>
      </w:tr>
    </w:tbl>
    <w:p>
      <w:pPr>
        <w:widowControl/>
        <w:spacing w:before="100" w:beforeAutospacing="1"/>
        <w:ind w:left="-105" w:leftChars="-5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b/>
      </w:r>
    </w:p>
    <w:p>
      <w:pPr>
        <w:widowControl/>
        <w:spacing w:before="100" w:beforeAutospacing="1"/>
        <w:ind w:left="-105" w:leftChars="-5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表7  建设项目废水间接排放口基本情况表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128"/>
        <w:gridCol w:w="1240"/>
        <w:gridCol w:w="1254"/>
        <w:gridCol w:w="1524"/>
        <w:gridCol w:w="1879"/>
        <w:gridCol w:w="844"/>
        <w:gridCol w:w="1155"/>
        <w:gridCol w:w="1109"/>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484" w:type="pct"/>
            <w:vMerge w:val="restart"/>
            <w:vAlign w:val="center"/>
          </w:tcPr>
          <w:p>
            <w:pPr>
              <w:adjustRightInd w:val="0"/>
              <w:snapToGrid w:val="0"/>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排放口编号</w:t>
            </w:r>
          </w:p>
        </w:tc>
        <w:tc>
          <w:tcPr>
            <w:tcW w:w="413" w:type="pct"/>
            <w:vMerge w:val="restart"/>
            <w:vAlign w:val="center"/>
          </w:tcPr>
          <w:p>
            <w:pPr>
              <w:adjustRightInd w:val="0"/>
              <w:snapToGrid w:val="0"/>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排放口名称</w:t>
            </w:r>
          </w:p>
        </w:tc>
        <w:tc>
          <w:tcPr>
            <w:tcW w:w="913" w:type="pct"/>
            <w:gridSpan w:val="2"/>
            <w:vAlign w:val="center"/>
          </w:tcPr>
          <w:p>
            <w:pPr>
              <w:adjustRightInd w:val="0"/>
              <w:snapToGrid w:val="0"/>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排放口地理坐标</w:t>
            </w:r>
            <w:r>
              <w:rPr>
                <w:rFonts w:hint="default" w:ascii="Times New Roman" w:hAnsi="Times New Roman" w:cs="Times New Roman"/>
                <w:b/>
                <w:color w:val="000000" w:themeColor="text1"/>
                <w:kern w:val="0"/>
                <w:szCs w:val="21"/>
                <w14:textFill>
                  <w14:solidFill>
                    <w14:schemeClr w14:val="tx1"/>
                  </w14:solidFill>
                </w14:textFill>
              </w:rPr>
              <w:t>（</w:t>
            </w:r>
            <w:r>
              <w:rPr>
                <w:rFonts w:hint="default" w:ascii="Times New Roman" w:hAnsi="Times New Roman" w:cs="Times New Roman"/>
                <w:b/>
                <w:color w:val="000000" w:themeColor="text1"/>
                <w:kern w:val="0"/>
                <w:szCs w:val="21"/>
                <w:vertAlign w:val="superscript"/>
                <w14:textFill>
                  <w14:solidFill>
                    <w14:schemeClr w14:val="tx1"/>
                  </w14:solidFill>
                </w14:textFill>
              </w:rPr>
              <w:t>o</w:t>
            </w:r>
            <w:r>
              <w:rPr>
                <w:rFonts w:hint="default" w:ascii="Times New Roman" w:hAnsi="Times New Roman" w:cs="Times New Roman"/>
                <w:b/>
                <w:color w:val="000000" w:themeColor="text1"/>
                <w:kern w:val="0"/>
                <w:szCs w:val="21"/>
                <w14:textFill>
                  <w14:solidFill>
                    <w14:schemeClr w14:val="tx1"/>
                  </w14:solidFill>
                </w14:textFill>
              </w:rPr>
              <w:t>）</w:t>
            </w:r>
          </w:p>
        </w:tc>
        <w:tc>
          <w:tcPr>
            <w:tcW w:w="558" w:type="pct"/>
            <w:vMerge w:val="restar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排放去向</w:t>
            </w:r>
          </w:p>
        </w:tc>
        <w:tc>
          <w:tcPr>
            <w:tcW w:w="688" w:type="pct"/>
            <w:vMerge w:val="restar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排放规律</w:t>
            </w:r>
          </w:p>
        </w:tc>
        <w:tc>
          <w:tcPr>
            <w:tcW w:w="309" w:type="pct"/>
            <w:vMerge w:val="restar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间歇排</w:t>
            </w:r>
          </w:p>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放时段</w:t>
            </w:r>
          </w:p>
        </w:tc>
        <w:tc>
          <w:tcPr>
            <w:tcW w:w="1633" w:type="pct"/>
            <w:gridSpan w:val="3"/>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484"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经度</w:t>
            </w:r>
          </w:p>
        </w:tc>
        <w:tc>
          <w:tcPr>
            <w:tcW w:w="458" w:type="pct"/>
            <w:vAlign w:val="center"/>
          </w:tcPr>
          <w:p>
            <w:pPr>
              <w:adjustRightInd w:val="0"/>
              <w:snapToGrid w:val="0"/>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纬度</w:t>
            </w:r>
          </w:p>
        </w:tc>
        <w:tc>
          <w:tcPr>
            <w:tcW w:w="558"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406"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污染物种类</w:t>
            </w:r>
          </w:p>
        </w:tc>
        <w:tc>
          <w:tcPr>
            <w:tcW w:w="803" w:type="pct"/>
            <w:vAlign w:val="center"/>
          </w:tcPr>
          <w:p>
            <w:pPr>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blHeader/>
          <w:jc w:val="center"/>
        </w:trPr>
        <w:tc>
          <w:tcPr>
            <w:tcW w:w="484"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DW001</w:t>
            </w:r>
          </w:p>
        </w:tc>
        <w:tc>
          <w:tcPr>
            <w:tcW w:w="413"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总排口</w:t>
            </w:r>
          </w:p>
        </w:tc>
        <w:tc>
          <w:tcPr>
            <w:tcW w:w="454" w:type="pct"/>
            <w:vMerge w:val="restar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116.97561877</w:t>
            </w:r>
          </w:p>
        </w:tc>
        <w:tc>
          <w:tcPr>
            <w:tcW w:w="458" w:type="pct"/>
            <w:vMerge w:val="restar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31.49114780</w:t>
            </w:r>
          </w:p>
        </w:tc>
        <w:tc>
          <w:tcPr>
            <w:tcW w:w="558" w:type="pct"/>
            <w:vMerge w:val="restart"/>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进入城市污水处理厂</w:t>
            </w:r>
          </w:p>
        </w:tc>
        <w:tc>
          <w:tcPr>
            <w:tcW w:w="688" w:type="pct"/>
            <w:vMerge w:val="restart"/>
            <w:vAlign w:val="center"/>
          </w:tcPr>
          <w:p>
            <w:pPr>
              <w:pStyle w:val="114"/>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间断排放，排放期间流量不稳定，但有周期性规律</w:t>
            </w:r>
          </w:p>
        </w:tc>
        <w:tc>
          <w:tcPr>
            <w:tcW w:w="309" w:type="pct"/>
            <w:vMerge w:val="restar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冲厕和洗手</w:t>
            </w:r>
          </w:p>
        </w:tc>
        <w:tc>
          <w:tcPr>
            <w:tcW w:w="423" w:type="pct"/>
            <w:vMerge w:val="restar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城东污水处理厂</w:t>
            </w: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80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blHeader/>
          <w:jc w:val="center"/>
        </w:trPr>
        <w:tc>
          <w:tcPr>
            <w:tcW w:w="484"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58"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5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803"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84"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58"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5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80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blHeader/>
          <w:jc w:val="center"/>
        </w:trPr>
        <w:tc>
          <w:tcPr>
            <w:tcW w:w="484"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58"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5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氨氮</w:t>
            </w:r>
          </w:p>
        </w:tc>
        <w:tc>
          <w:tcPr>
            <w:tcW w:w="803" w:type="pct"/>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blHeader/>
          <w:jc w:val="center"/>
        </w:trPr>
        <w:tc>
          <w:tcPr>
            <w:tcW w:w="484"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58"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5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80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blHeader/>
          <w:jc w:val="center"/>
        </w:trPr>
        <w:tc>
          <w:tcPr>
            <w:tcW w:w="484"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58"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5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动植物油</w:t>
            </w:r>
          </w:p>
        </w:tc>
        <w:tc>
          <w:tcPr>
            <w:tcW w:w="803"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484"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13"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458" w:type="pct"/>
            <w:vMerge w:val="continue"/>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55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88" w:type="pct"/>
            <w:vMerge w:val="continue"/>
            <w:vAlign w:val="center"/>
          </w:tcPr>
          <w:p>
            <w:pPr>
              <w:pStyle w:val="114"/>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309"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23" w:type="pct"/>
            <w:vMerge w:val="continue"/>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406" w:type="pct"/>
            <w:vAlign w:val="center"/>
          </w:tcPr>
          <w:p>
            <w:pPr>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总磷</w:t>
            </w:r>
          </w:p>
        </w:tc>
        <w:tc>
          <w:tcPr>
            <w:tcW w:w="803" w:type="pct"/>
            <w:vAlign w:val="center"/>
          </w:tcPr>
          <w:p>
            <w:pPr>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p>
        </w:tc>
      </w:tr>
    </w:tbl>
    <w:p>
      <w:pPr>
        <w:widowControl/>
        <w:spacing w:before="100" w:beforeAutospacing="1"/>
        <w:ind w:left="-105" w:leftChars="-5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表8  建设项目雨水排放口基本情况表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46"/>
        <w:gridCol w:w="936"/>
        <w:gridCol w:w="1285"/>
        <w:gridCol w:w="1086"/>
        <w:gridCol w:w="1203"/>
        <w:gridCol w:w="1203"/>
        <w:gridCol w:w="922"/>
        <w:gridCol w:w="1067"/>
        <w:gridCol w:w="1070"/>
        <w:gridCol w:w="1417"/>
        <w:gridCol w:w="1320"/>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2" w:type="pct"/>
            <w:vMerge w:val="restart"/>
            <w:vAlign w:val="center"/>
          </w:tcPr>
          <w:p>
            <w:pPr>
              <w:pStyle w:val="115"/>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序号</w:t>
            </w:r>
          </w:p>
        </w:tc>
        <w:tc>
          <w:tcPr>
            <w:tcW w:w="320" w:type="pct"/>
            <w:vMerge w:val="restart"/>
            <w:tcMar>
              <w:top w:w="0" w:type="dxa"/>
              <w:left w:w="0" w:type="dxa"/>
              <w:bottom w:w="0" w:type="dxa"/>
              <w:right w:w="0" w:type="dxa"/>
            </w:tcMar>
            <w:vAlign w:val="center"/>
          </w:tcPr>
          <w:p>
            <w:pPr>
              <w:pStyle w:val="115"/>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排放口编号</w:t>
            </w:r>
          </w:p>
        </w:tc>
        <w:tc>
          <w:tcPr>
            <w:tcW w:w="353" w:type="pct"/>
            <w:vMerge w:val="restart"/>
            <w:tcMar>
              <w:top w:w="0" w:type="dxa"/>
              <w:left w:w="0" w:type="dxa"/>
              <w:bottom w:w="0" w:type="dxa"/>
              <w:right w:w="0" w:type="dxa"/>
            </w:tcMar>
            <w:vAlign w:val="center"/>
          </w:tcPr>
          <w:p>
            <w:pPr>
              <w:pStyle w:val="115"/>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排放口名称</w:t>
            </w:r>
          </w:p>
        </w:tc>
        <w:tc>
          <w:tcPr>
            <w:tcW w:w="867" w:type="pct"/>
            <w:gridSpan w:val="2"/>
            <w:tcMar>
              <w:top w:w="0" w:type="dxa"/>
              <w:left w:w="0" w:type="dxa"/>
              <w:bottom w:w="0" w:type="dxa"/>
              <w:right w:w="0" w:type="dxa"/>
            </w:tcMar>
            <w:vAlign w:val="center"/>
          </w:tcPr>
          <w:p>
            <w:pPr>
              <w:pStyle w:val="115"/>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排放口地理坐标</w:t>
            </w:r>
            <w:r>
              <w:rPr>
                <w:rFonts w:hint="default" w:ascii="Times New Roman" w:hAnsi="Times New Roman" w:cs="Times New Roman"/>
                <w:b/>
                <w:color w:val="000000" w:themeColor="text1"/>
                <w:kern w:val="0"/>
                <w:szCs w:val="21"/>
                <w14:textFill>
                  <w14:solidFill>
                    <w14:schemeClr w14:val="tx1"/>
                  </w14:solidFill>
                </w14:textFill>
              </w:rPr>
              <w:t>（</w:t>
            </w:r>
            <w:r>
              <w:rPr>
                <w:rFonts w:hint="default" w:ascii="Times New Roman" w:hAnsi="Times New Roman" w:cs="Times New Roman"/>
                <w:b/>
                <w:color w:val="000000" w:themeColor="text1"/>
                <w:kern w:val="0"/>
                <w:szCs w:val="21"/>
                <w:vertAlign w:val="superscript"/>
                <w14:textFill>
                  <w14:solidFill>
                    <w14:schemeClr w14:val="tx1"/>
                  </w14:solidFill>
                </w14:textFill>
              </w:rPr>
              <w:t>o</w:t>
            </w:r>
            <w:r>
              <w:rPr>
                <w:rFonts w:hint="default" w:ascii="Times New Roman" w:hAnsi="Times New Roman" w:cs="Times New Roman"/>
                <w:b/>
                <w:color w:val="000000" w:themeColor="text1"/>
                <w:kern w:val="0"/>
                <w:szCs w:val="21"/>
                <w14:textFill>
                  <w14:solidFill>
                    <w14:schemeClr w14:val="tx1"/>
                  </w14:solidFill>
                </w14:textFill>
              </w:rPr>
              <w:t>）</w:t>
            </w:r>
          </w:p>
        </w:tc>
        <w:tc>
          <w:tcPr>
            <w:tcW w:w="451" w:type="pct"/>
            <w:vMerge w:val="restart"/>
            <w:tcMar>
              <w:top w:w="0" w:type="dxa"/>
              <w:left w:w="0" w:type="dxa"/>
              <w:bottom w:w="0" w:type="dxa"/>
              <w:right w:w="0" w:type="dxa"/>
            </w:tcMar>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排放去向</w:t>
            </w:r>
          </w:p>
        </w:tc>
        <w:tc>
          <w:tcPr>
            <w:tcW w:w="451" w:type="pct"/>
            <w:vMerge w:val="restar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排放规律</w:t>
            </w:r>
          </w:p>
        </w:tc>
        <w:tc>
          <w:tcPr>
            <w:tcW w:w="348" w:type="pct"/>
            <w:vMerge w:val="restar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间歇排放时段</w:t>
            </w:r>
          </w:p>
        </w:tc>
        <w:tc>
          <w:tcPr>
            <w:tcW w:w="803" w:type="pct"/>
            <w:gridSpan w:val="2"/>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受纳自然水体信息</w:t>
            </w:r>
          </w:p>
        </w:tc>
        <w:tc>
          <w:tcPr>
            <w:tcW w:w="912" w:type="pct"/>
            <w:gridSpan w:val="2"/>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汇入受纳自然水体处地理坐标</w:t>
            </w:r>
            <w:r>
              <w:rPr>
                <w:rFonts w:hint="default" w:ascii="Times New Roman" w:hAnsi="Times New Roman" w:cs="Times New Roman"/>
                <w:b/>
                <w:color w:val="000000" w:themeColor="text1"/>
                <w:kern w:val="0"/>
                <w:szCs w:val="21"/>
                <w14:textFill>
                  <w14:solidFill>
                    <w14:schemeClr w14:val="tx1"/>
                  </w14:solidFill>
                </w14:textFill>
              </w:rPr>
              <w:t>（</w:t>
            </w:r>
            <w:r>
              <w:rPr>
                <w:rFonts w:hint="default" w:ascii="Times New Roman" w:hAnsi="Times New Roman" w:cs="Times New Roman"/>
                <w:b/>
                <w:color w:val="000000" w:themeColor="text1"/>
                <w:kern w:val="0"/>
                <w:szCs w:val="21"/>
                <w:vertAlign w:val="superscript"/>
                <w14:textFill>
                  <w14:solidFill>
                    <w14:schemeClr w14:val="tx1"/>
                  </w14:solidFill>
                </w14:textFill>
              </w:rPr>
              <w:t>o</w:t>
            </w:r>
            <w:r>
              <w:rPr>
                <w:rFonts w:hint="default" w:ascii="Times New Roman" w:hAnsi="Times New Roman" w:cs="Times New Roman"/>
                <w:b/>
                <w:color w:val="000000" w:themeColor="text1"/>
                <w:kern w:val="0"/>
                <w:szCs w:val="21"/>
                <w14:textFill>
                  <w14:solidFill>
                    <w14:schemeClr w14:val="tx1"/>
                  </w14:solidFill>
                </w14:textFill>
              </w:rPr>
              <w:t>）</w:t>
            </w:r>
          </w:p>
        </w:tc>
        <w:tc>
          <w:tcPr>
            <w:tcW w:w="313" w:type="pct"/>
            <w:vMerge w:val="restar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2"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20"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81" w:type="pc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经度</w:t>
            </w:r>
          </w:p>
        </w:tc>
        <w:tc>
          <w:tcPr>
            <w:tcW w:w="386" w:type="pct"/>
            <w:vAlign w:val="center"/>
          </w:tcPr>
          <w:p>
            <w:pPr>
              <w:pStyle w:val="115"/>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纬度</w:t>
            </w:r>
          </w:p>
        </w:tc>
        <w:tc>
          <w:tcPr>
            <w:tcW w:w="451"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51"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4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01" w:type="pct"/>
            <w:vAlign w:val="center"/>
          </w:tcPr>
          <w:p>
            <w:pPr>
              <w:pStyle w:val="115"/>
              <w:jc w:val="center"/>
              <w:rPr>
                <w:rFonts w:hint="default" w:ascii="Times New Roman" w:hAnsi="Times New Roman" w:cs="Times New Roman"/>
                <w:b/>
                <w:snapToGrid w:val="0"/>
                <w:color w:val="000000" w:themeColor="text1"/>
                <w:kern w:val="20"/>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名称</w:t>
            </w:r>
          </w:p>
        </w:tc>
        <w:tc>
          <w:tcPr>
            <w:tcW w:w="402" w:type="pc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受纳水体功能目标</w:t>
            </w:r>
          </w:p>
        </w:tc>
        <w:tc>
          <w:tcPr>
            <w:tcW w:w="459" w:type="pc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经度</w:t>
            </w:r>
          </w:p>
        </w:tc>
        <w:tc>
          <w:tcPr>
            <w:tcW w:w="453" w:type="pct"/>
            <w:vAlign w:val="center"/>
          </w:tcPr>
          <w:p>
            <w:pPr>
              <w:pStyle w:val="11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纬度</w:t>
            </w:r>
          </w:p>
        </w:tc>
        <w:tc>
          <w:tcPr>
            <w:tcW w:w="313"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2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YS001</w:t>
            </w:r>
          </w:p>
        </w:tc>
        <w:tc>
          <w:tcPr>
            <w:tcW w:w="353"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雨水排放口</w:t>
            </w:r>
          </w:p>
        </w:tc>
        <w:tc>
          <w:tcPr>
            <w:tcW w:w="481" w:type="pc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116.97557049</w:t>
            </w:r>
          </w:p>
        </w:tc>
        <w:tc>
          <w:tcPr>
            <w:tcW w:w="386" w:type="pct"/>
            <w:vAlign w:val="center"/>
          </w:tcPr>
          <w:p>
            <w:pPr>
              <w:widowControl/>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31.49111121</w:t>
            </w:r>
          </w:p>
        </w:tc>
        <w:tc>
          <w:tcPr>
            <w:tcW w:w="451" w:type="pct"/>
            <w:vAlign w:val="center"/>
          </w:tcPr>
          <w:p>
            <w:pPr>
              <w:pStyle w:val="11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进入城市下水道（再入江河、湖、库）</w:t>
            </w:r>
          </w:p>
        </w:tc>
        <w:tc>
          <w:tcPr>
            <w:tcW w:w="451" w:type="pct"/>
            <w:vAlign w:val="center"/>
          </w:tcPr>
          <w:p>
            <w:pPr>
              <w:pStyle w:val="11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间断排放，排放期间流量不稳定，属于冲击型排放</w:t>
            </w:r>
          </w:p>
        </w:tc>
        <w:tc>
          <w:tcPr>
            <w:tcW w:w="348"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下雨时段</w:t>
            </w:r>
          </w:p>
        </w:tc>
        <w:tc>
          <w:tcPr>
            <w:tcW w:w="401" w:type="pct"/>
            <w:vAlign w:val="center"/>
          </w:tcPr>
          <w:p>
            <w:pPr>
              <w:pStyle w:val="11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三里</w:t>
            </w:r>
            <w:r>
              <w:rPr>
                <w:rFonts w:hint="default" w:ascii="Times New Roman" w:hAnsi="Times New Roman" w:cs="Times New Roman"/>
                <w:color w:val="000000" w:themeColor="text1"/>
                <w:szCs w:val="21"/>
                <w14:textFill>
                  <w14:solidFill>
                    <w14:schemeClr w14:val="tx1"/>
                  </w14:solidFill>
                </w14:textFill>
              </w:rPr>
              <w:t>河</w:t>
            </w:r>
          </w:p>
        </w:tc>
        <w:tc>
          <w:tcPr>
            <w:tcW w:w="402" w:type="pct"/>
            <w:vAlign w:val="center"/>
          </w:tcPr>
          <w:p>
            <w:pPr>
              <w:pStyle w:val="11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4 \* ROMAN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IV</w:t>
            </w:r>
            <w:r>
              <w:rPr>
                <w:rFonts w:hint="default" w:ascii="Times New Roman" w:hAnsi="Times New Roman" w:cs="Times New Roman"/>
                <w:color w:val="000000" w:themeColor="text1"/>
                <w:szCs w:val="21"/>
                <w14:textFill>
                  <w14:solidFill>
                    <w14:schemeClr w14:val="tx1"/>
                  </w14:solidFill>
                </w14:textFill>
              </w:rPr>
              <w:fldChar w:fldCharType="end"/>
            </w:r>
          </w:p>
        </w:tc>
        <w:tc>
          <w:tcPr>
            <w:tcW w:w="459" w:type="pct"/>
            <w:vAlign w:val="center"/>
          </w:tcPr>
          <w:p>
            <w:pPr>
              <w:pStyle w:val="11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116.98288144</w:t>
            </w:r>
          </w:p>
        </w:tc>
        <w:tc>
          <w:tcPr>
            <w:tcW w:w="453" w:type="pct"/>
            <w:vAlign w:val="center"/>
          </w:tcPr>
          <w:p>
            <w:pPr>
              <w:pStyle w:val="11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31.48824195</w:t>
            </w:r>
          </w:p>
        </w:tc>
        <w:tc>
          <w:tcPr>
            <w:tcW w:w="313"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widowControl/>
        <w:spacing w:before="100" w:beforeAutospacing="1"/>
        <w:ind w:left="-105" w:leftChars="-5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表9  建设项目噪声排放信息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49"/>
        <w:gridCol w:w="1713"/>
        <w:gridCol w:w="1716"/>
        <w:gridCol w:w="2689"/>
        <w:gridCol w:w="1345"/>
        <w:gridCol w:w="1345"/>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725" w:type="pct"/>
            <w:vMerge w:val="restart"/>
            <w:tcMar>
              <w:left w:w="0" w:type="dxa"/>
              <w:right w:w="0" w:type="dxa"/>
            </w:tcMar>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噪声类别</w:t>
            </w:r>
          </w:p>
        </w:tc>
        <w:tc>
          <w:tcPr>
            <w:tcW w:w="1275" w:type="pct"/>
            <w:gridSpan w:val="2"/>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生产时段</w:t>
            </w:r>
          </w:p>
        </w:tc>
        <w:tc>
          <w:tcPr>
            <w:tcW w:w="1000" w:type="pct"/>
            <w:vMerge w:val="restart"/>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执行排放标准名称</w:t>
            </w:r>
          </w:p>
        </w:tc>
        <w:tc>
          <w:tcPr>
            <w:tcW w:w="1000" w:type="pct"/>
            <w:gridSpan w:val="2"/>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厂界噪声排放限值</w:t>
            </w:r>
          </w:p>
        </w:tc>
        <w:tc>
          <w:tcPr>
            <w:tcW w:w="1000" w:type="pct"/>
            <w:vMerge w:val="restart"/>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725" w:type="pct"/>
            <w:vMerge w:val="continue"/>
            <w:tcMar>
              <w:left w:w="0" w:type="dxa"/>
              <w:right w:w="0" w:type="dxa"/>
            </w:tcMar>
            <w:vAlign w:val="center"/>
          </w:tcPr>
          <w:p>
            <w:pPr>
              <w:rPr>
                <w:rFonts w:hint="default" w:ascii="Times New Roman" w:hAnsi="Times New Roman" w:cs="Times New Roman"/>
                <w:b/>
                <w:color w:val="000000" w:themeColor="text1"/>
                <w14:textFill>
                  <w14:solidFill>
                    <w14:schemeClr w14:val="tx1"/>
                  </w14:solidFill>
                </w14:textFill>
              </w:rPr>
            </w:pPr>
          </w:p>
        </w:tc>
        <w:tc>
          <w:tcPr>
            <w:tcW w:w="637" w:type="pct"/>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昼间</w:t>
            </w:r>
          </w:p>
        </w:tc>
        <w:tc>
          <w:tcPr>
            <w:tcW w:w="638" w:type="pct"/>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夜间</w:t>
            </w:r>
          </w:p>
        </w:tc>
        <w:tc>
          <w:tcPr>
            <w:tcW w:w="1000" w:type="pct"/>
            <w:vMerge w:val="continue"/>
            <w:vAlign w:val="center"/>
          </w:tcPr>
          <w:p>
            <w:pPr>
              <w:rPr>
                <w:rFonts w:hint="default" w:ascii="Times New Roman" w:hAnsi="Times New Roman" w:cs="Times New Roman"/>
                <w:b/>
                <w:color w:val="000000" w:themeColor="text1"/>
                <w14:textFill>
                  <w14:solidFill>
                    <w14:schemeClr w14:val="tx1"/>
                  </w14:solidFill>
                </w14:textFill>
              </w:rPr>
            </w:pPr>
          </w:p>
        </w:tc>
        <w:tc>
          <w:tcPr>
            <w:tcW w:w="500" w:type="pct"/>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昼间,dB(A)</w:t>
            </w:r>
          </w:p>
        </w:tc>
        <w:tc>
          <w:tcPr>
            <w:tcW w:w="500" w:type="pct"/>
            <w:vAlign w:val="center"/>
          </w:tcPr>
          <w:p>
            <w:pPr>
              <w:pStyle w:val="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夜间,dB(A)</w:t>
            </w:r>
          </w:p>
        </w:tc>
        <w:tc>
          <w:tcPr>
            <w:tcW w:w="1000" w:type="pct"/>
            <w:vMerge w:val="continue"/>
            <w:vAlign w:val="center"/>
          </w:tcPr>
          <w:p>
            <w:pP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725" w:type="pct"/>
            <w:tcMar>
              <w:left w:w="0" w:type="dxa"/>
              <w:right w:w="0" w:type="dxa"/>
            </w:tcMar>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稳态噪声</w:t>
            </w:r>
          </w:p>
        </w:tc>
        <w:tc>
          <w:tcPr>
            <w:tcW w:w="637"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06至22</w:t>
            </w:r>
          </w:p>
        </w:tc>
        <w:tc>
          <w:tcPr>
            <w:tcW w:w="638"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22至06</w:t>
            </w:r>
          </w:p>
        </w:tc>
        <w:tc>
          <w:tcPr>
            <w:tcW w:w="1000"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《工业企业厂界环境噪声排放标准》（GB12348-2008）</w:t>
            </w:r>
          </w:p>
        </w:tc>
        <w:tc>
          <w:tcPr>
            <w:tcW w:w="500"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500"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1000"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725" w:type="pct"/>
            <w:tcMar>
              <w:left w:w="0" w:type="dxa"/>
              <w:right w:w="0" w:type="dxa"/>
            </w:tcMar>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频发噪声</w:t>
            </w:r>
          </w:p>
        </w:tc>
        <w:tc>
          <w:tcPr>
            <w:tcW w:w="637"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c>
          <w:tcPr>
            <w:tcW w:w="638"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c>
          <w:tcPr>
            <w:tcW w:w="1000" w:type="pc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00" w:type="pct"/>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725" w:type="pct"/>
            <w:tcMar>
              <w:left w:w="0" w:type="dxa"/>
              <w:right w:w="0" w:type="dxa"/>
            </w:tcMar>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偶发噪声</w:t>
            </w:r>
          </w:p>
        </w:tc>
        <w:tc>
          <w:tcPr>
            <w:tcW w:w="637"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c>
          <w:tcPr>
            <w:tcW w:w="638" w:type="pct"/>
            <w:vAlign w:val="center"/>
          </w:tcPr>
          <w:p>
            <w:pPr>
              <w:pStyle w:val="65"/>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c>
          <w:tcPr>
            <w:tcW w:w="1000" w:type="pc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00" w:type="pct"/>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00" w:type="pct"/>
            <w:vAlign w:val="center"/>
          </w:tcPr>
          <w:p>
            <w:pPr>
              <w:jc w:val="center"/>
              <w:rPr>
                <w:rFonts w:hint="default" w:ascii="Times New Roman" w:hAnsi="Times New Roman" w:cs="Times New Roman"/>
                <w:color w:val="000000" w:themeColor="text1"/>
                <w14:textFill>
                  <w14:solidFill>
                    <w14:schemeClr w14:val="tx1"/>
                  </w14:solidFill>
                </w14:textFill>
              </w:rPr>
            </w:pPr>
          </w:p>
        </w:tc>
      </w:tr>
    </w:tbl>
    <w:p>
      <w:pPr>
        <w:widowControl/>
        <w:spacing w:before="100" w:beforeAutospacing="1"/>
        <w:ind w:left="-105" w:leftChars="-5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表10  建设项目固体废物排放信息</w:t>
      </w:r>
    </w:p>
    <w:tbl>
      <w:tblPr>
        <w:tblStyle w:val="31"/>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3"/>
        <w:gridCol w:w="1403"/>
        <w:gridCol w:w="848"/>
        <w:gridCol w:w="966"/>
        <w:gridCol w:w="1002"/>
        <w:gridCol w:w="983"/>
        <w:gridCol w:w="848"/>
        <w:gridCol w:w="1126"/>
        <w:gridCol w:w="1126"/>
        <w:gridCol w:w="983"/>
        <w:gridCol w:w="983"/>
        <w:gridCol w:w="848"/>
        <w:gridCol w:w="843"/>
        <w:gridCol w:w="797"/>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136" w:type="pct"/>
            <w:vMerge w:val="restart"/>
            <w:tcMar>
              <w:left w:w="0" w:type="dxa"/>
              <w:right w:w="0" w:type="dxa"/>
            </w:tcMar>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序号</w:t>
            </w:r>
          </w:p>
        </w:tc>
        <w:tc>
          <w:tcPr>
            <w:tcW w:w="511"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固体废</w:t>
            </w:r>
          </w:p>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物来源</w:t>
            </w:r>
          </w:p>
        </w:tc>
        <w:tc>
          <w:tcPr>
            <w:tcW w:w="309"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固体废</w:t>
            </w:r>
          </w:p>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物名称</w:t>
            </w:r>
          </w:p>
        </w:tc>
        <w:tc>
          <w:tcPr>
            <w:tcW w:w="352"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固体废</w:t>
            </w:r>
          </w:p>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物种类</w:t>
            </w:r>
          </w:p>
        </w:tc>
        <w:tc>
          <w:tcPr>
            <w:tcW w:w="365"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固体废</w:t>
            </w:r>
          </w:p>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物类别</w:t>
            </w:r>
          </w:p>
        </w:tc>
        <w:tc>
          <w:tcPr>
            <w:tcW w:w="358"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固体废</w:t>
            </w:r>
          </w:p>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物描述</w:t>
            </w:r>
          </w:p>
        </w:tc>
        <w:tc>
          <w:tcPr>
            <w:tcW w:w="309"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固体废物产生量（t/a）</w:t>
            </w:r>
          </w:p>
        </w:tc>
        <w:tc>
          <w:tcPr>
            <w:tcW w:w="410"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处理方式</w:t>
            </w:r>
          </w:p>
        </w:tc>
        <w:tc>
          <w:tcPr>
            <w:tcW w:w="2032" w:type="pct"/>
            <w:gridSpan w:val="6"/>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处理去向</w:t>
            </w:r>
          </w:p>
        </w:tc>
        <w:tc>
          <w:tcPr>
            <w:tcW w:w="215"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其他</w:t>
            </w:r>
          </w:p>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36" w:type="pct"/>
            <w:vMerge w:val="continue"/>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11"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0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2"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65"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0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10"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10"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自行贮存量（t/a）</w:t>
            </w:r>
          </w:p>
        </w:tc>
        <w:tc>
          <w:tcPr>
            <w:tcW w:w="358"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自行利用（t/a）</w:t>
            </w:r>
          </w:p>
        </w:tc>
        <w:tc>
          <w:tcPr>
            <w:tcW w:w="358"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自行处置（t/a）</w:t>
            </w:r>
          </w:p>
        </w:tc>
        <w:tc>
          <w:tcPr>
            <w:tcW w:w="616" w:type="pct"/>
            <w:gridSpan w:val="2"/>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转移量（t/a）</w:t>
            </w:r>
          </w:p>
        </w:tc>
        <w:tc>
          <w:tcPr>
            <w:tcW w:w="289" w:type="pct"/>
            <w:vMerge w:val="restar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排放量（t/a）</w:t>
            </w:r>
          </w:p>
        </w:tc>
        <w:tc>
          <w:tcPr>
            <w:tcW w:w="215"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vMerge w:val="continue"/>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11"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0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2"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65"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0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10"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410"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58"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09" w:type="pc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委托利用量</w:t>
            </w:r>
          </w:p>
        </w:tc>
        <w:tc>
          <w:tcPr>
            <w:tcW w:w="307" w:type="pct"/>
            <w:vAlign w:val="center"/>
          </w:tcPr>
          <w:p>
            <w:pPr>
              <w:pStyle w:val="116"/>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委托处置量</w:t>
            </w:r>
          </w:p>
        </w:tc>
        <w:tc>
          <w:tcPr>
            <w:tcW w:w="289"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15" w:type="pct"/>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11"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压铸、</w:t>
            </w:r>
            <w:r>
              <w:rPr>
                <w:rFonts w:hint="default" w:ascii="Times New Roman" w:hAnsi="Times New Roman" w:cs="Times New Roman"/>
                <w:color w:val="000000" w:themeColor="text1"/>
                <w14:textFill>
                  <w14:solidFill>
                    <w14:schemeClr w14:val="tx1"/>
                  </w14:solidFill>
                </w14:textFill>
              </w:rPr>
              <w:t>机加工</w:t>
            </w:r>
          </w:p>
        </w:tc>
        <w:tc>
          <w:tcPr>
            <w:tcW w:w="309" w:type="pc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废边角料</w:t>
            </w:r>
            <w:r>
              <w:rPr>
                <w:rFonts w:hint="default" w:ascii="Times New Roman" w:hAnsi="Times New Roman" w:cs="Times New Roman"/>
                <w:color w:val="000000" w:themeColor="text1"/>
                <w:spacing w:val="-4"/>
                <w:sz w:val="21"/>
                <w:szCs w:val="21"/>
                <w:lang w:eastAsia="zh-CN"/>
                <w14:textFill>
                  <w14:solidFill>
                    <w14:schemeClr w14:val="tx1"/>
                  </w14:solidFill>
                </w14:textFill>
              </w:rPr>
              <w:t>、废铝屑</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58" w:type="pc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废边角料</w:t>
            </w:r>
            <w:r>
              <w:rPr>
                <w:rFonts w:hint="default" w:ascii="Times New Roman" w:hAnsi="Times New Roman" w:cs="Times New Roman"/>
                <w:color w:val="000000" w:themeColor="text1"/>
                <w:spacing w:val="-4"/>
                <w:sz w:val="21"/>
                <w:szCs w:val="21"/>
                <w:lang w:eastAsia="zh-CN"/>
                <w14:textFill>
                  <w14:solidFill>
                    <w14:schemeClr w14:val="tx1"/>
                  </w14:solidFill>
                </w14:textFill>
              </w:rPr>
              <w:t>、废铝屑</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410" w:type="pct"/>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自行</w:t>
            </w:r>
            <w:r>
              <w:rPr>
                <w:rFonts w:hint="default" w:ascii="Times New Roman" w:hAnsi="Times New Roman" w:cs="Times New Roman"/>
                <w:color w:val="000000" w:themeColor="text1"/>
                <w:lang w:val="en-US" w:eastAsia="zh-CN"/>
                <w14:textFill>
                  <w14:solidFill>
                    <w14:schemeClr w14:val="tx1"/>
                  </w14:solidFill>
                </w14:textFill>
              </w:rPr>
              <w:t>利用</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11"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包装、原材料使用</w:t>
            </w:r>
          </w:p>
        </w:tc>
        <w:tc>
          <w:tcPr>
            <w:tcW w:w="309" w:type="pc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废包装材料</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58" w:type="pc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废包装材料</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11"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湿式除尘器</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废滤渣</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、废滤芯</w:t>
            </w:r>
          </w:p>
        </w:tc>
        <w:tc>
          <w:tcPr>
            <w:tcW w:w="352" w:type="pct"/>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65" w:type="pct"/>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废滤渣</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、废滤芯</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eastAsia="宋体" w:cs="Times New Roman"/>
                <w:bCs/>
                <w:color w:val="000000" w:themeColor="text1"/>
                <w:kern w:val="0"/>
                <w:szCs w:val="21"/>
                <w:lang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cs="Times New Roman"/>
                <w:bCs/>
                <w:color w:val="000000" w:themeColor="text1"/>
                <w:kern w:val="0"/>
                <w:szCs w:val="21"/>
                <w:lang w:val="en-US"/>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3.01</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11"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检验</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不合格品</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不合格品</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10</w:t>
            </w:r>
          </w:p>
        </w:tc>
        <w:tc>
          <w:tcPr>
            <w:tcW w:w="410" w:type="pct"/>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自行</w:t>
            </w:r>
            <w:r>
              <w:rPr>
                <w:rFonts w:hint="default" w:ascii="Times New Roman" w:hAnsi="Times New Roman" w:cs="Times New Roman"/>
                <w:color w:val="000000" w:themeColor="text1"/>
                <w:lang w:val="en-US" w:eastAsia="zh-CN"/>
                <w14:textFill>
                  <w14:solidFill>
                    <w14:schemeClr w14:val="tx1"/>
                  </w14:solidFill>
                </w14:textFill>
              </w:rPr>
              <w:t>利用</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1</w:t>
            </w: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0"/>
                <w:szCs w:val="21"/>
                <w:lang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0</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11" w:type="pct"/>
            <w:vAlign w:val="center"/>
          </w:tcPr>
          <w:p>
            <w:pPr>
              <w:jc w:val="cente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抛丸、光饰</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废钢丸</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废钢丸</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0.01</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0.01</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6</w:t>
            </w:r>
          </w:p>
        </w:tc>
        <w:tc>
          <w:tcPr>
            <w:tcW w:w="511"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抛丸除尘装置收</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抛丸除尘装置收集的粉尘</w:t>
            </w:r>
          </w:p>
        </w:tc>
        <w:tc>
          <w:tcPr>
            <w:tcW w:w="352" w:type="pct"/>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65" w:type="pct"/>
            <w:vAlign w:val="center"/>
          </w:tcPr>
          <w:p>
            <w:pPr>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一般固废</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抛丸除尘装置收集的粉尘</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6.049</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7</w:t>
            </w:r>
          </w:p>
        </w:tc>
        <w:tc>
          <w:tcPr>
            <w:tcW w:w="511" w:type="pct"/>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铝灰渣</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8</w:t>
            </w:r>
          </w:p>
        </w:tc>
        <w:tc>
          <w:tcPr>
            <w:tcW w:w="511" w:type="pct"/>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除尘装置</w:t>
            </w:r>
          </w:p>
        </w:tc>
        <w:tc>
          <w:tcPr>
            <w:tcW w:w="309" w:type="pct"/>
            <w:vAlign w:val="center"/>
          </w:tcPr>
          <w:p>
            <w:pPr>
              <w:jc w:val="cente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35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熔化</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、压铸耐高温布袋除尘器收集的粉尘、</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c>
          <w:tcPr>
            <w:tcW w:w="410"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0</w:t>
            </w:r>
          </w:p>
        </w:tc>
        <w:tc>
          <w:tcPr>
            <w:tcW w:w="358"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3.254</w:t>
            </w:r>
          </w:p>
        </w:tc>
        <w:tc>
          <w:tcPr>
            <w:tcW w:w="28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9</w:t>
            </w:r>
          </w:p>
        </w:tc>
        <w:tc>
          <w:tcPr>
            <w:tcW w:w="511"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压铸</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废脱模剂油</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0.81</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10</w:t>
            </w:r>
          </w:p>
        </w:tc>
        <w:tc>
          <w:tcPr>
            <w:tcW w:w="511" w:type="pct"/>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设备生产</w:t>
            </w:r>
          </w:p>
        </w:tc>
        <w:tc>
          <w:tcPr>
            <w:tcW w:w="309" w:type="pct"/>
            <w:vAlign w:val="center"/>
          </w:tcPr>
          <w:p>
            <w:pPr>
              <w:jc w:val="center"/>
              <w:rPr>
                <w:rFonts w:hint="default" w:ascii="Times New Roman" w:hAnsi="Times New Roman" w:cs="Times New Roman"/>
                <w:color w:val="000000" w:themeColor="text1"/>
                <w:spacing w:val="-4"/>
                <w:sz w:val="21"/>
                <w:szCs w:val="21"/>
                <w:lang w:eastAsia="zh-CN"/>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废机油</w:t>
            </w:r>
          </w:p>
        </w:tc>
        <w:tc>
          <w:tcPr>
            <w:tcW w:w="35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ind w:firstLine="202" w:firstLineChars="100"/>
              <w:jc w:val="both"/>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eastAsia="zh-CN"/>
                <w14:textFill>
                  <w14:solidFill>
                    <w14:schemeClr w14:val="tx1"/>
                  </w14:solidFill>
                </w14:textFill>
              </w:rPr>
              <w:t>废机油</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410"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28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11</w:t>
            </w:r>
          </w:p>
        </w:tc>
        <w:tc>
          <w:tcPr>
            <w:tcW w:w="511"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原料使用</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废化学品包装桶</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0.158</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12</w:t>
            </w:r>
          </w:p>
        </w:tc>
        <w:tc>
          <w:tcPr>
            <w:tcW w:w="511"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机加工</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含油</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铝屑</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含油</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铝屑</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1.55</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13</w:t>
            </w:r>
          </w:p>
        </w:tc>
        <w:tc>
          <w:tcPr>
            <w:tcW w:w="511"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地面清洁</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含油木屑</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含油木屑</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14</w:t>
            </w:r>
          </w:p>
        </w:tc>
        <w:tc>
          <w:tcPr>
            <w:tcW w:w="511"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原料使用</w:t>
            </w:r>
          </w:p>
        </w:tc>
        <w:tc>
          <w:tcPr>
            <w:tcW w:w="309"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p>
        </w:tc>
        <w:tc>
          <w:tcPr>
            <w:tcW w:w="352"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废切削液</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c>
          <w:tcPr>
            <w:tcW w:w="410"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eastAsia="宋体" w:cs="Times New Roman"/>
                <w:bCs/>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0.205</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6" w:type="pct"/>
            <w:tcMar>
              <w:left w:w="0" w:type="dxa"/>
              <w:right w:w="0" w:type="dxa"/>
            </w:tcMar>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15</w:t>
            </w:r>
          </w:p>
        </w:tc>
        <w:tc>
          <w:tcPr>
            <w:tcW w:w="511"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4"/>
                <w:sz w:val="21"/>
                <w:szCs w:val="21"/>
                <w:lang w:val="en-US" w:eastAsia="zh-CN"/>
                <w14:textFill>
                  <w14:solidFill>
                    <w14:schemeClr w14:val="tx1"/>
                  </w14:solidFill>
                </w14:textFill>
              </w:rPr>
              <w:t>废水处理</w:t>
            </w:r>
          </w:p>
        </w:tc>
        <w:tc>
          <w:tcPr>
            <w:tcW w:w="309" w:type="pct"/>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污泥</w:t>
            </w:r>
          </w:p>
        </w:tc>
        <w:tc>
          <w:tcPr>
            <w:tcW w:w="352"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6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358" w:type="pc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污泥</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c>
          <w:tcPr>
            <w:tcW w:w="410"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58"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307"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0.06</w:t>
            </w:r>
          </w:p>
        </w:tc>
        <w:tc>
          <w:tcPr>
            <w:tcW w:w="289"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0" w:type="auto"/>
            <w:vAlign w:val="top"/>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16</w:t>
            </w:r>
          </w:p>
        </w:tc>
        <w:tc>
          <w:tcPr>
            <w:tcW w:w="0" w:type="auto"/>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废气处理</w:t>
            </w:r>
          </w:p>
        </w:tc>
        <w:tc>
          <w:tcPr>
            <w:tcW w:w="0" w:type="auto"/>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废活性炭</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0" w:type="auto"/>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废活性炭</w:t>
            </w:r>
          </w:p>
        </w:tc>
        <w:tc>
          <w:tcPr>
            <w:tcW w:w="309" w:type="pct"/>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c>
          <w:tcPr>
            <w:tcW w:w="410" w:type="pct"/>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410" w:type="pct"/>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1.613</w:t>
            </w:r>
          </w:p>
        </w:tc>
        <w:tc>
          <w:tcPr>
            <w:tcW w:w="289" w:type="pct"/>
            <w:vAlign w:val="center"/>
          </w:tcPr>
          <w:p>
            <w:pPr>
              <w:widowControl/>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215"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0" w:type="auto"/>
            <w:vAlign w:val="center"/>
          </w:tcPr>
          <w:p>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17</w:t>
            </w:r>
          </w:p>
        </w:tc>
        <w:tc>
          <w:tcPr>
            <w:tcW w:w="0" w:type="auto"/>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废气处理</w:t>
            </w:r>
          </w:p>
        </w:tc>
        <w:tc>
          <w:tcPr>
            <w:tcW w:w="0" w:type="auto"/>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油雾净化器收集的废油</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0" w:type="auto"/>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油雾净化器收集的废油</w:t>
            </w:r>
          </w:p>
        </w:tc>
        <w:tc>
          <w:tcPr>
            <w:tcW w:w="0" w:type="auto"/>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0" w:type="auto"/>
            <w:vAlign w:val="center"/>
          </w:tcPr>
          <w:p>
            <w:pPr>
              <w:jc w:val="center"/>
              <w:rPr>
                <w:rFonts w:hint="default" w:ascii="Times New Roman" w:hAnsi="Times New Roman" w:cs="Times New Roman"/>
                <w:color w:val="000000" w:themeColor="text1"/>
                <w:kern w:val="24"/>
                <w:szCs w:val="21"/>
                <w:lang w:val="en-US" w:eastAsia="zh-CN"/>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18</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生产</w:t>
            </w:r>
          </w:p>
        </w:tc>
        <w:tc>
          <w:tcPr>
            <w:tcW w:w="0" w:type="auto"/>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0" w:type="auto"/>
            <w:vAlign w:val="center"/>
          </w:tcPr>
          <w:p>
            <w:pPr>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含油手套及抹布</w:t>
            </w:r>
          </w:p>
        </w:tc>
        <w:tc>
          <w:tcPr>
            <w:tcW w:w="0" w:type="auto"/>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委托处置</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0" w:type="auto"/>
            <w:vAlign w:val="center"/>
          </w:tcPr>
          <w:p>
            <w:pPr>
              <w:widowControl/>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p>
        </w:tc>
        <w:tc>
          <w:tcPr>
            <w:tcW w:w="0" w:type="auto"/>
            <w:vAlign w:val="center"/>
          </w:tcPr>
          <w:p>
            <w:pPr>
              <w:widowControl/>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0</w:t>
            </w:r>
          </w:p>
        </w:tc>
        <w:tc>
          <w:tcPr>
            <w:tcW w:w="0" w:type="auto"/>
            <w:vAlign w:val="center"/>
          </w:tcPr>
          <w:p>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pStyle w:val="38"/>
        <w:keepNext w:val="0"/>
        <w:keepLines w:val="0"/>
        <w:pageBreakBefore w:val="0"/>
        <w:widowControl w:val="0"/>
        <w:kinsoku/>
        <w:wordWrap/>
        <w:overflowPunct/>
        <w:topLinePunct w:val="0"/>
        <w:autoSpaceDE w:val="0"/>
        <w:autoSpaceDN w:val="0"/>
        <w:bidi w:val="0"/>
        <w:adjustRightInd w:val="0"/>
        <w:snapToGrid/>
        <w:spacing w:line="20" w:lineRule="exact"/>
        <w:ind w:left="0" w:leftChars="0" w:firstLine="0" w:firstLineChars="0"/>
        <w:textAlignment w:val="auto"/>
        <w:rPr>
          <w:rFonts w:hint="default" w:ascii="Times New Roman" w:hAnsi="Times New Roman" w:eastAsia="宋体" w:cs="Times New Roman"/>
          <w:color w:val="000000" w:themeColor="text1"/>
          <w:lang w:eastAsia="zh-CN"/>
          <w14:textFill>
            <w14:solidFill>
              <w14:schemeClr w14:val="tx1"/>
            </w14:solidFill>
          </w14:textFill>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928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7" w:hRule="atLeast"/>
        </w:trPr>
        <w:tc>
          <w:tcPr>
            <w:tcW w:w="9285" w:type="dxa"/>
          </w:tcPr>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预审意见：</w:t>
            </w: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 xml:space="preserve">                                                 公章</w:t>
            </w:r>
          </w:p>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380" w:hRule="atLeast"/>
        </w:trPr>
        <w:tc>
          <w:tcPr>
            <w:tcW w:w="9285" w:type="dxa"/>
          </w:tcPr>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下一级环境保护行政主管部门审查意见：</w:t>
            </w: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 xml:space="preserve">                                                 公章</w:t>
            </w:r>
          </w:p>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30" w:hRule="atLeast"/>
        </w:trPr>
        <w:tc>
          <w:tcPr>
            <w:tcW w:w="9285" w:type="dxa"/>
          </w:tcPr>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审批意见：</w:t>
            </w: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p>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 xml:space="preserve">                                                 公章</w:t>
            </w:r>
          </w:p>
          <w:p>
            <w:pPr>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经办人：                                    年   月   日</w:t>
            </w:r>
          </w:p>
        </w:tc>
      </w:tr>
    </w:tbl>
    <w:p>
      <w:pPr>
        <w:rPr>
          <w:rFonts w:hint="default" w:ascii="Times New Roman" w:hAnsi="Times New Roman" w:cs="Times New Roman"/>
          <w:color w:val="000000" w:themeColor="text1"/>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spacing w:line="360" w:lineRule="auto"/>
        <w:rPr>
          <w:rFonts w:hint="default" w:ascii="Times New Roman" w:hAnsi="Times New Roman" w:cs="Times New Roman"/>
          <w:b/>
          <w:color w:val="000000" w:themeColor="text1"/>
          <w:kern w:val="0"/>
          <w:sz w:val="24"/>
          <w14:textFill>
            <w14:solidFill>
              <w14:schemeClr w14:val="tx1"/>
            </w14:solidFill>
          </w14:textFill>
        </w:rPr>
      </w:pPr>
    </w:p>
    <w:p>
      <w:pPr>
        <w:widowControl/>
        <w:spacing w:line="360" w:lineRule="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附件:</w:t>
      </w:r>
    </w:p>
    <w:p>
      <w:pPr>
        <w:widowControl/>
        <w:spacing w:line="360" w:lineRule="auto"/>
        <w:ind w:firstLine="480" w:firstLineChars="200"/>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附件1   委托书</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附件2   声明</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附件3   立项文件</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附件4   </w:t>
      </w:r>
      <w:r>
        <w:rPr>
          <w:rFonts w:hint="default" w:ascii="Times New Roman" w:hAnsi="Times New Roman" w:eastAsia="宋体" w:cs="Times New Roman"/>
          <w:color w:val="000000" w:themeColor="text1"/>
          <w:sz w:val="24"/>
          <w14:textFill>
            <w14:solidFill>
              <w14:schemeClr w14:val="tx1"/>
            </w14:solidFill>
          </w14:textFill>
        </w:rPr>
        <w:t>营业执照</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附件5   法人身份证</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附件6   厂房租赁协议</w:t>
      </w:r>
    </w:p>
    <w:p>
      <w:pPr>
        <w:pStyle w:val="38"/>
        <w:spacing w:line="360" w:lineRule="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附件7    清掏协议</w:t>
      </w:r>
    </w:p>
    <w:p>
      <w:pPr>
        <w:pStyle w:val="21"/>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附件8   安徽光世门业销售有限公司环评批复、验收意见及排污许可证</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附件</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z w:val="24"/>
          <w:lang w:eastAsia="zh-CN"/>
          <w14:textFill>
            <w14:solidFill>
              <w14:schemeClr w14:val="tx1"/>
            </w14:solidFill>
          </w14:textFill>
        </w:rPr>
        <w:t>房产证</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附件</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脱模</w:t>
      </w:r>
      <w:r>
        <w:rPr>
          <w:rFonts w:hint="default" w:ascii="Times New Roman" w:hAnsi="Times New Roman" w:cs="Times New Roman"/>
          <w:color w:val="000000" w:themeColor="text1"/>
          <w:sz w:val="24"/>
          <w:lang w:val="en-US" w:eastAsia="zh-CN"/>
          <w14:textFill>
            <w14:solidFill>
              <w14:schemeClr w14:val="tx1"/>
            </w14:solidFill>
          </w14:textFill>
        </w:rPr>
        <w:t>剂MSDS</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w:t>
      </w:r>
      <w:r>
        <w:rPr>
          <w:rFonts w:hint="default" w:ascii="Times New Roman" w:hAnsi="Times New Roman" w:cs="Times New Roman"/>
          <w:color w:val="000000" w:themeColor="text1"/>
          <w:sz w:val="24"/>
          <w:lang w:val="en-US" w:eastAsia="zh-CN"/>
          <w14:textFill>
            <w14:solidFill>
              <w14:schemeClr w14:val="tx1"/>
            </w14:solidFill>
          </w14:textFill>
        </w:rPr>
        <w:t xml:space="preserve">11  </w:t>
      </w:r>
      <w:r>
        <w:rPr>
          <w:rFonts w:hint="default" w:ascii="Times New Roman" w:hAnsi="Times New Roman" w:eastAsia="宋体" w:cs="Times New Roman"/>
          <w:color w:val="000000" w:themeColor="text1"/>
          <w:sz w:val="24"/>
          <w:lang w:eastAsia="zh-CN"/>
          <w14:textFill>
            <w14:solidFill>
              <w14:schemeClr w14:val="tx1"/>
            </w14:solidFill>
          </w14:textFill>
        </w:rPr>
        <w:t>危险废物处置承诺函</w:t>
      </w:r>
    </w:p>
    <w:p>
      <w:pPr>
        <w:spacing w:line="360" w:lineRule="auto"/>
        <w:ind w:firstLine="480" w:firstLineChars="200"/>
        <w:jc w:val="left"/>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w:t>
      </w:r>
      <w:r>
        <w:rPr>
          <w:rFonts w:hint="default" w:ascii="Times New Roman" w:hAnsi="Times New Roman" w:cs="Times New Roman"/>
          <w:color w:val="000000" w:themeColor="text1"/>
          <w:sz w:val="24"/>
          <w:lang w:val="en-US" w:eastAsia="zh-CN"/>
          <w14:textFill>
            <w14:solidFill>
              <w14:schemeClr w14:val="tx1"/>
            </w14:solidFill>
          </w14:textFill>
        </w:rPr>
        <w:t xml:space="preserve">12  </w:t>
      </w:r>
      <w:r>
        <w:rPr>
          <w:rFonts w:hint="default" w:ascii="Times New Roman" w:hAnsi="Times New Roman" w:eastAsia="宋体" w:cs="Times New Roman"/>
          <w:color w:val="000000" w:themeColor="text1"/>
          <w:sz w:val="24"/>
          <w14:textFill>
            <w14:solidFill>
              <w14:schemeClr w14:val="tx1"/>
            </w14:solidFill>
          </w14:textFill>
        </w:rPr>
        <w:t>全本信息公示截图</w:t>
      </w:r>
    </w:p>
    <w:p>
      <w:pPr>
        <w:spacing w:line="360" w:lineRule="auto"/>
        <w:ind w:firstLine="480" w:firstLineChars="20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w:t>
      </w:r>
      <w:r>
        <w:rPr>
          <w:rFonts w:hint="default" w:ascii="Times New Roman" w:hAnsi="Times New Roman" w:cs="Times New Roman"/>
          <w:color w:val="000000" w:themeColor="text1"/>
          <w:sz w:val="24"/>
          <w:lang w:val="en-US" w:eastAsia="zh-CN"/>
          <w14:textFill>
            <w14:solidFill>
              <w14:schemeClr w14:val="tx1"/>
            </w14:solidFill>
          </w14:textFill>
        </w:rPr>
        <w:t xml:space="preserve">13  </w:t>
      </w:r>
      <w:r>
        <w:rPr>
          <w:rFonts w:hint="default" w:ascii="Times New Roman" w:hAnsi="Times New Roman" w:cs="Times New Roman"/>
          <w:color w:val="000000" w:themeColor="text1"/>
          <w:sz w:val="24"/>
          <w:lang w:eastAsia="zh-CN"/>
          <w14:textFill>
            <w14:solidFill>
              <w14:schemeClr w14:val="tx1"/>
            </w14:solidFill>
          </w14:textFill>
        </w:rPr>
        <w:t>企业确认书</w:t>
      </w:r>
    </w:p>
    <w:p>
      <w:pPr>
        <w:spacing w:line="360" w:lineRule="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附图：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附图1   项目地理位置图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附图2   项目周边概况图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附图3  </w:t>
      </w:r>
      <w:r>
        <w:rPr>
          <w:rFonts w:hint="default" w:ascii="Times New Roman" w:hAnsi="Times New Roman" w:cs="Times New Roman"/>
          <w:color w:val="000000" w:themeColor="text1"/>
          <w:sz w:val="24"/>
          <w:lang w:val="en-US" w:eastAsia="zh-CN"/>
          <w14:textFill>
            <w14:solidFill>
              <w14:schemeClr w14:val="tx1"/>
            </w14:solidFill>
          </w14:textFill>
        </w:rPr>
        <w:t xml:space="preserve"> 项目环境保护目标分布图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附图4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项目生产车间平面布置图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厂区总平面布置图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附图6   </w:t>
      </w:r>
      <w:r>
        <w:rPr>
          <w:rFonts w:hint="default" w:ascii="Times New Roman" w:hAnsi="Times New Roman" w:eastAsia="宋体" w:cs="Times New Roman"/>
          <w:color w:val="000000" w:themeColor="text1"/>
          <w:sz w:val="24"/>
          <w:lang w:val="en-US" w:eastAsia="zh-CN"/>
          <w14:textFill>
            <w14:solidFill>
              <w14:schemeClr w14:val="tx1"/>
            </w14:solidFill>
          </w14:textFill>
        </w:rPr>
        <w:t>项目分区防渗图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安徽舒城经济开发区总体规划图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六安市生态保护红线位置关系图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 xml:space="preserve">9   </w:t>
      </w:r>
      <w:r>
        <w:rPr>
          <w:rFonts w:hint="default" w:ascii="Times New Roman" w:hAnsi="Times New Roman" w:eastAsia="宋体" w:cs="Times New Roman"/>
          <w:color w:val="000000" w:themeColor="text1"/>
          <w:sz w:val="24"/>
          <w:lang w:val="en-US" w:eastAsia="zh-CN"/>
          <w14:textFill>
            <w14:solidFill>
              <w14:schemeClr w14:val="tx1"/>
            </w14:solidFill>
          </w14:textFill>
        </w:rPr>
        <w:t>项目雨污管网图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项目1#排气筒废气收集管线图示意图</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项目2#排气筒废气收集管线图示意图</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12   项目3#排气筒废气收集管线图示意图</w:t>
      </w:r>
    </w:p>
    <w:p>
      <w:pPr>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附图</w:t>
      </w:r>
      <w:r>
        <w:rPr>
          <w:rFonts w:hint="default" w:ascii="Times New Roman" w:hAnsi="Times New Roman" w:cs="Times New Roman"/>
          <w:color w:val="000000" w:themeColor="text1"/>
          <w:sz w:val="24"/>
          <w:lang w:val="en-US" w:eastAsia="zh-CN"/>
          <w14:textFill>
            <w14:solidFill>
              <w14:schemeClr w14:val="tx1"/>
            </w14:solidFill>
          </w14:textFill>
        </w:rPr>
        <w:t>13   项目4#排气筒废气收集管线图示意图</w:t>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decorative"/>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等线">
    <w:altName w:val="微软雅黑"/>
    <w:panose1 w:val="02010600030101010101"/>
    <w:charset w:val="86"/>
    <w:family w:val="auto"/>
    <w:pitch w:val="default"/>
    <w:sig w:usb0="00000000" w:usb1="00000000" w:usb2="00000016" w:usb3="00000000" w:csb0="0004000F" w:csb1="00000000"/>
  </w:font>
  <w:font w:name="TimesNewRoman">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MS PGothic">
    <w:panose1 w:val="020B0600070205080204"/>
    <w:charset w:val="80"/>
    <w:family w:val="auto"/>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4"/>
      </w:rPr>
    </w:pPr>
    <w:r>
      <w:fldChar w:fldCharType="begin"/>
    </w:r>
    <w:r>
      <w:rPr>
        <w:rStyle w:val="34"/>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45</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1D1BcsBAACcAwAADgAAAGRycy9lMm9Eb2MueG1srVNLbtswEN0XyB0I&#10;7mPKXrSC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2JVJoV6DxUmPnlMjcOdG3BvZj+gMxEf2mDSFykRjKO+p4u+cohEpEflqiwLDAmMzRfEZ8/PfYD4&#10;XjpDklHTgAPMuvLjI8QxdU5J1ay7V1rnIWr7lwMxk4el3scekxWH3TAR2rnmhHx6nH1NLa46JfrB&#10;orRpTWYjzMZuNg4+qH2X9yjVA397iNhE7i1VGGGnwji0zG5asLQVf95z1vNP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9Q9QXLAQAAnAMAAA4AAAAAAAAAAQAgAAAAHgEAAGRycy9lMm9E&#10;b2MueG1sUEsFBgAAAAAGAAYAWQEAAFsFAAAAAA==&#10;">
              <v:fill on="f" focussize="0,0"/>
              <v:stroke on="f"/>
              <v:imagedata o:title=""/>
              <o:lock v:ext="edit" aspectratio="f"/>
              <v:textbox inset="0mm,0mm,0mm,0mm" style="mso-fit-shape-to-text:t;">
                <w:txbxContent>
                  <w:p>
                    <w:pPr>
                      <w:pStyle w:val="2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45</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45</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010jTLAQAAnQMAAA4AAAAAAAAAAQAgAAAAHgEAAGRycy9lMm9E&#10;b2MueG1sUEsFBgAAAAAGAAYAWQEAAFsFAAAAAA==&#10;">
              <v:fill on="f" focussize="0,0"/>
              <v:stroke on="f"/>
              <v:imagedata o:title=""/>
              <o:lock v:ext="edit" aspectratio="f"/>
              <v:textbox inset="0mm,0mm,0mm,0mm" style="mso-fit-shape-to-text:t;">
                <w:txbxContent>
                  <w:p>
                    <w:pPr>
                      <w:pStyle w:val="2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45</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46</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TwUxMoBAACcAwAADgAAAGRycy9lMm9Eb2MueG1srVPNjtMwEL4j8Q6W&#10;79Rpk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TwUxMoBAACcAwAADgAAAAAAAAABACAAAAAeAQAAZHJzL2Uyb0Rv&#10;Yy54bWxQSwUGAAAAAAYABgBZAQAAWgUAAAAA&#10;">
              <v:fill on="f" focussize="0,0"/>
              <v:stroke on="f"/>
              <v:imagedata o:title=""/>
              <o:lock v:ext="edit" aspectratio="f"/>
              <v:textbox inset="0mm,0mm,0mm,0mm" style="mso-fit-shape-to-text:t;">
                <w:txbxContent>
                  <w:p>
                    <w:pPr>
                      <w:pStyle w:val="2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46</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33F3B"/>
    <w:multiLevelType w:val="singleLevel"/>
    <w:tmpl w:val="96D33F3B"/>
    <w:lvl w:ilvl="0" w:tentative="0">
      <w:start w:val="3"/>
      <w:numFmt w:val="decimal"/>
      <w:suff w:val="nothing"/>
      <w:lvlText w:val="（%1）"/>
      <w:lvlJc w:val="left"/>
    </w:lvl>
  </w:abstractNum>
  <w:abstractNum w:abstractNumId="1">
    <w:nsid w:val="AA1EAD1C"/>
    <w:multiLevelType w:val="singleLevel"/>
    <w:tmpl w:val="AA1EAD1C"/>
    <w:lvl w:ilvl="0" w:tentative="0">
      <w:start w:val="1"/>
      <w:numFmt w:val="decimal"/>
      <w:suff w:val="nothing"/>
      <w:lvlText w:val="（%1）"/>
      <w:lvlJc w:val="left"/>
      <w:pPr>
        <w:ind w:left="-60"/>
      </w:pPr>
    </w:lvl>
  </w:abstractNum>
  <w:abstractNum w:abstractNumId="2">
    <w:nsid w:val="B5ED01DE"/>
    <w:multiLevelType w:val="singleLevel"/>
    <w:tmpl w:val="B5ED01DE"/>
    <w:lvl w:ilvl="0" w:tentative="0">
      <w:start w:val="3"/>
      <w:numFmt w:val="chineseCounting"/>
      <w:suff w:val="nothing"/>
      <w:lvlText w:val="（%1）"/>
      <w:lvlJc w:val="left"/>
      <w:rPr>
        <w:rFonts w:hint="eastAsia"/>
      </w:rPr>
    </w:lvl>
  </w:abstractNum>
  <w:abstractNum w:abstractNumId="3">
    <w:nsid w:val="00000006"/>
    <w:multiLevelType w:val="multilevel"/>
    <w:tmpl w:val="00000006"/>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pStyle w:val="5"/>
      <w:suff w:val="nothing"/>
      <w:lvlText w:val="%1.%2.%3.%4  "/>
      <w:lvlJc w:val="left"/>
      <w:pPr>
        <w:ind w:left="105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31E33FB9"/>
    <w:multiLevelType w:val="singleLevel"/>
    <w:tmpl w:val="31E33FB9"/>
    <w:lvl w:ilvl="0" w:tentative="0">
      <w:start w:val="8"/>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5OGEwZWNiZTA5ZmQyZWYxMDAyNjkzMDRhOTU1YmQifQ=="/>
  </w:docVars>
  <w:rsids>
    <w:rsidRoot w:val="00172A27"/>
    <w:rsid w:val="00004520"/>
    <w:rsid w:val="000060B3"/>
    <w:rsid w:val="00017F12"/>
    <w:rsid w:val="00022F0F"/>
    <w:rsid w:val="000278B3"/>
    <w:rsid w:val="00043144"/>
    <w:rsid w:val="0004364B"/>
    <w:rsid w:val="00044C0A"/>
    <w:rsid w:val="00044E5A"/>
    <w:rsid w:val="00044EF2"/>
    <w:rsid w:val="00051820"/>
    <w:rsid w:val="0005325B"/>
    <w:rsid w:val="00060C6A"/>
    <w:rsid w:val="00061B1F"/>
    <w:rsid w:val="00072C34"/>
    <w:rsid w:val="000733C4"/>
    <w:rsid w:val="00074783"/>
    <w:rsid w:val="00076791"/>
    <w:rsid w:val="0008070B"/>
    <w:rsid w:val="000810AC"/>
    <w:rsid w:val="00081A02"/>
    <w:rsid w:val="00082231"/>
    <w:rsid w:val="00083FB1"/>
    <w:rsid w:val="00092509"/>
    <w:rsid w:val="00092D38"/>
    <w:rsid w:val="0009377B"/>
    <w:rsid w:val="000942B7"/>
    <w:rsid w:val="000A0289"/>
    <w:rsid w:val="000A20C9"/>
    <w:rsid w:val="000B058F"/>
    <w:rsid w:val="000B4467"/>
    <w:rsid w:val="000B4DB9"/>
    <w:rsid w:val="000C09AC"/>
    <w:rsid w:val="000C1B56"/>
    <w:rsid w:val="000C767F"/>
    <w:rsid w:val="000D04AE"/>
    <w:rsid w:val="000D5A44"/>
    <w:rsid w:val="000E3ED2"/>
    <w:rsid w:val="000F5645"/>
    <w:rsid w:val="000F6385"/>
    <w:rsid w:val="00101AE9"/>
    <w:rsid w:val="00111BBD"/>
    <w:rsid w:val="0012679F"/>
    <w:rsid w:val="00131F42"/>
    <w:rsid w:val="00133387"/>
    <w:rsid w:val="001357F1"/>
    <w:rsid w:val="00140FA8"/>
    <w:rsid w:val="00142FEB"/>
    <w:rsid w:val="00143742"/>
    <w:rsid w:val="00143A2D"/>
    <w:rsid w:val="00145A41"/>
    <w:rsid w:val="00151675"/>
    <w:rsid w:val="001542A4"/>
    <w:rsid w:val="00157435"/>
    <w:rsid w:val="00157BAE"/>
    <w:rsid w:val="0016245F"/>
    <w:rsid w:val="00164C26"/>
    <w:rsid w:val="0017504D"/>
    <w:rsid w:val="0017671A"/>
    <w:rsid w:val="00177422"/>
    <w:rsid w:val="0018274C"/>
    <w:rsid w:val="00184590"/>
    <w:rsid w:val="00186BF0"/>
    <w:rsid w:val="001870D1"/>
    <w:rsid w:val="0018781E"/>
    <w:rsid w:val="0019262D"/>
    <w:rsid w:val="001A1B35"/>
    <w:rsid w:val="001A48A2"/>
    <w:rsid w:val="001A6F61"/>
    <w:rsid w:val="001B72B8"/>
    <w:rsid w:val="001C2192"/>
    <w:rsid w:val="001C69B3"/>
    <w:rsid w:val="001D4206"/>
    <w:rsid w:val="001D5595"/>
    <w:rsid w:val="001D7874"/>
    <w:rsid w:val="001D7F22"/>
    <w:rsid w:val="001E1408"/>
    <w:rsid w:val="001E373A"/>
    <w:rsid w:val="001F0F17"/>
    <w:rsid w:val="001F3347"/>
    <w:rsid w:val="001F444A"/>
    <w:rsid w:val="001F69E4"/>
    <w:rsid w:val="001F7D63"/>
    <w:rsid w:val="002125B4"/>
    <w:rsid w:val="00214BCD"/>
    <w:rsid w:val="002155B8"/>
    <w:rsid w:val="00216226"/>
    <w:rsid w:val="002237CB"/>
    <w:rsid w:val="002241E6"/>
    <w:rsid w:val="00224839"/>
    <w:rsid w:val="002249B2"/>
    <w:rsid w:val="00226574"/>
    <w:rsid w:val="002278EC"/>
    <w:rsid w:val="0023280E"/>
    <w:rsid w:val="002377D1"/>
    <w:rsid w:val="00242780"/>
    <w:rsid w:val="002506BC"/>
    <w:rsid w:val="00254345"/>
    <w:rsid w:val="00257894"/>
    <w:rsid w:val="00264557"/>
    <w:rsid w:val="00270BE1"/>
    <w:rsid w:val="002742D7"/>
    <w:rsid w:val="00277587"/>
    <w:rsid w:val="002805AB"/>
    <w:rsid w:val="00284204"/>
    <w:rsid w:val="00285085"/>
    <w:rsid w:val="0029011B"/>
    <w:rsid w:val="00291773"/>
    <w:rsid w:val="002A168C"/>
    <w:rsid w:val="002A3DC7"/>
    <w:rsid w:val="002B49E2"/>
    <w:rsid w:val="002B6923"/>
    <w:rsid w:val="002B7B00"/>
    <w:rsid w:val="002B7C44"/>
    <w:rsid w:val="002C2B17"/>
    <w:rsid w:val="002D0F6C"/>
    <w:rsid w:val="002D3DD0"/>
    <w:rsid w:val="002E01C1"/>
    <w:rsid w:val="002E1F3A"/>
    <w:rsid w:val="002E256C"/>
    <w:rsid w:val="002E298A"/>
    <w:rsid w:val="002F10D9"/>
    <w:rsid w:val="002F6074"/>
    <w:rsid w:val="00301978"/>
    <w:rsid w:val="0030332C"/>
    <w:rsid w:val="003051C2"/>
    <w:rsid w:val="00306295"/>
    <w:rsid w:val="00312296"/>
    <w:rsid w:val="0031380D"/>
    <w:rsid w:val="00314F0E"/>
    <w:rsid w:val="00321D8E"/>
    <w:rsid w:val="00325928"/>
    <w:rsid w:val="00332863"/>
    <w:rsid w:val="0033684D"/>
    <w:rsid w:val="00337B42"/>
    <w:rsid w:val="00341B42"/>
    <w:rsid w:val="0034348F"/>
    <w:rsid w:val="003550AC"/>
    <w:rsid w:val="00356653"/>
    <w:rsid w:val="0035743F"/>
    <w:rsid w:val="00357BE2"/>
    <w:rsid w:val="0036125B"/>
    <w:rsid w:val="0036170C"/>
    <w:rsid w:val="00362350"/>
    <w:rsid w:val="00366E0F"/>
    <w:rsid w:val="00374D55"/>
    <w:rsid w:val="003752C8"/>
    <w:rsid w:val="003770E8"/>
    <w:rsid w:val="00381A72"/>
    <w:rsid w:val="00384676"/>
    <w:rsid w:val="00384B9C"/>
    <w:rsid w:val="00390857"/>
    <w:rsid w:val="003A30E3"/>
    <w:rsid w:val="003A4BF3"/>
    <w:rsid w:val="003A6B66"/>
    <w:rsid w:val="003B1647"/>
    <w:rsid w:val="003B420D"/>
    <w:rsid w:val="003B606B"/>
    <w:rsid w:val="003C28DE"/>
    <w:rsid w:val="003C6C16"/>
    <w:rsid w:val="003D132A"/>
    <w:rsid w:val="003D21B2"/>
    <w:rsid w:val="003D4A45"/>
    <w:rsid w:val="003D6656"/>
    <w:rsid w:val="003D794D"/>
    <w:rsid w:val="003E3058"/>
    <w:rsid w:val="003E665D"/>
    <w:rsid w:val="003E76A9"/>
    <w:rsid w:val="003F0809"/>
    <w:rsid w:val="003F6A8C"/>
    <w:rsid w:val="003F755C"/>
    <w:rsid w:val="00404482"/>
    <w:rsid w:val="00405784"/>
    <w:rsid w:val="00406F01"/>
    <w:rsid w:val="00412157"/>
    <w:rsid w:val="00416D50"/>
    <w:rsid w:val="00416FD5"/>
    <w:rsid w:val="00417772"/>
    <w:rsid w:val="00420E6A"/>
    <w:rsid w:val="00425A9E"/>
    <w:rsid w:val="00426D6B"/>
    <w:rsid w:val="00431E6C"/>
    <w:rsid w:val="00432EC7"/>
    <w:rsid w:val="00433CE7"/>
    <w:rsid w:val="00434CBB"/>
    <w:rsid w:val="004370D0"/>
    <w:rsid w:val="00443541"/>
    <w:rsid w:val="00452738"/>
    <w:rsid w:val="00456091"/>
    <w:rsid w:val="0046550B"/>
    <w:rsid w:val="00466321"/>
    <w:rsid w:val="004672B9"/>
    <w:rsid w:val="004727EB"/>
    <w:rsid w:val="00484B9B"/>
    <w:rsid w:val="004855F6"/>
    <w:rsid w:val="0048661E"/>
    <w:rsid w:val="00493F4C"/>
    <w:rsid w:val="00494670"/>
    <w:rsid w:val="00494FFB"/>
    <w:rsid w:val="00496DA9"/>
    <w:rsid w:val="004A3823"/>
    <w:rsid w:val="004B207D"/>
    <w:rsid w:val="004B2B21"/>
    <w:rsid w:val="004B5B87"/>
    <w:rsid w:val="004C52E8"/>
    <w:rsid w:val="004D06E0"/>
    <w:rsid w:val="004D1A5B"/>
    <w:rsid w:val="004D4AEB"/>
    <w:rsid w:val="004D6899"/>
    <w:rsid w:val="004E27E3"/>
    <w:rsid w:val="004E2959"/>
    <w:rsid w:val="004E46EF"/>
    <w:rsid w:val="004E6946"/>
    <w:rsid w:val="004F1AD8"/>
    <w:rsid w:val="004F5EB1"/>
    <w:rsid w:val="005039CB"/>
    <w:rsid w:val="0050558F"/>
    <w:rsid w:val="00506286"/>
    <w:rsid w:val="00510813"/>
    <w:rsid w:val="00511990"/>
    <w:rsid w:val="00511DE0"/>
    <w:rsid w:val="00514870"/>
    <w:rsid w:val="00514B9B"/>
    <w:rsid w:val="00517F02"/>
    <w:rsid w:val="00524303"/>
    <w:rsid w:val="005258A2"/>
    <w:rsid w:val="005317D1"/>
    <w:rsid w:val="005319D6"/>
    <w:rsid w:val="005401AE"/>
    <w:rsid w:val="00542E07"/>
    <w:rsid w:val="00545424"/>
    <w:rsid w:val="00550470"/>
    <w:rsid w:val="00554A7B"/>
    <w:rsid w:val="0055572C"/>
    <w:rsid w:val="0056106A"/>
    <w:rsid w:val="005720AE"/>
    <w:rsid w:val="00580A7D"/>
    <w:rsid w:val="00586FEC"/>
    <w:rsid w:val="00594D77"/>
    <w:rsid w:val="005969E4"/>
    <w:rsid w:val="00597A6C"/>
    <w:rsid w:val="005A06B7"/>
    <w:rsid w:val="005A1759"/>
    <w:rsid w:val="005A68A7"/>
    <w:rsid w:val="005B238C"/>
    <w:rsid w:val="005B30B2"/>
    <w:rsid w:val="005C4D2E"/>
    <w:rsid w:val="005C6ADC"/>
    <w:rsid w:val="005C7758"/>
    <w:rsid w:val="005C7D27"/>
    <w:rsid w:val="005D36AB"/>
    <w:rsid w:val="005D440C"/>
    <w:rsid w:val="005E2322"/>
    <w:rsid w:val="005E6686"/>
    <w:rsid w:val="00612345"/>
    <w:rsid w:val="0061414F"/>
    <w:rsid w:val="0061649F"/>
    <w:rsid w:val="00616839"/>
    <w:rsid w:val="00617CC3"/>
    <w:rsid w:val="0063775F"/>
    <w:rsid w:val="006377A6"/>
    <w:rsid w:val="00637A3D"/>
    <w:rsid w:val="006411EF"/>
    <w:rsid w:val="00646D21"/>
    <w:rsid w:val="006748B8"/>
    <w:rsid w:val="006775C3"/>
    <w:rsid w:val="00690DF5"/>
    <w:rsid w:val="0069290A"/>
    <w:rsid w:val="0069775A"/>
    <w:rsid w:val="00697813"/>
    <w:rsid w:val="006A3EE8"/>
    <w:rsid w:val="006A72BF"/>
    <w:rsid w:val="006B03F2"/>
    <w:rsid w:val="006B31C3"/>
    <w:rsid w:val="006B37DC"/>
    <w:rsid w:val="006B4F68"/>
    <w:rsid w:val="006B708C"/>
    <w:rsid w:val="006C0592"/>
    <w:rsid w:val="006C272E"/>
    <w:rsid w:val="006C5479"/>
    <w:rsid w:val="006C5E97"/>
    <w:rsid w:val="006D0CE9"/>
    <w:rsid w:val="006D13B5"/>
    <w:rsid w:val="006D6270"/>
    <w:rsid w:val="006D6F3B"/>
    <w:rsid w:val="006E12FF"/>
    <w:rsid w:val="006E607E"/>
    <w:rsid w:val="00702588"/>
    <w:rsid w:val="00706C5D"/>
    <w:rsid w:val="0071106B"/>
    <w:rsid w:val="00726300"/>
    <w:rsid w:val="00727542"/>
    <w:rsid w:val="00732922"/>
    <w:rsid w:val="0075162E"/>
    <w:rsid w:val="00754034"/>
    <w:rsid w:val="00756556"/>
    <w:rsid w:val="007618C4"/>
    <w:rsid w:val="00762CE1"/>
    <w:rsid w:val="00767980"/>
    <w:rsid w:val="00770B19"/>
    <w:rsid w:val="00773916"/>
    <w:rsid w:val="0077463F"/>
    <w:rsid w:val="00783297"/>
    <w:rsid w:val="007836EA"/>
    <w:rsid w:val="00784CDA"/>
    <w:rsid w:val="00785607"/>
    <w:rsid w:val="007906C4"/>
    <w:rsid w:val="007940EA"/>
    <w:rsid w:val="007958E0"/>
    <w:rsid w:val="007967E8"/>
    <w:rsid w:val="007A2170"/>
    <w:rsid w:val="007A22BF"/>
    <w:rsid w:val="007A3323"/>
    <w:rsid w:val="007B72B8"/>
    <w:rsid w:val="007B7A58"/>
    <w:rsid w:val="007C21B5"/>
    <w:rsid w:val="007D0FD2"/>
    <w:rsid w:val="007E4BD2"/>
    <w:rsid w:val="007F1804"/>
    <w:rsid w:val="00801393"/>
    <w:rsid w:val="00802F88"/>
    <w:rsid w:val="008102F1"/>
    <w:rsid w:val="0081293E"/>
    <w:rsid w:val="00815465"/>
    <w:rsid w:val="00816543"/>
    <w:rsid w:val="00817E9A"/>
    <w:rsid w:val="008306BD"/>
    <w:rsid w:val="00831A80"/>
    <w:rsid w:val="00833743"/>
    <w:rsid w:val="008340A4"/>
    <w:rsid w:val="0087135F"/>
    <w:rsid w:val="00872D94"/>
    <w:rsid w:val="00873987"/>
    <w:rsid w:val="00880364"/>
    <w:rsid w:val="00885B23"/>
    <w:rsid w:val="008878D1"/>
    <w:rsid w:val="00891592"/>
    <w:rsid w:val="00891E9E"/>
    <w:rsid w:val="00893649"/>
    <w:rsid w:val="008A2B7D"/>
    <w:rsid w:val="008A2F68"/>
    <w:rsid w:val="008B4FA6"/>
    <w:rsid w:val="008B5282"/>
    <w:rsid w:val="008B73C2"/>
    <w:rsid w:val="008B7C17"/>
    <w:rsid w:val="008C2D01"/>
    <w:rsid w:val="008C40E6"/>
    <w:rsid w:val="008D0F7A"/>
    <w:rsid w:val="008D68E4"/>
    <w:rsid w:val="008D7C72"/>
    <w:rsid w:val="008E0506"/>
    <w:rsid w:val="008E0C60"/>
    <w:rsid w:val="008E0CFF"/>
    <w:rsid w:val="008E5D6B"/>
    <w:rsid w:val="008E6709"/>
    <w:rsid w:val="008E76F0"/>
    <w:rsid w:val="008F15FE"/>
    <w:rsid w:val="008F2D29"/>
    <w:rsid w:val="008F5187"/>
    <w:rsid w:val="008F60D8"/>
    <w:rsid w:val="00901BDB"/>
    <w:rsid w:val="00902727"/>
    <w:rsid w:val="0090312B"/>
    <w:rsid w:val="009049D8"/>
    <w:rsid w:val="0091736D"/>
    <w:rsid w:val="009269A2"/>
    <w:rsid w:val="0093037A"/>
    <w:rsid w:val="0093251C"/>
    <w:rsid w:val="0094154D"/>
    <w:rsid w:val="009444C8"/>
    <w:rsid w:val="0095155F"/>
    <w:rsid w:val="0095163E"/>
    <w:rsid w:val="00951FEE"/>
    <w:rsid w:val="00954429"/>
    <w:rsid w:val="009563CE"/>
    <w:rsid w:val="00973FB8"/>
    <w:rsid w:val="00975D66"/>
    <w:rsid w:val="00976328"/>
    <w:rsid w:val="0097680D"/>
    <w:rsid w:val="00982438"/>
    <w:rsid w:val="0098388D"/>
    <w:rsid w:val="0098404C"/>
    <w:rsid w:val="00985283"/>
    <w:rsid w:val="00995992"/>
    <w:rsid w:val="00997C1D"/>
    <w:rsid w:val="00997D30"/>
    <w:rsid w:val="009A03E5"/>
    <w:rsid w:val="009A0F3B"/>
    <w:rsid w:val="009A1BB4"/>
    <w:rsid w:val="009A2628"/>
    <w:rsid w:val="009A3200"/>
    <w:rsid w:val="009B0897"/>
    <w:rsid w:val="009B7BD9"/>
    <w:rsid w:val="009C2B14"/>
    <w:rsid w:val="009C4A59"/>
    <w:rsid w:val="009C7964"/>
    <w:rsid w:val="009C7DD5"/>
    <w:rsid w:val="009E227D"/>
    <w:rsid w:val="009E5019"/>
    <w:rsid w:val="009E6C19"/>
    <w:rsid w:val="009F26C3"/>
    <w:rsid w:val="009F2A4C"/>
    <w:rsid w:val="009F2E6D"/>
    <w:rsid w:val="00A04F1B"/>
    <w:rsid w:val="00A0501B"/>
    <w:rsid w:val="00A13691"/>
    <w:rsid w:val="00A14947"/>
    <w:rsid w:val="00A22C55"/>
    <w:rsid w:val="00A25B25"/>
    <w:rsid w:val="00A32A83"/>
    <w:rsid w:val="00A368DB"/>
    <w:rsid w:val="00A400FB"/>
    <w:rsid w:val="00A423AA"/>
    <w:rsid w:val="00A53EC6"/>
    <w:rsid w:val="00A558B1"/>
    <w:rsid w:val="00A55C0F"/>
    <w:rsid w:val="00A637A5"/>
    <w:rsid w:val="00A63CC8"/>
    <w:rsid w:val="00A641FB"/>
    <w:rsid w:val="00A6471C"/>
    <w:rsid w:val="00A71442"/>
    <w:rsid w:val="00A80993"/>
    <w:rsid w:val="00A8713F"/>
    <w:rsid w:val="00A87F45"/>
    <w:rsid w:val="00A90BA1"/>
    <w:rsid w:val="00A94098"/>
    <w:rsid w:val="00A97A9A"/>
    <w:rsid w:val="00AA0671"/>
    <w:rsid w:val="00AA2531"/>
    <w:rsid w:val="00AB1E09"/>
    <w:rsid w:val="00AB4329"/>
    <w:rsid w:val="00AB5330"/>
    <w:rsid w:val="00AB7747"/>
    <w:rsid w:val="00AC14CE"/>
    <w:rsid w:val="00AC2A56"/>
    <w:rsid w:val="00AD055E"/>
    <w:rsid w:val="00AD47A7"/>
    <w:rsid w:val="00AD7338"/>
    <w:rsid w:val="00AE30B0"/>
    <w:rsid w:val="00AF0CBF"/>
    <w:rsid w:val="00AF257F"/>
    <w:rsid w:val="00AF33CF"/>
    <w:rsid w:val="00AF4D50"/>
    <w:rsid w:val="00AF51CF"/>
    <w:rsid w:val="00AF6179"/>
    <w:rsid w:val="00B10543"/>
    <w:rsid w:val="00B1295A"/>
    <w:rsid w:val="00B20A45"/>
    <w:rsid w:val="00B22C5C"/>
    <w:rsid w:val="00B24F30"/>
    <w:rsid w:val="00B2528B"/>
    <w:rsid w:val="00B27763"/>
    <w:rsid w:val="00B31ABF"/>
    <w:rsid w:val="00B33BE3"/>
    <w:rsid w:val="00B51589"/>
    <w:rsid w:val="00B53B5D"/>
    <w:rsid w:val="00B6055E"/>
    <w:rsid w:val="00B6317D"/>
    <w:rsid w:val="00B639CD"/>
    <w:rsid w:val="00B64427"/>
    <w:rsid w:val="00B7723F"/>
    <w:rsid w:val="00B80534"/>
    <w:rsid w:val="00B82F2F"/>
    <w:rsid w:val="00B8433C"/>
    <w:rsid w:val="00B87491"/>
    <w:rsid w:val="00BA29E9"/>
    <w:rsid w:val="00BA3803"/>
    <w:rsid w:val="00BA61DE"/>
    <w:rsid w:val="00BA7142"/>
    <w:rsid w:val="00BB237C"/>
    <w:rsid w:val="00BB41A3"/>
    <w:rsid w:val="00BC32DC"/>
    <w:rsid w:val="00BC35B6"/>
    <w:rsid w:val="00BC62CF"/>
    <w:rsid w:val="00BC6B58"/>
    <w:rsid w:val="00BD1B51"/>
    <w:rsid w:val="00BD4596"/>
    <w:rsid w:val="00BD6C4C"/>
    <w:rsid w:val="00BE1405"/>
    <w:rsid w:val="00BE1545"/>
    <w:rsid w:val="00BE312D"/>
    <w:rsid w:val="00BF1C20"/>
    <w:rsid w:val="00C10578"/>
    <w:rsid w:val="00C12DE3"/>
    <w:rsid w:val="00C135BC"/>
    <w:rsid w:val="00C14B91"/>
    <w:rsid w:val="00C15C95"/>
    <w:rsid w:val="00C17D4C"/>
    <w:rsid w:val="00C2596A"/>
    <w:rsid w:val="00C27537"/>
    <w:rsid w:val="00C30909"/>
    <w:rsid w:val="00C328FE"/>
    <w:rsid w:val="00C33507"/>
    <w:rsid w:val="00C34DAD"/>
    <w:rsid w:val="00C4409D"/>
    <w:rsid w:val="00C44631"/>
    <w:rsid w:val="00C44E72"/>
    <w:rsid w:val="00C45A06"/>
    <w:rsid w:val="00C47E5B"/>
    <w:rsid w:val="00C61E4B"/>
    <w:rsid w:val="00C64BFF"/>
    <w:rsid w:val="00C704E9"/>
    <w:rsid w:val="00C763C9"/>
    <w:rsid w:val="00C80057"/>
    <w:rsid w:val="00C82232"/>
    <w:rsid w:val="00C823C4"/>
    <w:rsid w:val="00C82913"/>
    <w:rsid w:val="00C972B1"/>
    <w:rsid w:val="00CA115C"/>
    <w:rsid w:val="00CA2CCE"/>
    <w:rsid w:val="00CA43FD"/>
    <w:rsid w:val="00CA7EF8"/>
    <w:rsid w:val="00CC489B"/>
    <w:rsid w:val="00CD2BCD"/>
    <w:rsid w:val="00CD3A4C"/>
    <w:rsid w:val="00CD3A6B"/>
    <w:rsid w:val="00CE10E9"/>
    <w:rsid w:val="00CE2910"/>
    <w:rsid w:val="00CE5393"/>
    <w:rsid w:val="00CF36BE"/>
    <w:rsid w:val="00CF5500"/>
    <w:rsid w:val="00CF6000"/>
    <w:rsid w:val="00D003F3"/>
    <w:rsid w:val="00D0364F"/>
    <w:rsid w:val="00D06834"/>
    <w:rsid w:val="00D074CA"/>
    <w:rsid w:val="00D13BE5"/>
    <w:rsid w:val="00D21F47"/>
    <w:rsid w:val="00D23242"/>
    <w:rsid w:val="00D308ED"/>
    <w:rsid w:val="00D32B35"/>
    <w:rsid w:val="00D34085"/>
    <w:rsid w:val="00D36D86"/>
    <w:rsid w:val="00D409ED"/>
    <w:rsid w:val="00D40D69"/>
    <w:rsid w:val="00D428AA"/>
    <w:rsid w:val="00D4427A"/>
    <w:rsid w:val="00D5063D"/>
    <w:rsid w:val="00D50A34"/>
    <w:rsid w:val="00D53EFA"/>
    <w:rsid w:val="00D72607"/>
    <w:rsid w:val="00D7301C"/>
    <w:rsid w:val="00D743B5"/>
    <w:rsid w:val="00D816A8"/>
    <w:rsid w:val="00D86616"/>
    <w:rsid w:val="00D9012D"/>
    <w:rsid w:val="00D94A7C"/>
    <w:rsid w:val="00D95896"/>
    <w:rsid w:val="00D9637F"/>
    <w:rsid w:val="00DB2983"/>
    <w:rsid w:val="00DC1257"/>
    <w:rsid w:val="00DC3DC0"/>
    <w:rsid w:val="00DC5B2B"/>
    <w:rsid w:val="00DC5E6F"/>
    <w:rsid w:val="00DD318D"/>
    <w:rsid w:val="00DF2E12"/>
    <w:rsid w:val="00DF42C4"/>
    <w:rsid w:val="00DF514A"/>
    <w:rsid w:val="00DF6690"/>
    <w:rsid w:val="00DF6804"/>
    <w:rsid w:val="00E0358D"/>
    <w:rsid w:val="00E035BA"/>
    <w:rsid w:val="00E04323"/>
    <w:rsid w:val="00E070A2"/>
    <w:rsid w:val="00E132D7"/>
    <w:rsid w:val="00E236C7"/>
    <w:rsid w:val="00E2656A"/>
    <w:rsid w:val="00E32D5A"/>
    <w:rsid w:val="00E348CD"/>
    <w:rsid w:val="00E412D0"/>
    <w:rsid w:val="00E46AD2"/>
    <w:rsid w:val="00E56322"/>
    <w:rsid w:val="00E60982"/>
    <w:rsid w:val="00E62C62"/>
    <w:rsid w:val="00E654C1"/>
    <w:rsid w:val="00E65D97"/>
    <w:rsid w:val="00E72A5A"/>
    <w:rsid w:val="00E73354"/>
    <w:rsid w:val="00E9242D"/>
    <w:rsid w:val="00E97175"/>
    <w:rsid w:val="00EB5255"/>
    <w:rsid w:val="00EB5C47"/>
    <w:rsid w:val="00EC5454"/>
    <w:rsid w:val="00ED0639"/>
    <w:rsid w:val="00ED7216"/>
    <w:rsid w:val="00EF4755"/>
    <w:rsid w:val="00EF7135"/>
    <w:rsid w:val="00F027DB"/>
    <w:rsid w:val="00F05477"/>
    <w:rsid w:val="00F14A7A"/>
    <w:rsid w:val="00F15FB2"/>
    <w:rsid w:val="00F22985"/>
    <w:rsid w:val="00F27441"/>
    <w:rsid w:val="00F3383E"/>
    <w:rsid w:val="00F44F67"/>
    <w:rsid w:val="00F465A7"/>
    <w:rsid w:val="00F46D15"/>
    <w:rsid w:val="00F50B7C"/>
    <w:rsid w:val="00F50CDF"/>
    <w:rsid w:val="00F550E6"/>
    <w:rsid w:val="00F72CA9"/>
    <w:rsid w:val="00F74345"/>
    <w:rsid w:val="00F75D4D"/>
    <w:rsid w:val="00F80A0A"/>
    <w:rsid w:val="00F82B19"/>
    <w:rsid w:val="00F9212D"/>
    <w:rsid w:val="00F965DA"/>
    <w:rsid w:val="00FA19CB"/>
    <w:rsid w:val="00FA406A"/>
    <w:rsid w:val="00FA4C1D"/>
    <w:rsid w:val="00FB4547"/>
    <w:rsid w:val="00FB503A"/>
    <w:rsid w:val="00FB516C"/>
    <w:rsid w:val="00FC3E1B"/>
    <w:rsid w:val="00FD0236"/>
    <w:rsid w:val="00FD18F4"/>
    <w:rsid w:val="00FD413E"/>
    <w:rsid w:val="00FD49C0"/>
    <w:rsid w:val="00FD54DB"/>
    <w:rsid w:val="00FD619F"/>
    <w:rsid w:val="00FE7031"/>
    <w:rsid w:val="00FE7DB8"/>
    <w:rsid w:val="00FF56BA"/>
    <w:rsid w:val="0100296B"/>
    <w:rsid w:val="0100390C"/>
    <w:rsid w:val="0103164E"/>
    <w:rsid w:val="010A478A"/>
    <w:rsid w:val="010A6538"/>
    <w:rsid w:val="010B22B0"/>
    <w:rsid w:val="010B2944"/>
    <w:rsid w:val="010D040C"/>
    <w:rsid w:val="010D427B"/>
    <w:rsid w:val="010F7FF3"/>
    <w:rsid w:val="01101675"/>
    <w:rsid w:val="011078C7"/>
    <w:rsid w:val="01113D6B"/>
    <w:rsid w:val="01115B19"/>
    <w:rsid w:val="01130DE1"/>
    <w:rsid w:val="011473B7"/>
    <w:rsid w:val="011776BC"/>
    <w:rsid w:val="01192C1F"/>
    <w:rsid w:val="011949CD"/>
    <w:rsid w:val="0119677B"/>
    <w:rsid w:val="011B0745"/>
    <w:rsid w:val="011E3D92"/>
    <w:rsid w:val="01220DDD"/>
    <w:rsid w:val="012515C4"/>
    <w:rsid w:val="01253372"/>
    <w:rsid w:val="01284C10"/>
    <w:rsid w:val="01290F7E"/>
    <w:rsid w:val="012F0302"/>
    <w:rsid w:val="01317F69"/>
    <w:rsid w:val="01323CE1"/>
    <w:rsid w:val="01325A8F"/>
    <w:rsid w:val="01390BCC"/>
    <w:rsid w:val="013B2B96"/>
    <w:rsid w:val="013B4944"/>
    <w:rsid w:val="013B6B5D"/>
    <w:rsid w:val="013E2686"/>
    <w:rsid w:val="013E61E2"/>
    <w:rsid w:val="0141454A"/>
    <w:rsid w:val="01422176"/>
    <w:rsid w:val="01423F24"/>
    <w:rsid w:val="01431A4A"/>
    <w:rsid w:val="01437248"/>
    <w:rsid w:val="01440997"/>
    <w:rsid w:val="01443FE5"/>
    <w:rsid w:val="014445EC"/>
    <w:rsid w:val="014557C2"/>
    <w:rsid w:val="014632E9"/>
    <w:rsid w:val="01476590"/>
    <w:rsid w:val="014A2DD9"/>
    <w:rsid w:val="014B4F11"/>
    <w:rsid w:val="014D4677"/>
    <w:rsid w:val="014F03EF"/>
    <w:rsid w:val="014F54F6"/>
    <w:rsid w:val="014F6641"/>
    <w:rsid w:val="01510DA4"/>
    <w:rsid w:val="01521C8D"/>
    <w:rsid w:val="0156177E"/>
    <w:rsid w:val="01565C22"/>
    <w:rsid w:val="0159126E"/>
    <w:rsid w:val="015920E6"/>
    <w:rsid w:val="015B75D7"/>
    <w:rsid w:val="015D1E09"/>
    <w:rsid w:val="015E6DD6"/>
    <w:rsid w:val="01610EEE"/>
    <w:rsid w:val="016248D9"/>
    <w:rsid w:val="0163262B"/>
    <w:rsid w:val="01632C16"/>
    <w:rsid w:val="0167398B"/>
    <w:rsid w:val="01695955"/>
    <w:rsid w:val="016A5229"/>
    <w:rsid w:val="016B67F3"/>
    <w:rsid w:val="016F283F"/>
    <w:rsid w:val="01707E5A"/>
    <w:rsid w:val="01710365"/>
    <w:rsid w:val="0171129A"/>
    <w:rsid w:val="017117FD"/>
    <w:rsid w:val="01722330"/>
    <w:rsid w:val="017442FA"/>
    <w:rsid w:val="017460A8"/>
    <w:rsid w:val="01757692"/>
    <w:rsid w:val="01761E20"/>
    <w:rsid w:val="01763BCE"/>
    <w:rsid w:val="01797350"/>
    <w:rsid w:val="017A7933"/>
    <w:rsid w:val="017C0051"/>
    <w:rsid w:val="017C3DDA"/>
    <w:rsid w:val="017D14D2"/>
    <w:rsid w:val="017E0CD4"/>
    <w:rsid w:val="017E597C"/>
    <w:rsid w:val="01814321"/>
    <w:rsid w:val="018502B5"/>
    <w:rsid w:val="01850DB7"/>
    <w:rsid w:val="01877B89"/>
    <w:rsid w:val="018B1DB6"/>
    <w:rsid w:val="018C5630"/>
    <w:rsid w:val="018D0F17"/>
    <w:rsid w:val="018F2A41"/>
    <w:rsid w:val="018F2EE2"/>
    <w:rsid w:val="019127B6"/>
    <w:rsid w:val="0191425A"/>
    <w:rsid w:val="01934780"/>
    <w:rsid w:val="01944054"/>
    <w:rsid w:val="0194674A"/>
    <w:rsid w:val="01993D78"/>
    <w:rsid w:val="019A0A09"/>
    <w:rsid w:val="019A399C"/>
    <w:rsid w:val="019B3634"/>
    <w:rsid w:val="019B53E2"/>
    <w:rsid w:val="019E3125"/>
    <w:rsid w:val="019E50A1"/>
    <w:rsid w:val="01A00C4B"/>
    <w:rsid w:val="01A22C15"/>
    <w:rsid w:val="01A249C3"/>
    <w:rsid w:val="01A26771"/>
    <w:rsid w:val="01A4698D"/>
    <w:rsid w:val="01A56261"/>
    <w:rsid w:val="01A611B0"/>
    <w:rsid w:val="01A7022B"/>
    <w:rsid w:val="01A74FC8"/>
    <w:rsid w:val="01AD08E0"/>
    <w:rsid w:val="01AD5116"/>
    <w:rsid w:val="01AE030F"/>
    <w:rsid w:val="01AE6806"/>
    <w:rsid w:val="01AF5332"/>
    <w:rsid w:val="01AF70E0"/>
    <w:rsid w:val="01B00A18"/>
    <w:rsid w:val="01B12E58"/>
    <w:rsid w:val="01B15B4D"/>
    <w:rsid w:val="01B42948"/>
    <w:rsid w:val="01B82438"/>
    <w:rsid w:val="01B97F5E"/>
    <w:rsid w:val="01BB7833"/>
    <w:rsid w:val="01BE281B"/>
    <w:rsid w:val="01BF5575"/>
    <w:rsid w:val="01C052F5"/>
    <w:rsid w:val="01C05C39"/>
    <w:rsid w:val="01C06EC1"/>
    <w:rsid w:val="01C25065"/>
    <w:rsid w:val="01C403FC"/>
    <w:rsid w:val="01C40DDD"/>
    <w:rsid w:val="01C42B8B"/>
    <w:rsid w:val="01C56903"/>
    <w:rsid w:val="01CA216C"/>
    <w:rsid w:val="01CF1530"/>
    <w:rsid w:val="01CF7782"/>
    <w:rsid w:val="01D46B46"/>
    <w:rsid w:val="01D7751B"/>
    <w:rsid w:val="01D825CC"/>
    <w:rsid w:val="01D95F0B"/>
    <w:rsid w:val="01DB07D3"/>
    <w:rsid w:val="01DD1E9F"/>
    <w:rsid w:val="01E4322D"/>
    <w:rsid w:val="01E44FDB"/>
    <w:rsid w:val="01E46D89"/>
    <w:rsid w:val="01E74ACC"/>
    <w:rsid w:val="01E750D5"/>
    <w:rsid w:val="01E81930"/>
    <w:rsid w:val="01E83A82"/>
    <w:rsid w:val="01E90844"/>
    <w:rsid w:val="01E925F2"/>
    <w:rsid w:val="01E943A0"/>
    <w:rsid w:val="01EC20E2"/>
    <w:rsid w:val="01ED5016"/>
    <w:rsid w:val="01EE19B6"/>
    <w:rsid w:val="01F1403A"/>
    <w:rsid w:val="01F21583"/>
    <w:rsid w:val="01F52AA4"/>
    <w:rsid w:val="01F80A87"/>
    <w:rsid w:val="01F81425"/>
    <w:rsid w:val="01F82835"/>
    <w:rsid w:val="01FA65AD"/>
    <w:rsid w:val="02013C18"/>
    <w:rsid w:val="02056D00"/>
    <w:rsid w:val="020611E9"/>
    <w:rsid w:val="020923AA"/>
    <w:rsid w:val="020B6A0C"/>
    <w:rsid w:val="020F7B7E"/>
    <w:rsid w:val="02105DD0"/>
    <w:rsid w:val="02112AE3"/>
    <w:rsid w:val="021138F7"/>
    <w:rsid w:val="02117D9A"/>
    <w:rsid w:val="02124B9D"/>
    <w:rsid w:val="0215094D"/>
    <w:rsid w:val="02151639"/>
    <w:rsid w:val="021533E7"/>
    <w:rsid w:val="02160F0D"/>
    <w:rsid w:val="02182ED7"/>
    <w:rsid w:val="02186A33"/>
    <w:rsid w:val="021A27AB"/>
    <w:rsid w:val="021A6C4F"/>
    <w:rsid w:val="021B4775"/>
    <w:rsid w:val="021D04ED"/>
    <w:rsid w:val="021F7DC1"/>
    <w:rsid w:val="02203B3A"/>
    <w:rsid w:val="02223D56"/>
    <w:rsid w:val="0223122F"/>
    <w:rsid w:val="02251150"/>
    <w:rsid w:val="022573A2"/>
    <w:rsid w:val="0227311A"/>
    <w:rsid w:val="022C5D05"/>
    <w:rsid w:val="022C6982"/>
    <w:rsid w:val="022F1363"/>
    <w:rsid w:val="02313F99"/>
    <w:rsid w:val="02356D8C"/>
    <w:rsid w:val="02375428"/>
    <w:rsid w:val="0237604D"/>
    <w:rsid w:val="023962ED"/>
    <w:rsid w:val="023A109F"/>
    <w:rsid w:val="023A1BC8"/>
    <w:rsid w:val="023A2E4D"/>
    <w:rsid w:val="023A35B8"/>
    <w:rsid w:val="023A4BFB"/>
    <w:rsid w:val="023B6BC5"/>
    <w:rsid w:val="023C3FDD"/>
    <w:rsid w:val="023F2212"/>
    <w:rsid w:val="023F66B6"/>
    <w:rsid w:val="024261A6"/>
    <w:rsid w:val="02453941"/>
    <w:rsid w:val="0247556A"/>
    <w:rsid w:val="024837DC"/>
    <w:rsid w:val="024912E2"/>
    <w:rsid w:val="024C492F"/>
    <w:rsid w:val="02551A35"/>
    <w:rsid w:val="02554BDF"/>
    <w:rsid w:val="02557C87"/>
    <w:rsid w:val="02581525"/>
    <w:rsid w:val="025832D3"/>
    <w:rsid w:val="02597332"/>
    <w:rsid w:val="025A34EF"/>
    <w:rsid w:val="025A49F3"/>
    <w:rsid w:val="025F388A"/>
    <w:rsid w:val="026003DA"/>
    <w:rsid w:val="0261662C"/>
    <w:rsid w:val="02641C78"/>
    <w:rsid w:val="02644444"/>
    <w:rsid w:val="02681CBE"/>
    <w:rsid w:val="02697903"/>
    <w:rsid w:val="026E67DA"/>
    <w:rsid w:val="02702D13"/>
    <w:rsid w:val="02714395"/>
    <w:rsid w:val="0272202F"/>
    <w:rsid w:val="027345B1"/>
    <w:rsid w:val="0273635F"/>
    <w:rsid w:val="02775E4F"/>
    <w:rsid w:val="02781BC8"/>
    <w:rsid w:val="02785724"/>
    <w:rsid w:val="027A5940"/>
    <w:rsid w:val="027A76EE"/>
    <w:rsid w:val="027C0F8A"/>
    <w:rsid w:val="027D0F8C"/>
    <w:rsid w:val="027D172A"/>
    <w:rsid w:val="0281653D"/>
    <w:rsid w:val="028247F4"/>
    <w:rsid w:val="028440C8"/>
    <w:rsid w:val="02866093"/>
    <w:rsid w:val="02867E41"/>
    <w:rsid w:val="02881E0B"/>
    <w:rsid w:val="02885121"/>
    <w:rsid w:val="028B18FB"/>
    <w:rsid w:val="028B36A9"/>
    <w:rsid w:val="028D7421"/>
    <w:rsid w:val="029019DF"/>
    <w:rsid w:val="0292348F"/>
    <w:rsid w:val="02924C6C"/>
    <w:rsid w:val="02936A01"/>
    <w:rsid w:val="02961BA2"/>
    <w:rsid w:val="02963DFC"/>
    <w:rsid w:val="02975B92"/>
    <w:rsid w:val="029C0D07"/>
    <w:rsid w:val="029C3B08"/>
    <w:rsid w:val="029C5E27"/>
    <w:rsid w:val="029C7664"/>
    <w:rsid w:val="029F2C5A"/>
    <w:rsid w:val="029F7154"/>
    <w:rsid w:val="02A124A1"/>
    <w:rsid w:val="02A36C44"/>
    <w:rsid w:val="02A46519"/>
    <w:rsid w:val="02A62291"/>
    <w:rsid w:val="02A76009"/>
    <w:rsid w:val="02A824AD"/>
    <w:rsid w:val="02A8425B"/>
    <w:rsid w:val="02A96DE6"/>
    <w:rsid w:val="02A97FD3"/>
    <w:rsid w:val="02AA2D7A"/>
    <w:rsid w:val="02AB3D4B"/>
    <w:rsid w:val="02AD7AC3"/>
    <w:rsid w:val="02AE3782"/>
    <w:rsid w:val="02AE7397"/>
    <w:rsid w:val="02AF383B"/>
    <w:rsid w:val="02B011F1"/>
    <w:rsid w:val="02B5285C"/>
    <w:rsid w:val="02BC3862"/>
    <w:rsid w:val="02BC7D06"/>
    <w:rsid w:val="02BD7B3A"/>
    <w:rsid w:val="02BE582C"/>
    <w:rsid w:val="02BF4C29"/>
    <w:rsid w:val="02BF77F6"/>
    <w:rsid w:val="02C10E79"/>
    <w:rsid w:val="02C637E1"/>
    <w:rsid w:val="02C67BA4"/>
    <w:rsid w:val="02C85774"/>
    <w:rsid w:val="02C941D1"/>
    <w:rsid w:val="02CA35F2"/>
    <w:rsid w:val="02CB7F49"/>
    <w:rsid w:val="02CC4FC6"/>
    <w:rsid w:val="02CD5A6F"/>
    <w:rsid w:val="02CD73A2"/>
    <w:rsid w:val="02CE3596"/>
    <w:rsid w:val="02D36F87"/>
    <w:rsid w:val="02D432A2"/>
    <w:rsid w:val="02D46D8B"/>
    <w:rsid w:val="02D67718"/>
    <w:rsid w:val="02D7069C"/>
    <w:rsid w:val="02D74B40"/>
    <w:rsid w:val="02DC0C59"/>
    <w:rsid w:val="02DC2156"/>
    <w:rsid w:val="02DE5ECF"/>
    <w:rsid w:val="02DF4388"/>
    <w:rsid w:val="02E03159"/>
    <w:rsid w:val="02E103FD"/>
    <w:rsid w:val="02E132C9"/>
    <w:rsid w:val="02E37041"/>
    <w:rsid w:val="02E5725D"/>
    <w:rsid w:val="02E62FD5"/>
    <w:rsid w:val="02E828A9"/>
    <w:rsid w:val="02ED7EC0"/>
    <w:rsid w:val="02F0175E"/>
    <w:rsid w:val="02F0687C"/>
    <w:rsid w:val="02F07327"/>
    <w:rsid w:val="02F079B0"/>
    <w:rsid w:val="02F172F1"/>
    <w:rsid w:val="02F318A6"/>
    <w:rsid w:val="02F56D74"/>
    <w:rsid w:val="02F94AB6"/>
    <w:rsid w:val="02F96569"/>
    <w:rsid w:val="02FC0103"/>
    <w:rsid w:val="02FC551B"/>
    <w:rsid w:val="02FD760E"/>
    <w:rsid w:val="02FE589F"/>
    <w:rsid w:val="02FF5E45"/>
    <w:rsid w:val="03011BBD"/>
    <w:rsid w:val="0301396B"/>
    <w:rsid w:val="030274C7"/>
    <w:rsid w:val="030376E3"/>
    <w:rsid w:val="03060F81"/>
    <w:rsid w:val="03061EB2"/>
    <w:rsid w:val="03065425"/>
    <w:rsid w:val="030671D3"/>
    <w:rsid w:val="030C3B58"/>
    <w:rsid w:val="03103BAE"/>
    <w:rsid w:val="03127926"/>
    <w:rsid w:val="031511C4"/>
    <w:rsid w:val="03186E87"/>
    <w:rsid w:val="03247659"/>
    <w:rsid w:val="03253AFD"/>
    <w:rsid w:val="03264CA2"/>
    <w:rsid w:val="032A0501"/>
    <w:rsid w:val="032D4760"/>
    <w:rsid w:val="032D650E"/>
    <w:rsid w:val="032E493A"/>
    <w:rsid w:val="03313C30"/>
    <w:rsid w:val="03321D76"/>
    <w:rsid w:val="0334351C"/>
    <w:rsid w:val="03353615"/>
    <w:rsid w:val="03367AB9"/>
    <w:rsid w:val="033C49A3"/>
    <w:rsid w:val="033E4BBF"/>
    <w:rsid w:val="033E4DA4"/>
    <w:rsid w:val="033E696D"/>
    <w:rsid w:val="03402295"/>
    <w:rsid w:val="03411FB9"/>
    <w:rsid w:val="0341645D"/>
    <w:rsid w:val="03420B4B"/>
    <w:rsid w:val="03465822"/>
    <w:rsid w:val="034877EC"/>
    <w:rsid w:val="034C10AB"/>
    <w:rsid w:val="034C2839"/>
    <w:rsid w:val="034D6BB0"/>
    <w:rsid w:val="034D6F3D"/>
    <w:rsid w:val="034D7218"/>
    <w:rsid w:val="034F46D6"/>
    <w:rsid w:val="035241C7"/>
    <w:rsid w:val="03525F75"/>
    <w:rsid w:val="03541B9B"/>
    <w:rsid w:val="03546191"/>
    <w:rsid w:val="03550F8F"/>
    <w:rsid w:val="035523FF"/>
    <w:rsid w:val="03561F09"/>
    <w:rsid w:val="035C5045"/>
    <w:rsid w:val="035D1F6C"/>
    <w:rsid w:val="035E0DBD"/>
    <w:rsid w:val="035F2804"/>
    <w:rsid w:val="0361440A"/>
    <w:rsid w:val="0365214C"/>
    <w:rsid w:val="03685798"/>
    <w:rsid w:val="0371289F"/>
    <w:rsid w:val="037203C5"/>
    <w:rsid w:val="0374238F"/>
    <w:rsid w:val="03757A44"/>
    <w:rsid w:val="03791753"/>
    <w:rsid w:val="037B196F"/>
    <w:rsid w:val="037C7496"/>
    <w:rsid w:val="037E320E"/>
    <w:rsid w:val="037E6D6A"/>
    <w:rsid w:val="038325D2"/>
    <w:rsid w:val="038426E0"/>
    <w:rsid w:val="038500F8"/>
    <w:rsid w:val="03863E70"/>
    <w:rsid w:val="0388663C"/>
    <w:rsid w:val="038A7822"/>
    <w:rsid w:val="038C592B"/>
    <w:rsid w:val="038E37EF"/>
    <w:rsid w:val="038E4869"/>
    <w:rsid w:val="03916F6C"/>
    <w:rsid w:val="0394658D"/>
    <w:rsid w:val="0397607D"/>
    <w:rsid w:val="03990047"/>
    <w:rsid w:val="039B52E1"/>
    <w:rsid w:val="039B5B6E"/>
    <w:rsid w:val="039B66C4"/>
    <w:rsid w:val="039D7C1E"/>
    <w:rsid w:val="039F36E7"/>
    <w:rsid w:val="03A03184"/>
    <w:rsid w:val="03A26321"/>
    <w:rsid w:val="03A67BD0"/>
    <w:rsid w:val="03A72764"/>
    <w:rsid w:val="03A8313C"/>
    <w:rsid w:val="03A85635"/>
    <w:rsid w:val="03A9126F"/>
    <w:rsid w:val="03A96934"/>
    <w:rsid w:val="03AA4003"/>
    <w:rsid w:val="03AD750E"/>
    <w:rsid w:val="03B409DD"/>
    <w:rsid w:val="03B53475"/>
    <w:rsid w:val="03B67D67"/>
    <w:rsid w:val="03B804CE"/>
    <w:rsid w:val="03B82117"/>
    <w:rsid w:val="03B94246"/>
    <w:rsid w:val="03BB1E38"/>
    <w:rsid w:val="03BB4BA1"/>
    <w:rsid w:val="03BC7892"/>
    <w:rsid w:val="03BD55AE"/>
    <w:rsid w:val="03BE7AAE"/>
    <w:rsid w:val="03C03826"/>
    <w:rsid w:val="03C055D4"/>
    <w:rsid w:val="03C350C4"/>
    <w:rsid w:val="03C506F6"/>
    <w:rsid w:val="03C50E3C"/>
    <w:rsid w:val="03C61399"/>
    <w:rsid w:val="03C74BB5"/>
    <w:rsid w:val="03CA0201"/>
    <w:rsid w:val="03CA2E53"/>
    <w:rsid w:val="03CC3F79"/>
    <w:rsid w:val="03CE5F43"/>
    <w:rsid w:val="03CE7CF1"/>
    <w:rsid w:val="03CF5817"/>
    <w:rsid w:val="03D2588F"/>
    <w:rsid w:val="03D41080"/>
    <w:rsid w:val="03D51396"/>
    <w:rsid w:val="03D54524"/>
    <w:rsid w:val="03D64DF8"/>
    <w:rsid w:val="03D80B70"/>
    <w:rsid w:val="03D96696"/>
    <w:rsid w:val="03DA4021"/>
    <w:rsid w:val="03DA48E8"/>
    <w:rsid w:val="03DF15D3"/>
    <w:rsid w:val="03E07A24"/>
    <w:rsid w:val="03E272F9"/>
    <w:rsid w:val="03E42B6C"/>
    <w:rsid w:val="03E45101"/>
    <w:rsid w:val="03E47515"/>
    <w:rsid w:val="03E5328D"/>
    <w:rsid w:val="03E77D65"/>
    <w:rsid w:val="03EA6761"/>
    <w:rsid w:val="03EA7B21"/>
    <w:rsid w:val="03EC0177"/>
    <w:rsid w:val="03EE2141"/>
    <w:rsid w:val="03EF199A"/>
    <w:rsid w:val="03EF1A15"/>
    <w:rsid w:val="03F11C32"/>
    <w:rsid w:val="03F21588"/>
    <w:rsid w:val="03F30D40"/>
    <w:rsid w:val="03F4527E"/>
    <w:rsid w:val="03F67248"/>
    <w:rsid w:val="03FB03BA"/>
    <w:rsid w:val="03FB485E"/>
    <w:rsid w:val="03FB660C"/>
    <w:rsid w:val="03FE48CF"/>
    <w:rsid w:val="040000C7"/>
    <w:rsid w:val="0401090C"/>
    <w:rsid w:val="040A4AA1"/>
    <w:rsid w:val="040B6BAC"/>
    <w:rsid w:val="040D1192"/>
    <w:rsid w:val="040E2921"/>
    <w:rsid w:val="040F3E66"/>
    <w:rsid w:val="04105E33"/>
    <w:rsid w:val="04114082"/>
    <w:rsid w:val="04125C99"/>
    <w:rsid w:val="04163446"/>
    <w:rsid w:val="041651F4"/>
    <w:rsid w:val="04180F6C"/>
    <w:rsid w:val="041D2A27"/>
    <w:rsid w:val="041D6583"/>
    <w:rsid w:val="042042C5"/>
    <w:rsid w:val="04206073"/>
    <w:rsid w:val="04212517"/>
    <w:rsid w:val="04224566"/>
    <w:rsid w:val="04253689"/>
    <w:rsid w:val="04267B2D"/>
    <w:rsid w:val="042711AF"/>
    <w:rsid w:val="04275653"/>
    <w:rsid w:val="042913CB"/>
    <w:rsid w:val="042C2C6A"/>
    <w:rsid w:val="042C4A18"/>
    <w:rsid w:val="042F4508"/>
    <w:rsid w:val="043164D2"/>
    <w:rsid w:val="043240A9"/>
    <w:rsid w:val="043467F3"/>
    <w:rsid w:val="0439760D"/>
    <w:rsid w:val="043B2EAD"/>
    <w:rsid w:val="043B3CCE"/>
    <w:rsid w:val="043C33BD"/>
    <w:rsid w:val="043D09D3"/>
    <w:rsid w:val="043D4E77"/>
    <w:rsid w:val="043D6C25"/>
    <w:rsid w:val="043E429C"/>
    <w:rsid w:val="043F4E15"/>
    <w:rsid w:val="04402271"/>
    <w:rsid w:val="04406715"/>
    <w:rsid w:val="04425FE9"/>
    <w:rsid w:val="04446205"/>
    <w:rsid w:val="04447FB3"/>
    <w:rsid w:val="04455AD9"/>
    <w:rsid w:val="04463D2B"/>
    <w:rsid w:val="044A6E51"/>
    <w:rsid w:val="044C50BA"/>
    <w:rsid w:val="04504BAA"/>
    <w:rsid w:val="045126D0"/>
    <w:rsid w:val="04514B1F"/>
    <w:rsid w:val="045347A8"/>
    <w:rsid w:val="045521C0"/>
    <w:rsid w:val="04575F38"/>
    <w:rsid w:val="04577FC5"/>
    <w:rsid w:val="045954B6"/>
    <w:rsid w:val="045A3333"/>
    <w:rsid w:val="045D72C7"/>
    <w:rsid w:val="045F3D6A"/>
    <w:rsid w:val="046027B8"/>
    <w:rsid w:val="046046C1"/>
    <w:rsid w:val="04620439"/>
    <w:rsid w:val="0462668B"/>
    <w:rsid w:val="04657F2A"/>
    <w:rsid w:val="0466617C"/>
    <w:rsid w:val="04677A9E"/>
    <w:rsid w:val="046837CA"/>
    <w:rsid w:val="0469686D"/>
    <w:rsid w:val="046A643B"/>
    <w:rsid w:val="046B5540"/>
    <w:rsid w:val="046C1E4B"/>
    <w:rsid w:val="046E69E2"/>
    <w:rsid w:val="046F035B"/>
    <w:rsid w:val="04706FFA"/>
    <w:rsid w:val="04732647"/>
    <w:rsid w:val="0473673D"/>
    <w:rsid w:val="04765325"/>
    <w:rsid w:val="04785EAF"/>
    <w:rsid w:val="04787C5D"/>
    <w:rsid w:val="047A39D5"/>
    <w:rsid w:val="047B1F91"/>
    <w:rsid w:val="047C774D"/>
    <w:rsid w:val="047F0663"/>
    <w:rsid w:val="04801DA2"/>
    <w:rsid w:val="0481143B"/>
    <w:rsid w:val="04874344"/>
    <w:rsid w:val="048812F8"/>
    <w:rsid w:val="04891E6A"/>
    <w:rsid w:val="048A698E"/>
    <w:rsid w:val="048B5B27"/>
    <w:rsid w:val="048C0345"/>
    <w:rsid w:val="048C54B6"/>
    <w:rsid w:val="04926F71"/>
    <w:rsid w:val="04932CE9"/>
    <w:rsid w:val="04936845"/>
    <w:rsid w:val="04974587"/>
    <w:rsid w:val="049C1B9D"/>
    <w:rsid w:val="049F51EA"/>
    <w:rsid w:val="04A15406"/>
    <w:rsid w:val="04A22F2C"/>
    <w:rsid w:val="04A40A52"/>
    <w:rsid w:val="04A44EF6"/>
    <w:rsid w:val="04A50286"/>
    <w:rsid w:val="04AC1F40"/>
    <w:rsid w:val="04AC5B58"/>
    <w:rsid w:val="04AC7907"/>
    <w:rsid w:val="04AE18D1"/>
    <w:rsid w:val="04AF1AE6"/>
    <w:rsid w:val="04B05649"/>
    <w:rsid w:val="04B2316F"/>
    <w:rsid w:val="04B52C5F"/>
    <w:rsid w:val="04B54A0D"/>
    <w:rsid w:val="04B844FD"/>
    <w:rsid w:val="04B86C60"/>
    <w:rsid w:val="04BB4853"/>
    <w:rsid w:val="04BD7D66"/>
    <w:rsid w:val="04C11604"/>
    <w:rsid w:val="04C17856"/>
    <w:rsid w:val="04C26D5E"/>
    <w:rsid w:val="04C335CE"/>
    <w:rsid w:val="04C66C1A"/>
    <w:rsid w:val="04C904B8"/>
    <w:rsid w:val="04CC1D57"/>
    <w:rsid w:val="04CE1F73"/>
    <w:rsid w:val="04D01847"/>
    <w:rsid w:val="04D05CEB"/>
    <w:rsid w:val="04D1736D"/>
    <w:rsid w:val="04D550AF"/>
    <w:rsid w:val="04D67E51"/>
    <w:rsid w:val="04D74983"/>
    <w:rsid w:val="04D806FC"/>
    <w:rsid w:val="04DB516B"/>
    <w:rsid w:val="04DF7CDC"/>
    <w:rsid w:val="04E43238"/>
    <w:rsid w:val="04E459E6"/>
    <w:rsid w:val="04E86B91"/>
    <w:rsid w:val="04EA0D61"/>
    <w:rsid w:val="04EB6681"/>
    <w:rsid w:val="04ED6252"/>
    <w:rsid w:val="04EF43C3"/>
    <w:rsid w:val="04F05A45"/>
    <w:rsid w:val="04F07A60"/>
    <w:rsid w:val="04F418B0"/>
    <w:rsid w:val="04F419D9"/>
    <w:rsid w:val="04F55751"/>
    <w:rsid w:val="04F574FF"/>
    <w:rsid w:val="04F73278"/>
    <w:rsid w:val="04F75026"/>
    <w:rsid w:val="04F96FF0"/>
    <w:rsid w:val="04FC1488"/>
    <w:rsid w:val="04FC6AE0"/>
    <w:rsid w:val="04FE4606"/>
    <w:rsid w:val="04FF3EDA"/>
    <w:rsid w:val="05014F6A"/>
    <w:rsid w:val="05015B58"/>
    <w:rsid w:val="05025778"/>
    <w:rsid w:val="05031C1C"/>
    <w:rsid w:val="050339CA"/>
    <w:rsid w:val="05061743"/>
    <w:rsid w:val="0508107A"/>
    <w:rsid w:val="05087233"/>
    <w:rsid w:val="05092FAB"/>
    <w:rsid w:val="050B0AD1"/>
    <w:rsid w:val="050B287F"/>
    <w:rsid w:val="050E015C"/>
    <w:rsid w:val="050F05C1"/>
    <w:rsid w:val="050F7ADA"/>
    <w:rsid w:val="05102B0D"/>
    <w:rsid w:val="05104339"/>
    <w:rsid w:val="05111DAD"/>
    <w:rsid w:val="05115244"/>
    <w:rsid w:val="05120775"/>
    <w:rsid w:val="05141EB3"/>
    <w:rsid w:val="05143E2A"/>
    <w:rsid w:val="05145BD8"/>
    <w:rsid w:val="051536FE"/>
    <w:rsid w:val="0515468E"/>
    <w:rsid w:val="0515545E"/>
    <w:rsid w:val="05177476"/>
    <w:rsid w:val="05191440"/>
    <w:rsid w:val="0519332B"/>
    <w:rsid w:val="051A6F66"/>
    <w:rsid w:val="051C7496"/>
    <w:rsid w:val="051E25B2"/>
    <w:rsid w:val="0520708F"/>
    <w:rsid w:val="05216546"/>
    <w:rsid w:val="05257DE5"/>
    <w:rsid w:val="052663E3"/>
    <w:rsid w:val="05283431"/>
    <w:rsid w:val="05286E5B"/>
    <w:rsid w:val="05290F57"/>
    <w:rsid w:val="052B2F21"/>
    <w:rsid w:val="052D0A47"/>
    <w:rsid w:val="052D3AFC"/>
    <w:rsid w:val="052E656D"/>
    <w:rsid w:val="05315E17"/>
    <w:rsid w:val="053242B0"/>
    <w:rsid w:val="053373E1"/>
    <w:rsid w:val="05353DA0"/>
    <w:rsid w:val="053A13B6"/>
    <w:rsid w:val="053C512E"/>
    <w:rsid w:val="053C6EDC"/>
    <w:rsid w:val="053C7075"/>
    <w:rsid w:val="053E2C54"/>
    <w:rsid w:val="053F077B"/>
    <w:rsid w:val="054364BD"/>
    <w:rsid w:val="05445D91"/>
    <w:rsid w:val="05452235"/>
    <w:rsid w:val="054571A7"/>
    <w:rsid w:val="05462EFF"/>
    <w:rsid w:val="05465FAD"/>
    <w:rsid w:val="054A124D"/>
    <w:rsid w:val="054A15F9"/>
    <w:rsid w:val="054A409D"/>
    <w:rsid w:val="054B711F"/>
    <w:rsid w:val="054C5E01"/>
    <w:rsid w:val="054E2A1E"/>
    <w:rsid w:val="054F4E62"/>
    <w:rsid w:val="05526700"/>
    <w:rsid w:val="05542478"/>
    <w:rsid w:val="05573D16"/>
    <w:rsid w:val="05575AC4"/>
    <w:rsid w:val="055E6662"/>
    <w:rsid w:val="055F6573"/>
    <w:rsid w:val="056120BB"/>
    <w:rsid w:val="05616943"/>
    <w:rsid w:val="05687CD1"/>
    <w:rsid w:val="05687EC5"/>
    <w:rsid w:val="056921F6"/>
    <w:rsid w:val="056A0FE0"/>
    <w:rsid w:val="056A3A4A"/>
    <w:rsid w:val="056A5273"/>
    <w:rsid w:val="056B051E"/>
    <w:rsid w:val="056D2639"/>
    <w:rsid w:val="056D52E8"/>
    <w:rsid w:val="056F1060"/>
    <w:rsid w:val="05720B50"/>
    <w:rsid w:val="05760640"/>
    <w:rsid w:val="05776166"/>
    <w:rsid w:val="05791EDF"/>
    <w:rsid w:val="057C6257"/>
    <w:rsid w:val="057E74F5"/>
    <w:rsid w:val="057F441C"/>
    <w:rsid w:val="058058AC"/>
    <w:rsid w:val="0584422D"/>
    <w:rsid w:val="05850883"/>
    <w:rsid w:val="058663AA"/>
    <w:rsid w:val="0587295E"/>
    <w:rsid w:val="05876B3C"/>
    <w:rsid w:val="058B6DB5"/>
    <w:rsid w:val="058C526B"/>
    <w:rsid w:val="058C7E64"/>
    <w:rsid w:val="058D598A"/>
    <w:rsid w:val="058D7EAD"/>
    <w:rsid w:val="058F34B0"/>
    <w:rsid w:val="058F525E"/>
    <w:rsid w:val="05910544"/>
    <w:rsid w:val="05937294"/>
    <w:rsid w:val="0599432F"/>
    <w:rsid w:val="059D35D1"/>
    <w:rsid w:val="059E79A5"/>
    <w:rsid w:val="05A04B1B"/>
    <w:rsid w:val="05A200AD"/>
    <w:rsid w:val="05A30BE6"/>
    <w:rsid w:val="05A473F7"/>
    <w:rsid w:val="05A52CD4"/>
    <w:rsid w:val="05AA02EA"/>
    <w:rsid w:val="05AA6DC9"/>
    <w:rsid w:val="05AB5E10"/>
    <w:rsid w:val="05AD3936"/>
    <w:rsid w:val="05AD7DDA"/>
    <w:rsid w:val="05AE092A"/>
    <w:rsid w:val="05AF5900"/>
    <w:rsid w:val="05B178CA"/>
    <w:rsid w:val="05B20F4D"/>
    <w:rsid w:val="05B251D7"/>
    <w:rsid w:val="05B253F0"/>
    <w:rsid w:val="05B42F17"/>
    <w:rsid w:val="05B66C8F"/>
    <w:rsid w:val="05B72A07"/>
    <w:rsid w:val="05B7314F"/>
    <w:rsid w:val="05B80C59"/>
    <w:rsid w:val="05BB24F7"/>
    <w:rsid w:val="05BF2D55"/>
    <w:rsid w:val="05C018BB"/>
    <w:rsid w:val="05C25634"/>
    <w:rsid w:val="05C369CD"/>
    <w:rsid w:val="05C84C14"/>
    <w:rsid w:val="05CB200E"/>
    <w:rsid w:val="05CB46AF"/>
    <w:rsid w:val="05CB4910"/>
    <w:rsid w:val="05CC06CE"/>
    <w:rsid w:val="05D37841"/>
    <w:rsid w:val="05D435B9"/>
    <w:rsid w:val="05D47115"/>
    <w:rsid w:val="05D67331"/>
    <w:rsid w:val="05D9297D"/>
    <w:rsid w:val="05DB04A3"/>
    <w:rsid w:val="05DD246D"/>
    <w:rsid w:val="05DE1D42"/>
    <w:rsid w:val="05DF4461"/>
    <w:rsid w:val="05E14A16"/>
    <w:rsid w:val="05E732EC"/>
    <w:rsid w:val="05E7509A"/>
    <w:rsid w:val="05E93DA5"/>
    <w:rsid w:val="05E94240"/>
    <w:rsid w:val="05EA6938"/>
    <w:rsid w:val="05EC4CC6"/>
    <w:rsid w:val="05ED6429"/>
    <w:rsid w:val="05EF4D27"/>
    <w:rsid w:val="05F03CDC"/>
    <w:rsid w:val="05F12760"/>
    <w:rsid w:val="05F17C7E"/>
    <w:rsid w:val="05F23A3F"/>
    <w:rsid w:val="05F477B7"/>
    <w:rsid w:val="05F6352F"/>
    <w:rsid w:val="05F834BB"/>
    <w:rsid w:val="05F83EAE"/>
    <w:rsid w:val="05F87674"/>
    <w:rsid w:val="05F9422B"/>
    <w:rsid w:val="05F94DCD"/>
    <w:rsid w:val="05F96B7B"/>
    <w:rsid w:val="05FD2B10"/>
    <w:rsid w:val="05FE3272"/>
    <w:rsid w:val="05FE4192"/>
    <w:rsid w:val="060043AE"/>
    <w:rsid w:val="06007F0A"/>
    <w:rsid w:val="0601286A"/>
    <w:rsid w:val="06020D60"/>
    <w:rsid w:val="06023C82"/>
    <w:rsid w:val="060356C3"/>
    <w:rsid w:val="06043E9E"/>
    <w:rsid w:val="06085010"/>
    <w:rsid w:val="060914B4"/>
    <w:rsid w:val="06093262"/>
    <w:rsid w:val="060A2B37"/>
    <w:rsid w:val="060C1E0F"/>
    <w:rsid w:val="060C4B01"/>
    <w:rsid w:val="060D2627"/>
    <w:rsid w:val="060E6ACB"/>
    <w:rsid w:val="06110369"/>
    <w:rsid w:val="061340E1"/>
    <w:rsid w:val="06163BD1"/>
    <w:rsid w:val="0616772D"/>
    <w:rsid w:val="06181458"/>
    <w:rsid w:val="06190F4D"/>
    <w:rsid w:val="061A5901"/>
    <w:rsid w:val="061E4834"/>
    <w:rsid w:val="061E65E2"/>
    <w:rsid w:val="061E6E9C"/>
    <w:rsid w:val="06217C9A"/>
    <w:rsid w:val="06222576"/>
    <w:rsid w:val="062736E9"/>
    <w:rsid w:val="06293905"/>
    <w:rsid w:val="062B5B24"/>
    <w:rsid w:val="062C0CFF"/>
    <w:rsid w:val="062C51A3"/>
    <w:rsid w:val="063302DF"/>
    <w:rsid w:val="063522A9"/>
    <w:rsid w:val="06367DD0"/>
    <w:rsid w:val="063B2C83"/>
    <w:rsid w:val="063D4CBA"/>
    <w:rsid w:val="063E7D85"/>
    <w:rsid w:val="063F1604"/>
    <w:rsid w:val="064029FC"/>
    <w:rsid w:val="06405665"/>
    <w:rsid w:val="06420522"/>
    <w:rsid w:val="06432556"/>
    <w:rsid w:val="0644429B"/>
    <w:rsid w:val="06447270"/>
    <w:rsid w:val="06473D8B"/>
    <w:rsid w:val="0648365F"/>
    <w:rsid w:val="064918B1"/>
    <w:rsid w:val="06497B03"/>
    <w:rsid w:val="064A387B"/>
    <w:rsid w:val="064A73D7"/>
    <w:rsid w:val="06500E91"/>
    <w:rsid w:val="0654239A"/>
    <w:rsid w:val="06563FCE"/>
    <w:rsid w:val="06585F98"/>
    <w:rsid w:val="0659586C"/>
    <w:rsid w:val="065A16AA"/>
    <w:rsid w:val="065D3EB9"/>
    <w:rsid w:val="065D535C"/>
    <w:rsid w:val="06606BFB"/>
    <w:rsid w:val="0661350E"/>
    <w:rsid w:val="06640499"/>
    <w:rsid w:val="0664493D"/>
    <w:rsid w:val="06667380"/>
    <w:rsid w:val="06677F89"/>
    <w:rsid w:val="066A7A79"/>
    <w:rsid w:val="066D4682"/>
    <w:rsid w:val="066F04FF"/>
    <w:rsid w:val="067304F4"/>
    <w:rsid w:val="06734B80"/>
    <w:rsid w:val="06741D5B"/>
    <w:rsid w:val="06752E14"/>
    <w:rsid w:val="067601CC"/>
    <w:rsid w:val="06782196"/>
    <w:rsid w:val="067830B0"/>
    <w:rsid w:val="067926EE"/>
    <w:rsid w:val="067C238C"/>
    <w:rsid w:val="068113B7"/>
    <w:rsid w:val="06823BFA"/>
    <w:rsid w:val="06824A1F"/>
    <w:rsid w:val="06846D8D"/>
    <w:rsid w:val="06856661"/>
    <w:rsid w:val="068723D9"/>
    <w:rsid w:val="06874187"/>
    <w:rsid w:val="068943A3"/>
    <w:rsid w:val="068A3C77"/>
    <w:rsid w:val="068B4C72"/>
    <w:rsid w:val="068C21A1"/>
    <w:rsid w:val="068C79F0"/>
    <w:rsid w:val="068D0F00"/>
    <w:rsid w:val="068E0217"/>
    <w:rsid w:val="068E5516"/>
    <w:rsid w:val="068F5690"/>
    <w:rsid w:val="068F658C"/>
    <w:rsid w:val="069074E0"/>
    <w:rsid w:val="06913258"/>
    <w:rsid w:val="06932A76"/>
    <w:rsid w:val="06936CFB"/>
    <w:rsid w:val="06986DA4"/>
    <w:rsid w:val="069D2020"/>
    <w:rsid w:val="069D7E4F"/>
    <w:rsid w:val="06A27213"/>
    <w:rsid w:val="06A36720"/>
    <w:rsid w:val="06A53383"/>
    <w:rsid w:val="06A765D7"/>
    <w:rsid w:val="06A87133"/>
    <w:rsid w:val="06AB256C"/>
    <w:rsid w:val="06AE7966"/>
    <w:rsid w:val="06AF125B"/>
    <w:rsid w:val="06B17456"/>
    <w:rsid w:val="06B21711"/>
    <w:rsid w:val="06B32DDA"/>
    <w:rsid w:val="06B50CF4"/>
    <w:rsid w:val="06B86215"/>
    <w:rsid w:val="06BA630B"/>
    <w:rsid w:val="06BB2083"/>
    <w:rsid w:val="06BC02D5"/>
    <w:rsid w:val="06BD404D"/>
    <w:rsid w:val="06BD5DFB"/>
    <w:rsid w:val="06BD621D"/>
    <w:rsid w:val="06C07F8B"/>
    <w:rsid w:val="06C158EB"/>
    <w:rsid w:val="06C278B5"/>
    <w:rsid w:val="06C52C0C"/>
    <w:rsid w:val="06C61153"/>
    <w:rsid w:val="06C70A28"/>
    <w:rsid w:val="06C9139E"/>
    <w:rsid w:val="06C929F2"/>
    <w:rsid w:val="06D25D4A"/>
    <w:rsid w:val="06D35561"/>
    <w:rsid w:val="06D53145"/>
    <w:rsid w:val="06D575E9"/>
    <w:rsid w:val="06D62EC4"/>
    <w:rsid w:val="06D7510F"/>
    <w:rsid w:val="06D82C35"/>
    <w:rsid w:val="06DF0467"/>
    <w:rsid w:val="06E11AE9"/>
    <w:rsid w:val="06E17D3B"/>
    <w:rsid w:val="06E3013E"/>
    <w:rsid w:val="06E32AED"/>
    <w:rsid w:val="06E51E4D"/>
    <w:rsid w:val="06E65352"/>
    <w:rsid w:val="06E72E78"/>
    <w:rsid w:val="06E72F40"/>
    <w:rsid w:val="06EA4BAC"/>
    <w:rsid w:val="06EB6E0C"/>
    <w:rsid w:val="06EE4206"/>
    <w:rsid w:val="06F07F7E"/>
    <w:rsid w:val="06F21F49"/>
    <w:rsid w:val="06F23CF7"/>
    <w:rsid w:val="06F31F83"/>
    <w:rsid w:val="06F35CC1"/>
    <w:rsid w:val="06F537E7"/>
    <w:rsid w:val="06F55595"/>
    <w:rsid w:val="06F7755F"/>
    <w:rsid w:val="06F86CDA"/>
    <w:rsid w:val="06F86E33"/>
    <w:rsid w:val="06FA0DFD"/>
    <w:rsid w:val="06FA704F"/>
    <w:rsid w:val="06FD269B"/>
    <w:rsid w:val="06FE6B3F"/>
    <w:rsid w:val="070103DE"/>
    <w:rsid w:val="0704265D"/>
    <w:rsid w:val="07046A5B"/>
    <w:rsid w:val="07055B08"/>
    <w:rsid w:val="07061550"/>
    <w:rsid w:val="070659F4"/>
    <w:rsid w:val="0708176C"/>
    <w:rsid w:val="0708351A"/>
    <w:rsid w:val="07091040"/>
    <w:rsid w:val="070B125C"/>
    <w:rsid w:val="070C0F2B"/>
    <w:rsid w:val="070C2530"/>
    <w:rsid w:val="070F27A4"/>
    <w:rsid w:val="07100621"/>
    <w:rsid w:val="07145DAD"/>
    <w:rsid w:val="07153E89"/>
    <w:rsid w:val="07155C37"/>
    <w:rsid w:val="071874D5"/>
    <w:rsid w:val="0719024D"/>
    <w:rsid w:val="071A149F"/>
    <w:rsid w:val="071C6FC5"/>
    <w:rsid w:val="071D1433"/>
    <w:rsid w:val="071D689A"/>
    <w:rsid w:val="071F2612"/>
    <w:rsid w:val="071F7265"/>
    <w:rsid w:val="07247C28"/>
    <w:rsid w:val="07261BF2"/>
    <w:rsid w:val="07287718"/>
    <w:rsid w:val="07293586"/>
    <w:rsid w:val="07295285"/>
    <w:rsid w:val="072B545A"/>
    <w:rsid w:val="072E0AA7"/>
    <w:rsid w:val="072E4696"/>
    <w:rsid w:val="072F6D5A"/>
    <w:rsid w:val="07302A71"/>
    <w:rsid w:val="0730481F"/>
    <w:rsid w:val="073065CD"/>
    <w:rsid w:val="0733430F"/>
    <w:rsid w:val="07350087"/>
    <w:rsid w:val="073562D9"/>
    <w:rsid w:val="07364A74"/>
    <w:rsid w:val="0738326A"/>
    <w:rsid w:val="07397904"/>
    <w:rsid w:val="073A569E"/>
    <w:rsid w:val="073A56A7"/>
    <w:rsid w:val="073B1607"/>
    <w:rsid w:val="073F4A62"/>
    <w:rsid w:val="074327A4"/>
    <w:rsid w:val="074402CA"/>
    <w:rsid w:val="07492363"/>
    <w:rsid w:val="0749768F"/>
    <w:rsid w:val="07497901"/>
    <w:rsid w:val="074A1D85"/>
    <w:rsid w:val="074B20D5"/>
    <w:rsid w:val="074C79C3"/>
    <w:rsid w:val="074D4734"/>
    <w:rsid w:val="074D717F"/>
    <w:rsid w:val="07520C39"/>
    <w:rsid w:val="075376CE"/>
    <w:rsid w:val="0754675F"/>
    <w:rsid w:val="07571DAC"/>
    <w:rsid w:val="075765C1"/>
    <w:rsid w:val="075A189C"/>
    <w:rsid w:val="075B5D40"/>
    <w:rsid w:val="075E313A"/>
    <w:rsid w:val="07603356"/>
    <w:rsid w:val="07610E7C"/>
    <w:rsid w:val="07614DCD"/>
    <w:rsid w:val="07632E46"/>
    <w:rsid w:val="07636392"/>
    <w:rsid w:val="0764271A"/>
    <w:rsid w:val="0765056A"/>
    <w:rsid w:val="07660241"/>
    <w:rsid w:val="076646E5"/>
    <w:rsid w:val="07683FB9"/>
    <w:rsid w:val="07691ABC"/>
    <w:rsid w:val="076B0071"/>
    <w:rsid w:val="076B1CFB"/>
    <w:rsid w:val="076B4F47"/>
    <w:rsid w:val="076C4612"/>
    <w:rsid w:val="07707311"/>
    <w:rsid w:val="07724E37"/>
    <w:rsid w:val="0774295E"/>
    <w:rsid w:val="07754928"/>
    <w:rsid w:val="07770C56"/>
    <w:rsid w:val="0777244E"/>
    <w:rsid w:val="077948BA"/>
    <w:rsid w:val="077961C6"/>
    <w:rsid w:val="077C4750"/>
    <w:rsid w:val="077E5B18"/>
    <w:rsid w:val="077F1302"/>
    <w:rsid w:val="077F625E"/>
    <w:rsid w:val="0781151E"/>
    <w:rsid w:val="07835682"/>
    <w:rsid w:val="0784155A"/>
    <w:rsid w:val="07854B6B"/>
    <w:rsid w:val="078678A3"/>
    <w:rsid w:val="078801B7"/>
    <w:rsid w:val="07886409"/>
    <w:rsid w:val="0790350F"/>
    <w:rsid w:val="07927288"/>
    <w:rsid w:val="079A613C"/>
    <w:rsid w:val="079C1984"/>
    <w:rsid w:val="079E20A9"/>
    <w:rsid w:val="079F3753"/>
    <w:rsid w:val="079F6FF1"/>
    <w:rsid w:val="07A019A5"/>
    <w:rsid w:val="07A0263C"/>
    <w:rsid w:val="07A0301B"/>
    <w:rsid w:val="07A1396F"/>
    <w:rsid w:val="07A2707C"/>
    <w:rsid w:val="07A50D69"/>
    <w:rsid w:val="07A5520D"/>
    <w:rsid w:val="07A56FBB"/>
    <w:rsid w:val="07A91B03"/>
    <w:rsid w:val="07AA2823"/>
    <w:rsid w:val="07AB20F7"/>
    <w:rsid w:val="07AB5E0D"/>
    <w:rsid w:val="07AD40C1"/>
    <w:rsid w:val="07AF1BE8"/>
    <w:rsid w:val="07B2792A"/>
    <w:rsid w:val="07B27A2E"/>
    <w:rsid w:val="07B471FE"/>
    <w:rsid w:val="07B611C8"/>
    <w:rsid w:val="07B62F76"/>
    <w:rsid w:val="07B7009B"/>
    <w:rsid w:val="07B76CEE"/>
    <w:rsid w:val="07B90CB8"/>
    <w:rsid w:val="07B92A66"/>
    <w:rsid w:val="07BA233A"/>
    <w:rsid w:val="07BC4304"/>
    <w:rsid w:val="07BF65A4"/>
    <w:rsid w:val="07BF772C"/>
    <w:rsid w:val="07C004C6"/>
    <w:rsid w:val="07C1191B"/>
    <w:rsid w:val="07C338E5"/>
    <w:rsid w:val="07C42416"/>
    <w:rsid w:val="07C442AC"/>
    <w:rsid w:val="07C531B9"/>
    <w:rsid w:val="07C75183"/>
    <w:rsid w:val="07CB0157"/>
    <w:rsid w:val="07CF228A"/>
    <w:rsid w:val="07CF5DE6"/>
    <w:rsid w:val="07D433FC"/>
    <w:rsid w:val="07D478A0"/>
    <w:rsid w:val="07D562D2"/>
    <w:rsid w:val="07D57174"/>
    <w:rsid w:val="07D653C6"/>
    <w:rsid w:val="07D7113E"/>
    <w:rsid w:val="07D94EB6"/>
    <w:rsid w:val="07DB29DD"/>
    <w:rsid w:val="07DB478B"/>
    <w:rsid w:val="07DF7E70"/>
    <w:rsid w:val="07E06245"/>
    <w:rsid w:val="07E07FF3"/>
    <w:rsid w:val="07E23D6B"/>
    <w:rsid w:val="07E31891"/>
    <w:rsid w:val="07E37863"/>
    <w:rsid w:val="07E41A7D"/>
    <w:rsid w:val="07E61381"/>
    <w:rsid w:val="07E850FA"/>
    <w:rsid w:val="07E965BE"/>
    <w:rsid w:val="07EC4BEA"/>
    <w:rsid w:val="07ED2710"/>
    <w:rsid w:val="07F10452"/>
    <w:rsid w:val="07F142AE"/>
    <w:rsid w:val="07F25F78"/>
    <w:rsid w:val="07F414F5"/>
    <w:rsid w:val="07F65A68"/>
    <w:rsid w:val="07F67816"/>
    <w:rsid w:val="07F7358F"/>
    <w:rsid w:val="07FB4E2D"/>
    <w:rsid w:val="07FB6BDB"/>
    <w:rsid w:val="07FD25C4"/>
    <w:rsid w:val="080B0E60"/>
    <w:rsid w:val="080B2B96"/>
    <w:rsid w:val="080C0DE8"/>
    <w:rsid w:val="080F05F2"/>
    <w:rsid w:val="080F279E"/>
    <w:rsid w:val="080F5D35"/>
    <w:rsid w:val="080F6B2A"/>
    <w:rsid w:val="08103ADB"/>
    <w:rsid w:val="081128A2"/>
    <w:rsid w:val="081163FE"/>
    <w:rsid w:val="081303C8"/>
    <w:rsid w:val="08144EEC"/>
    <w:rsid w:val="08145EEF"/>
    <w:rsid w:val="08161C67"/>
    <w:rsid w:val="08162CBC"/>
    <w:rsid w:val="0818374A"/>
    <w:rsid w:val="081D1247"/>
    <w:rsid w:val="081E6D6D"/>
    <w:rsid w:val="08205941"/>
    <w:rsid w:val="08206641"/>
    <w:rsid w:val="08245805"/>
    <w:rsid w:val="08256BE2"/>
    <w:rsid w:val="082911C9"/>
    <w:rsid w:val="082D0D5E"/>
    <w:rsid w:val="082E5202"/>
    <w:rsid w:val="082F4AD6"/>
    <w:rsid w:val="08311CF1"/>
    <w:rsid w:val="08316AA1"/>
    <w:rsid w:val="08320F44"/>
    <w:rsid w:val="08332819"/>
    <w:rsid w:val="08346591"/>
    <w:rsid w:val="083900DE"/>
    <w:rsid w:val="08397703"/>
    <w:rsid w:val="083B16CD"/>
    <w:rsid w:val="083E2F6B"/>
    <w:rsid w:val="083E4D1A"/>
    <w:rsid w:val="083F1F84"/>
    <w:rsid w:val="08444A26"/>
    <w:rsid w:val="084542FA"/>
    <w:rsid w:val="084560A8"/>
    <w:rsid w:val="08466DB1"/>
    <w:rsid w:val="084715B1"/>
    <w:rsid w:val="084A0A48"/>
    <w:rsid w:val="084A1910"/>
    <w:rsid w:val="084A7B62"/>
    <w:rsid w:val="084D31AF"/>
    <w:rsid w:val="084E1401"/>
    <w:rsid w:val="084F09BE"/>
    <w:rsid w:val="084F5179"/>
    <w:rsid w:val="084F6F27"/>
    <w:rsid w:val="08503B13"/>
    <w:rsid w:val="085207C5"/>
    <w:rsid w:val="08534C69"/>
    <w:rsid w:val="08536A17"/>
    <w:rsid w:val="085602B5"/>
    <w:rsid w:val="08560D43"/>
    <w:rsid w:val="08566507"/>
    <w:rsid w:val="08575103"/>
    <w:rsid w:val="08576F05"/>
    <w:rsid w:val="085A5FF7"/>
    <w:rsid w:val="085B3B1D"/>
    <w:rsid w:val="085B6E61"/>
    <w:rsid w:val="085D6C82"/>
    <w:rsid w:val="0861730F"/>
    <w:rsid w:val="08624EAC"/>
    <w:rsid w:val="086329D2"/>
    <w:rsid w:val="08646E76"/>
    <w:rsid w:val="0865499C"/>
    <w:rsid w:val="08674270"/>
    <w:rsid w:val="086955C6"/>
    <w:rsid w:val="086C1887"/>
    <w:rsid w:val="086C7AD9"/>
    <w:rsid w:val="086F1377"/>
    <w:rsid w:val="086F75C9"/>
    <w:rsid w:val="08707CF7"/>
    <w:rsid w:val="08714BFC"/>
    <w:rsid w:val="08730E67"/>
    <w:rsid w:val="08744BDF"/>
    <w:rsid w:val="08760957"/>
    <w:rsid w:val="0876673A"/>
    <w:rsid w:val="0879335B"/>
    <w:rsid w:val="08793F7F"/>
    <w:rsid w:val="087B5F6E"/>
    <w:rsid w:val="087B7D1C"/>
    <w:rsid w:val="087C38E9"/>
    <w:rsid w:val="087D1CE6"/>
    <w:rsid w:val="087D1D0C"/>
    <w:rsid w:val="087D3A94"/>
    <w:rsid w:val="087D5842"/>
    <w:rsid w:val="088017D6"/>
    <w:rsid w:val="088434D3"/>
    <w:rsid w:val="08850A8D"/>
    <w:rsid w:val="08856DEC"/>
    <w:rsid w:val="08861E67"/>
    <w:rsid w:val="0889068B"/>
    <w:rsid w:val="088A7F5F"/>
    <w:rsid w:val="088C017B"/>
    <w:rsid w:val="088D1B6B"/>
    <w:rsid w:val="088E7A4F"/>
    <w:rsid w:val="088F4710"/>
    <w:rsid w:val="08915868"/>
    <w:rsid w:val="0891753F"/>
    <w:rsid w:val="08923091"/>
    <w:rsid w:val="08961AFD"/>
    <w:rsid w:val="08964B56"/>
    <w:rsid w:val="089745D6"/>
    <w:rsid w:val="08980941"/>
    <w:rsid w:val="089B216C"/>
    <w:rsid w:val="089B36AD"/>
    <w:rsid w:val="089D7C92"/>
    <w:rsid w:val="089E4810"/>
    <w:rsid w:val="08A52FEB"/>
    <w:rsid w:val="08A54D99"/>
    <w:rsid w:val="08A74FB5"/>
    <w:rsid w:val="08A97E88"/>
    <w:rsid w:val="08AF5C17"/>
    <w:rsid w:val="08AF79C5"/>
    <w:rsid w:val="08B03E69"/>
    <w:rsid w:val="08B1198F"/>
    <w:rsid w:val="08B1373D"/>
    <w:rsid w:val="08B1753D"/>
    <w:rsid w:val="08B374B6"/>
    <w:rsid w:val="08B97D35"/>
    <w:rsid w:val="08BA0844"/>
    <w:rsid w:val="08BB280E"/>
    <w:rsid w:val="08BC5AEA"/>
    <w:rsid w:val="08BD20E2"/>
    <w:rsid w:val="08BE04A5"/>
    <w:rsid w:val="08BF22FE"/>
    <w:rsid w:val="08BF5E5A"/>
    <w:rsid w:val="08C07E24"/>
    <w:rsid w:val="08C16076"/>
    <w:rsid w:val="08C33071"/>
    <w:rsid w:val="08C4732B"/>
    <w:rsid w:val="08C950D2"/>
    <w:rsid w:val="08C96CD9"/>
    <w:rsid w:val="08CC0577"/>
    <w:rsid w:val="08CE1E54"/>
    <w:rsid w:val="08D00067"/>
    <w:rsid w:val="08D12032"/>
    <w:rsid w:val="08D13DE0"/>
    <w:rsid w:val="08D24E15"/>
    <w:rsid w:val="08D37B58"/>
    <w:rsid w:val="08D4742C"/>
    <w:rsid w:val="08D8516E"/>
    <w:rsid w:val="08D95619"/>
    <w:rsid w:val="08DA2C94"/>
    <w:rsid w:val="08DB6A0C"/>
    <w:rsid w:val="08DE140C"/>
    <w:rsid w:val="08DE6875"/>
    <w:rsid w:val="08DF02AB"/>
    <w:rsid w:val="08E2175A"/>
    <w:rsid w:val="08E21B49"/>
    <w:rsid w:val="08E7146E"/>
    <w:rsid w:val="08E753B1"/>
    <w:rsid w:val="08EE4992"/>
    <w:rsid w:val="08F0070A"/>
    <w:rsid w:val="08F16230"/>
    <w:rsid w:val="08F17FDE"/>
    <w:rsid w:val="08F31FA8"/>
    <w:rsid w:val="08F5187C"/>
    <w:rsid w:val="08F63846"/>
    <w:rsid w:val="08FA3336"/>
    <w:rsid w:val="08FD4BD5"/>
    <w:rsid w:val="09012917"/>
    <w:rsid w:val="0902043D"/>
    <w:rsid w:val="09063A89"/>
    <w:rsid w:val="090917CB"/>
    <w:rsid w:val="090C060C"/>
    <w:rsid w:val="090D12BC"/>
    <w:rsid w:val="090D6477"/>
    <w:rsid w:val="090E6DE2"/>
    <w:rsid w:val="090F17A5"/>
    <w:rsid w:val="09102A92"/>
    <w:rsid w:val="0911242E"/>
    <w:rsid w:val="09152439"/>
    <w:rsid w:val="09153CCC"/>
    <w:rsid w:val="09175C96"/>
    <w:rsid w:val="091A6930"/>
    <w:rsid w:val="091B505B"/>
    <w:rsid w:val="091D7025"/>
    <w:rsid w:val="091F16FC"/>
    <w:rsid w:val="092217DD"/>
    <w:rsid w:val="0926237D"/>
    <w:rsid w:val="09265ED9"/>
    <w:rsid w:val="09267C87"/>
    <w:rsid w:val="09287EA3"/>
    <w:rsid w:val="09297778"/>
    <w:rsid w:val="092B1742"/>
    <w:rsid w:val="092C51BE"/>
    <w:rsid w:val="092D3FDF"/>
    <w:rsid w:val="092D54BA"/>
    <w:rsid w:val="092E1232"/>
    <w:rsid w:val="092E4D8E"/>
    <w:rsid w:val="09336848"/>
    <w:rsid w:val="0935611C"/>
    <w:rsid w:val="09376339"/>
    <w:rsid w:val="09383E5F"/>
    <w:rsid w:val="09385C0D"/>
    <w:rsid w:val="09391A25"/>
    <w:rsid w:val="093A7294"/>
    <w:rsid w:val="093C74AB"/>
    <w:rsid w:val="093F1985"/>
    <w:rsid w:val="093F51ED"/>
    <w:rsid w:val="09436A8B"/>
    <w:rsid w:val="094620D8"/>
    <w:rsid w:val="09475E50"/>
    <w:rsid w:val="094B1DE4"/>
    <w:rsid w:val="094B3B92"/>
    <w:rsid w:val="094C3466"/>
    <w:rsid w:val="09510202"/>
    <w:rsid w:val="09532A47"/>
    <w:rsid w:val="0955056D"/>
    <w:rsid w:val="09572537"/>
    <w:rsid w:val="0958005D"/>
    <w:rsid w:val="095A2027"/>
    <w:rsid w:val="095A3DD5"/>
    <w:rsid w:val="095D75E6"/>
    <w:rsid w:val="095E1B17"/>
    <w:rsid w:val="095F3199"/>
    <w:rsid w:val="09627AF6"/>
    <w:rsid w:val="09630EDC"/>
    <w:rsid w:val="09633B58"/>
    <w:rsid w:val="09634B27"/>
    <w:rsid w:val="09644C54"/>
    <w:rsid w:val="09650410"/>
    <w:rsid w:val="096674B8"/>
    <w:rsid w:val="09683BE0"/>
    <w:rsid w:val="09684744"/>
    <w:rsid w:val="0969226A"/>
    <w:rsid w:val="09694018"/>
    <w:rsid w:val="096D1D5A"/>
    <w:rsid w:val="096D3B08"/>
    <w:rsid w:val="096D58B6"/>
    <w:rsid w:val="096E162E"/>
    <w:rsid w:val="096E77E3"/>
    <w:rsid w:val="096F3AB3"/>
    <w:rsid w:val="096F5AD2"/>
    <w:rsid w:val="09722ECD"/>
    <w:rsid w:val="097338C4"/>
    <w:rsid w:val="09734E97"/>
    <w:rsid w:val="09774987"/>
    <w:rsid w:val="097A6225"/>
    <w:rsid w:val="097A7FD3"/>
    <w:rsid w:val="097C1F9D"/>
    <w:rsid w:val="097E09D7"/>
    <w:rsid w:val="097E2118"/>
    <w:rsid w:val="097F1A8E"/>
    <w:rsid w:val="09854156"/>
    <w:rsid w:val="098701D3"/>
    <w:rsid w:val="09872AF5"/>
    <w:rsid w:val="09885CCF"/>
    <w:rsid w:val="098D5F59"/>
    <w:rsid w:val="09900E3E"/>
    <w:rsid w:val="09905A49"/>
    <w:rsid w:val="09931095"/>
    <w:rsid w:val="099472E7"/>
    <w:rsid w:val="0995305F"/>
    <w:rsid w:val="09970B85"/>
    <w:rsid w:val="0998414F"/>
    <w:rsid w:val="09A00BB8"/>
    <w:rsid w:val="09A03EDE"/>
    <w:rsid w:val="09A137B2"/>
    <w:rsid w:val="09A3577C"/>
    <w:rsid w:val="09A4560E"/>
    <w:rsid w:val="09A64AC8"/>
    <w:rsid w:val="09A84F3A"/>
    <w:rsid w:val="09A92C56"/>
    <w:rsid w:val="09AA4D5C"/>
    <w:rsid w:val="09AB4631"/>
    <w:rsid w:val="09AE6074"/>
    <w:rsid w:val="09AE647B"/>
    <w:rsid w:val="09B05D44"/>
    <w:rsid w:val="09B54D4A"/>
    <w:rsid w:val="09B63701"/>
    <w:rsid w:val="09BA2AC6"/>
    <w:rsid w:val="09BA4874"/>
    <w:rsid w:val="09BE25B6"/>
    <w:rsid w:val="09C000DC"/>
    <w:rsid w:val="09C3197A"/>
    <w:rsid w:val="09C340D7"/>
    <w:rsid w:val="09C63218"/>
    <w:rsid w:val="09C917B0"/>
    <w:rsid w:val="09C94AB7"/>
    <w:rsid w:val="09C97307"/>
    <w:rsid w:val="09CA0F5B"/>
    <w:rsid w:val="09CB6A81"/>
    <w:rsid w:val="09CE0C91"/>
    <w:rsid w:val="09CF6571"/>
    <w:rsid w:val="09D019BF"/>
    <w:rsid w:val="09D15366"/>
    <w:rsid w:val="09D2559A"/>
    <w:rsid w:val="09D27E0F"/>
    <w:rsid w:val="09D45B1B"/>
    <w:rsid w:val="09D92EFE"/>
    <w:rsid w:val="09D92F4C"/>
    <w:rsid w:val="09DA6CC4"/>
    <w:rsid w:val="09DB3168"/>
    <w:rsid w:val="09DC0C8E"/>
    <w:rsid w:val="09DC47EA"/>
    <w:rsid w:val="09DE076E"/>
    <w:rsid w:val="09E5436A"/>
    <w:rsid w:val="09E87633"/>
    <w:rsid w:val="09EB0ED1"/>
    <w:rsid w:val="09EC7A57"/>
    <w:rsid w:val="09EF6C13"/>
    <w:rsid w:val="09F2400E"/>
    <w:rsid w:val="09F4287E"/>
    <w:rsid w:val="09F4422A"/>
    <w:rsid w:val="09F558AC"/>
    <w:rsid w:val="09F617F4"/>
    <w:rsid w:val="09F91840"/>
    <w:rsid w:val="09F935EE"/>
    <w:rsid w:val="09FB55B8"/>
    <w:rsid w:val="09FC5E0B"/>
    <w:rsid w:val="09FE0C04"/>
    <w:rsid w:val="09FE2D33"/>
    <w:rsid w:val="0A003233"/>
    <w:rsid w:val="0A00497C"/>
    <w:rsid w:val="0A035E76"/>
    <w:rsid w:val="0A03621B"/>
    <w:rsid w:val="0A053D41"/>
    <w:rsid w:val="0A075D0B"/>
    <w:rsid w:val="0A0A1357"/>
    <w:rsid w:val="0A0A75A9"/>
    <w:rsid w:val="0A0C65FB"/>
    <w:rsid w:val="0A0D0E47"/>
    <w:rsid w:val="0A0D6D90"/>
    <w:rsid w:val="0A0F4BBF"/>
    <w:rsid w:val="0A0F5D27"/>
    <w:rsid w:val="0A12286B"/>
    <w:rsid w:val="0A1246B0"/>
    <w:rsid w:val="0A12645E"/>
    <w:rsid w:val="0A157CFC"/>
    <w:rsid w:val="0A18618D"/>
    <w:rsid w:val="0A187F18"/>
    <w:rsid w:val="0A1977EC"/>
    <w:rsid w:val="0A1B5312"/>
    <w:rsid w:val="0A1C108A"/>
    <w:rsid w:val="0A1C53F5"/>
    <w:rsid w:val="0A1C7267"/>
    <w:rsid w:val="0A1C72DC"/>
    <w:rsid w:val="0A1E12A6"/>
    <w:rsid w:val="0A204BC4"/>
    <w:rsid w:val="0A21777C"/>
    <w:rsid w:val="0A263993"/>
    <w:rsid w:val="0A2763AD"/>
    <w:rsid w:val="0A2A37A7"/>
    <w:rsid w:val="0A2A7C4B"/>
    <w:rsid w:val="0A2D3AC2"/>
    <w:rsid w:val="0A2E441F"/>
    <w:rsid w:val="0A2F5262"/>
    <w:rsid w:val="0A310FDA"/>
    <w:rsid w:val="0A326B00"/>
    <w:rsid w:val="0A334D52"/>
    <w:rsid w:val="0A357AEC"/>
    <w:rsid w:val="0A385B19"/>
    <w:rsid w:val="0A391C3C"/>
    <w:rsid w:val="0A3960E0"/>
    <w:rsid w:val="0A3B3C06"/>
    <w:rsid w:val="0A3C34DB"/>
    <w:rsid w:val="0A3D797F"/>
    <w:rsid w:val="0A3F2A21"/>
    <w:rsid w:val="0A40746F"/>
    <w:rsid w:val="0A4C1970"/>
    <w:rsid w:val="0A4C4C2B"/>
    <w:rsid w:val="0A4C7BC2"/>
    <w:rsid w:val="0A4D56E8"/>
    <w:rsid w:val="0A4D7496"/>
    <w:rsid w:val="0A51744A"/>
    <w:rsid w:val="0A527064"/>
    <w:rsid w:val="0A5371A2"/>
    <w:rsid w:val="0A550076"/>
    <w:rsid w:val="0A5627EE"/>
    <w:rsid w:val="0A56459C"/>
    <w:rsid w:val="0A5671C8"/>
    <w:rsid w:val="0A5B1BB3"/>
    <w:rsid w:val="0A5B6057"/>
    <w:rsid w:val="0A5D2132"/>
    <w:rsid w:val="0A5D3B7D"/>
    <w:rsid w:val="0A5E16A3"/>
    <w:rsid w:val="0A5F5B47"/>
    <w:rsid w:val="0A622F41"/>
    <w:rsid w:val="0A636CB9"/>
    <w:rsid w:val="0A652A31"/>
    <w:rsid w:val="0A664DCA"/>
    <w:rsid w:val="0A66650B"/>
    <w:rsid w:val="0A6749FB"/>
    <w:rsid w:val="0A6B1C9E"/>
    <w:rsid w:val="0A6B7DA2"/>
    <w:rsid w:val="0A6C189B"/>
    <w:rsid w:val="0A6D4CBE"/>
    <w:rsid w:val="0A7333A0"/>
    <w:rsid w:val="0A73514E"/>
    <w:rsid w:val="0A7464E2"/>
    <w:rsid w:val="0A7809B7"/>
    <w:rsid w:val="0A794981"/>
    <w:rsid w:val="0A7964DD"/>
    <w:rsid w:val="0A7D421F"/>
    <w:rsid w:val="0A7D4792"/>
    <w:rsid w:val="0A805ABD"/>
    <w:rsid w:val="0A825391"/>
    <w:rsid w:val="0A83110A"/>
    <w:rsid w:val="0A84735B"/>
    <w:rsid w:val="0A8530D4"/>
    <w:rsid w:val="0A8729A8"/>
    <w:rsid w:val="0A876E4C"/>
    <w:rsid w:val="0A886720"/>
    <w:rsid w:val="0A8B27F5"/>
    <w:rsid w:val="0A8B5287"/>
    <w:rsid w:val="0A8D3D36"/>
    <w:rsid w:val="0A8E01DA"/>
    <w:rsid w:val="0A8E1F88"/>
    <w:rsid w:val="0A8F5D00"/>
    <w:rsid w:val="0A93759F"/>
    <w:rsid w:val="0A951569"/>
    <w:rsid w:val="0A96708F"/>
    <w:rsid w:val="0A9718D6"/>
    <w:rsid w:val="0A981059"/>
    <w:rsid w:val="0A984B70"/>
    <w:rsid w:val="0A9A6721"/>
    <w:rsid w:val="0A9D3C6A"/>
    <w:rsid w:val="0A9E5F43"/>
    <w:rsid w:val="0AA01CBB"/>
    <w:rsid w:val="0AA10FBC"/>
    <w:rsid w:val="0AA25A34"/>
    <w:rsid w:val="0AA51195"/>
    <w:rsid w:val="0AA55524"/>
    <w:rsid w:val="0AA755DF"/>
    <w:rsid w:val="0AA90194"/>
    <w:rsid w:val="0AA95014"/>
    <w:rsid w:val="0AAA48E8"/>
    <w:rsid w:val="0AAB52D5"/>
    <w:rsid w:val="0AAC7535"/>
    <w:rsid w:val="0AB1211B"/>
    <w:rsid w:val="0AB15C77"/>
    <w:rsid w:val="0AB243BE"/>
    <w:rsid w:val="0AB45767"/>
    <w:rsid w:val="0AB47515"/>
    <w:rsid w:val="0AB83AA5"/>
    <w:rsid w:val="0AB85927"/>
    <w:rsid w:val="0AB94B2B"/>
    <w:rsid w:val="0ABB08A3"/>
    <w:rsid w:val="0ABD461B"/>
    <w:rsid w:val="0ABD7054"/>
    <w:rsid w:val="0ABE2142"/>
    <w:rsid w:val="0ABF09DB"/>
    <w:rsid w:val="0AC05EBA"/>
    <w:rsid w:val="0AC41E4E"/>
    <w:rsid w:val="0AC92FC0"/>
    <w:rsid w:val="0ACB31DC"/>
    <w:rsid w:val="0ACC2AB1"/>
    <w:rsid w:val="0AD108D0"/>
    <w:rsid w:val="0AD41965"/>
    <w:rsid w:val="0AD61B81"/>
    <w:rsid w:val="0AD656DD"/>
    <w:rsid w:val="0AD83203"/>
    <w:rsid w:val="0AD876A7"/>
    <w:rsid w:val="0ADC0284"/>
    <w:rsid w:val="0ADD081A"/>
    <w:rsid w:val="0ADD2F10"/>
    <w:rsid w:val="0ADE407B"/>
    <w:rsid w:val="0ADF27E4"/>
    <w:rsid w:val="0AE147AE"/>
    <w:rsid w:val="0AE20526"/>
    <w:rsid w:val="0AE3715B"/>
    <w:rsid w:val="0AE41BA8"/>
    <w:rsid w:val="0AE93662"/>
    <w:rsid w:val="0AE95411"/>
    <w:rsid w:val="0AEB5E77"/>
    <w:rsid w:val="0AEC4F01"/>
    <w:rsid w:val="0AEC6CAF"/>
    <w:rsid w:val="0AEE2A27"/>
    <w:rsid w:val="0AEF1F36"/>
    <w:rsid w:val="0AF10769"/>
    <w:rsid w:val="0AF12517"/>
    <w:rsid w:val="0AF24B2C"/>
    <w:rsid w:val="0AF3003D"/>
    <w:rsid w:val="0AF3628F"/>
    <w:rsid w:val="0AF57EA3"/>
    <w:rsid w:val="0AF71DB6"/>
    <w:rsid w:val="0AFA13CC"/>
    <w:rsid w:val="0AFB6FF6"/>
    <w:rsid w:val="0AFD2C6A"/>
    <w:rsid w:val="0AFD710E"/>
    <w:rsid w:val="0AFF2497"/>
    <w:rsid w:val="0AFF4C34"/>
    <w:rsid w:val="0AFF4D55"/>
    <w:rsid w:val="0B057D70"/>
    <w:rsid w:val="0B0E30C9"/>
    <w:rsid w:val="0B0F299D"/>
    <w:rsid w:val="0B0F68FC"/>
    <w:rsid w:val="0B100BEF"/>
    <w:rsid w:val="0B112BB9"/>
    <w:rsid w:val="0B114967"/>
    <w:rsid w:val="0B120D44"/>
    <w:rsid w:val="0B12527D"/>
    <w:rsid w:val="0B163D2C"/>
    <w:rsid w:val="0B177CB0"/>
    <w:rsid w:val="0B183F48"/>
    <w:rsid w:val="0B1A1A6E"/>
    <w:rsid w:val="0B1A7CC0"/>
    <w:rsid w:val="0B1B4E9F"/>
    <w:rsid w:val="0B1F0D10"/>
    <w:rsid w:val="0B1F52D6"/>
    <w:rsid w:val="0B204BAA"/>
    <w:rsid w:val="0B2138E2"/>
    <w:rsid w:val="0B2226D0"/>
    <w:rsid w:val="0B230674"/>
    <w:rsid w:val="0B266665"/>
    <w:rsid w:val="0B2711C0"/>
    <w:rsid w:val="0B27418B"/>
    <w:rsid w:val="0B2823DD"/>
    <w:rsid w:val="0B2B5A29"/>
    <w:rsid w:val="0B2E181E"/>
    <w:rsid w:val="0B324CAB"/>
    <w:rsid w:val="0B350656"/>
    <w:rsid w:val="0B3510AD"/>
    <w:rsid w:val="0B363DB9"/>
    <w:rsid w:val="0B381EF4"/>
    <w:rsid w:val="0B3B3792"/>
    <w:rsid w:val="0B3C0220"/>
    <w:rsid w:val="0B3F59DA"/>
    <w:rsid w:val="0B3F6F06"/>
    <w:rsid w:val="0B3F7726"/>
    <w:rsid w:val="0B4225A9"/>
    <w:rsid w:val="0B422D73"/>
    <w:rsid w:val="0B4270DD"/>
    <w:rsid w:val="0B472137"/>
    <w:rsid w:val="0B49165D"/>
    <w:rsid w:val="0B4B7E79"/>
    <w:rsid w:val="0B4C599F"/>
    <w:rsid w:val="0B4E28FE"/>
    <w:rsid w:val="0B4E34C6"/>
    <w:rsid w:val="0B5146E7"/>
    <w:rsid w:val="0B5331D2"/>
    <w:rsid w:val="0B533B9F"/>
    <w:rsid w:val="0B536D2E"/>
    <w:rsid w:val="0B552AA6"/>
    <w:rsid w:val="0B564359"/>
    <w:rsid w:val="0B57123D"/>
    <w:rsid w:val="0B5F3925"/>
    <w:rsid w:val="0B5F75D9"/>
    <w:rsid w:val="0B640F3B"/>
    <w:rsid w:val="0B643645"/>
    <w:rsid w:val="0B662000"/>
    <w:rsid w:val="0B662F05"/>
    <w:rsid w:val="0B6952CF"/>
    <w:rsid w:val="0B6B412A"/>
    <w:rsid w:val="0B6B5649"/>
    <w:rsid w:val="0B6C7DF0"/>
    <w:rsid w:val="0B6D6042"/>
    <w:rsid w:val="0B6E5916"/>
    <w:rsid w:val="0B705B32"/>
    <w:rsid w:val="0B732F2C"/>
    <w:rsid w:val="0B7C597C"/>
    <w:rsid w:val="0B7D3DAB"/>
    <w:rsid w:val="0B7E024F"/>
    <w:rsid w:val="0B865355"/>
    <w:rsid w:val="0B8769D7"/>
    <w:rsid w:val="0B896BF3"/>
    <w:rsid w:val="0B896F2E"/>
    <w:rsid w:val="0B8D5184"/>
    <w:rsid w:val="0B8E5FB8"/>
    <w:rsid w:val="0B8E7D66"/>
    <w:rsid w:val="0B901D30"/>
    <w:rsid w:val="0B901DC7"/>
    <w:rsid w:val="0B907F82"/>
    <w:rsid w:val="0B971310"/>
    <w:rsid w:val="0B9A670B"/>
    <w:rsid w:val="0B9B7A32"/>
    <w:rsid w:val="0B9F1F73"/>
    <w:rsid w:val="0B9F3D21"/>
    <w:rsid w:val="0B9F6400"/>
    <w:rsid w:val="0BA457DB"/>
    <w:rsid w:val="0BA53A2D"/>
    <w:rsid w:val="0BA8707A"/>
    <w:rsid w:val="0BA94A43"/>
    <w:rsid w:val="0BA94BA0"/>
    <w:rsid w:val="0BAB0918"/>
    <w:rsid w:val="0BAB4F7F"/>
    <w:rsid w:val="0BAB6189"/>
    <w:rsid w:val="0BAC3FDB"/>
    <w:rsid w:val="0BAD28E2"/>
    <w:rsid w:val="0BAD4690"/>
    <w:rsid w:val="0BAF5882"/>
    <w:rsid w:val="0BB84DE3"/>
    <w:rsid w:val="0BB946FF"/>
    <w:rsid w:val="0BB974D9"/>
    <w:rsid w:val="0BBA4FFF"/>
    <w:rsid w:val="0BBA59F6"/>
    <w:rsid w:val="0BBC0D77"/>
    <w:rsid w:val="0BBD3B22"/>
    <w:rsid w:val="0BBF6171"/>
    <w:rsid w:val="0BC0004F"/>
    <w:rsid w:val="0BC114DF"/>
    <w:rsid w:val="0BC32105"/>
    <w:rsid w:val="0BC419DA"/>
    <w:rsid w:val="0BC52B4C"/>
    <w:rsid w:val="0BC74D80"/>
    <w:rsid w:val="0BC813B2"/>
    <w:rsid w:val="0BC81605"/>
    <w:rsid w:val="0BC916A9"/>
    <w:rsid w:val="0BC96FF0"/>
    <w:rsid w:val="0BCA76B1"/>
    <w:rsid w:val="0BCB0FBA"/>
    <w:rsid w:val="0BCC1D85"/>
    <w:rsid w:val="0BD065D0"/>
    <w:rsid w:val="0BD27BF6"/>
    <w:rsid w:val="0BD47E6F"/>
    <w:rsid w:val="0BD6482C"/>
    <w:rsid w:val="0BD87233"/>
    <w:rsid w:val="0BD936D7"/>
    <w:rsid w:val="0BD95485"/>
    <w:rsid w:val="0BDA3B5C"/>
    <w:rsid w:val="0BDC60E7"/>
    <w:rsid w:val="0BDC6D23"/>
    <w:rsid w:val="0BDF4A68"/>
    <w:rsid w:val="0BE1433A"/>
    <w:rsid w:val="0BE272B2"/>
    <w:rsid w:val="0BE37E56"/>
    <w:rsid w:val="0BE43E2A"/>
    <w:rsid w:val="0BE4744A"/>
    <w:rsid w:val="0BE77482"/>
    <w:rsid w:val="0BE84BBF"/>
    <w:rsid w:val="0BE856C8"/>
    <w:rsid w:val="0BE877B6"/>
    <w:rsid w:val="0BE91440"/>
    <w:rsid w:val="0BEA58E4"/>
    <w:rsid w:val="0BED7182"/>
    <w:rsid w:val="0BEF4CA9"/>
    <w:rsid w:val="0BF00A21"/>
    <w:rsid w:val="0BF027CF"/>
    <w:rsid w:val="0BF26547"/>
    <w:rsid w:val="0BF3436E"/>
    <w:rsid w:val="0BF422BF"/>
    <w:rsid w:val="0BF57DE5"/>
    <w:rsid w:val="0BF7590B"/>
    <w:rsid w:val="0BF95AF0"/>
    <w:rsid w:val="0BFE4EEC"/>
    <w:rsid w:val="0C000C64"/>
    <w:rsid w:val="0C013B43"/>
    <w:rsid w:val="0C014D3B"/>
    <w:rsid w:val="0C030754"/>
    <w:rsid w:val="0C083C74"/>
    <w:rsid w:val="0C0A1AE2"/>
    <w:rsid w:val="0C0A7D34"/>
    <w:rsid w:val="0C0B585A"/>
    <w:rsid w:val="0C0D512F"/>
    <w:rsid w:val="0C104C1F"/>
    <w:rsid w:val="0C120997"/>
    <w:rsid w:val="0C131379"/>
    <w:rsid w:val="0C136BB7"/>
    <w:rsid w:val="0C14470F"/>
    <w:rsid w:val="0C201306"/>
    <w:rsid w:val="0C216E2C"/>
    <w:rsid w:val="0C2176F9"/>
    <w:rsid w:val="0C22507E"/>
    <w:rsid w:val="0C281F69"/>
    <w:rsid w:val="0C28640C"/>
    <w:rsid w:val="0C2B1A59"/>
    <w:rsid w:val="0C2C2DE4"/>
    <w:rsid w:val="0C2D42EB"/>
    <w:rsid w:val="0C2E40C6"/>
    <w:rsid w:val="0C2F779B"/>
    <w:rsid w:val="0C3152C1"/>
    <w:rsid w:val="0C322DE7"/>
    <w:rsid w:val="0C323CC8"/>
    <w:rsid w:val="0C3703FE"/>
    <w:rsid w:val="0C3A5FDD"/>
    <w:rsid w:val="0C3B3C7D"/>
    <w:rsid w:val="0C3B7EEE"/>
    <w:rsid w:val="0C3F14E5"/>
    <w:rsid w:val="0C404E71"/>
    <w:rsid w:val="0C4072B2"/>
    <w:rsid w:val="0C4274CE"/>
    <w:rsid w:val="0C434FF4"/>
    <w:rsid w:val="0C450D6C"/>
    <w:rsid w:val="0C4548C9"/>
    <w:rsid w:val="0C4A1EDF"/>
    <w:rsid w:val="0C4A72B0"/>
    <w:rsid w:val="0C4B6370"/>
    <w:rsid w:val="0C4D4F79"/>
    <w:rsid w:val="0C50326D"/>
    <w:rsid w:val="0C5218F5"/>
    <w:rsid w:val="0C54227B"/>
    <w:rsid w:val="0C57284E"/>
    <w:rsid w:val="0C580BFC"/>
    <w:rsid w:val="0C5B0590"/>
    <w:rsid w:val="0C5C1C12"/>
    <w:rsid w:val="0C601702"/>
    <w:rsid w:val="0C603A8A"/>
    <w:rsid w:val="0C607954"/>
    <w:rsid w:val="0C632FA1"/>
    <w:rsid w:val="0C655C90"/>
    <w:rsid w:val="0C670CE3"/>
    <w:rsid w:val="0C683E58"/>
    <w:rsid w:val="0C693F9D"/>
    <w:rsid w:val="0C6C0F68"/>
    <w:rsid w:val="0C7054DB"/>
    <w:rsid w:val="0C711B61"/>
    <w:rsid w:val="0C725B23"/>
    <w:rsid w:val="0C727688"/>
    <w:rsid w:val="0C7451AE"/>
    <w:rsid w:val="0C756AC9"/>
    <w:rsid w:val="0C757A49"/>
    <w:rsid w:val="0C7927C4"/>
    <w:rsid w:val="0C7E2917"/>
    <w:rsid w:val="0C7E602C"/>
    <w:rsid w:val="0C8278CB"/>
    <w:rsid w:val="0C8353F1"/>
    <w:rsid w:val="0C863C7A"/>
    <w:rsid w:val="0C882A07"/>
    <w:rsid w:val="0C8A4F29"/>
    <w:rsid w:val="0C8C24F7"/>
    <w:rsid w:val="0C8C699B"/>
    <w:rsid w:val="0C8D5E26"/>
    <w:rsid w:val="0C8E44C1"/>
    <w:rsid w:val="0C8F3D96"/>
    <w:rsid w:val="0C9413AC"/>
    <w:rsid w:val="0C9475FE"/>
    <w:rsid w:val="0C992E66"/>
    <w:rsid w:val="0C9B273A"/>
    <w:rsid w:val="0C9C0744"/>
    <w:rsid w:val="0C9C64B3"/>
    <w:rsid w:val="0C9D7683"/>
    <w:rsid w:val="0C9E047D"/>
    <w:rsid w:val="0CA02447"/>
    <w:rsid w:val="0CA05FA3"/>
    <w:rsid w:val="0CA5180B"/>
    <w:rsid w:val="0CA77331"/>
    <w:rsid w:val="0CAB2EAE"/>
    <w:rsid w:val="0CAB4505"/>
    <w:rsid w:val="0CAE43B6"/>
    <w:rsid w:val="0CAE6912"/>
    <w:rsid w:val="0CB200C5"/>
    <w:rsid w:val="0CB33F28"/>
    <w:rsid w:val="0CB47CA0"/>
    <w:rsid w:val="0CB5109E"/>
    <w:rsid w:val="0CBB2DDD"/>
    <w:rsid w:val="0CBD0903"/>
    <w:rsid w:val="0CBE2AD4"/>
    <w:rsid w:val="0CBE467B"/>
    <w:rsid w:val="0CBF11A0"/>
    <w:rsid w:val="0CC53C5B"/>
    <w:rsid w:val="0CC71781"/>
    <w:rsid w:val="0CC7352F"/>
    <w:rsid w:val="0CC779D3"/>
    <w:rsid w:val="0CC926FE"/>
    <w:rsid w:val="0CCC323C"/>
    <w:rsid w:val="0CCC5389"/>
    <w:rsid w:val="0CCE0D2E"/>
    <w:rsid w:val="0CCE2B10"/>
    <w:rsid w:val="0CD10852"/>
    <w:rsid w:val="0CD65E68"/>
    <w:rsid w:val="0CD66F96"/>
    <w:rsid w:val="0CD93263"/>
    <w:rsid w:val="0CDB347F"/>
    <w:rsid w:val="0CDB6FDB"/>
    <w:rsid w:val="0CDC27E7"/>
    <w:rsid w:val="0CDC6310"/>
    <w:rsid w:val="0CDD0FA5"/>
    <w:rsid w:val="0CDD2D53"/>
    <w:rsid w:val="0CDD5F03"/>
    <w:rsid w:val="0CDE6ACB"/>
    <w:rsid w:val="0CDF4D1D"/>
    <w:rsid w:val="0CDF6E00"/>
    <w:rsid w:val="0CE045F1"/>
    <w:rsid w:val="0CE22D83"/>
    <w:rsid w:val="0CE41AC4"/>
    <w:rsid w:val="0CE435C3"/>
    <w:rsid w:val="0CE92E27"/>
    <w:rsid w:val="0CEB5528"/>
    <w:rsid w:val="0CEC2F96"/>
    <w:rsid w:val="0CEE4F60"/>
    <w:rsid w:val="0CEE6D0E"/>
    <w:rsid w:val="0CF167FE"/>
    <w:rsid w:val="0CF25558"/>
    <w:rsid w:val="0CF26A59"/>
    <w:rsid w:val="0CF32576"/>
    <w:rsid w:val="0CF85DDF"/>
    <w:rsid w:val="0CFA3905"/>
    <w:rsid w:val="0CFB58CF"/>
    <w:rsid w:val="0CFC291C"/>
    <w:rsid w:val="0CFD1647"/>
    <w:rsid w:val="0CFD33F5"/>
    <w:rsid w:val="0D006A41"/>
    <w:rsid w:val="0D02755D"/>
    <w:rsid w:val="0D0404BA"/>
    <w:rsid w:val="0D0504FC"/>
    <w:rsid w:val="0D051D38"/>
    <w:rsid w:val="0D063BEB"/>
    <w:rsid w:val="0D074274"/>
    <w:rsid w:val="0D0C3638"/>
    <w:rsid w:val="0D0C53E6"/>
    <w:rsid w:val="0D0E73B0"/>
    <w:rsid w:val="0D1150F2"/>
    <w:rsid w:val="0D131A73"/>
    <w:rsid w:val="0D136775"/>
    <w:rsid w:val="0D1505EF"/>
    <w:rsid w:val="0D18022F"/>
    <w:rsid w:val="0D191AD7"/>
    <w:rsid w:val="0D1A5D55"/>
    <w:rsid w:val="0D1B59B9"/>
    <w:rsid w:val="0D1F2C3F"/>
    <w:rsid w:val="0D2003C0"/>
    <w:rsid w:val="0D2070E4"/>
    <w:rsid w:val="0D214C6C"/>
    <w:rsid w:val="0D215336"/>
    <w:rsid w:val="0D222E5C"/>
    <w:rsid w:val="0D2377C3"/>
    <w:rsid w:val="0D237F01"/>
    <w:rsid w:val="0D244E26"/>
    <w:rsid w:val="0D252FB8"/>
    <w:rsid w:val="0D264D29"/>
    <w:rsid w:val="0D29243C"/>
    <w:rsid w:val="0D295F98"/>
    <w:rsid w:val="0D2A1D10"/>
    <w:rsid w:val="0D2C2074"/>
    <w:rsid w:val="0D2C5A88"/>
    <w:rsid w:val="0D2D4669"/>
    <w:rsid w:val="0D2E35AF"/>
    <w:rsid w:val="0D301CFF"/>
    <w:rsid w:val="0D3052EC"/>
    <w:rsid w:val="0D346A4C"/>
    <w:rsid w:val="0D350DE1"/>
    <w:rsid w:val="0D35493D"/>
    <w:rsid w:val="0D3606B5"/>
    <w:rsid w:val="0D38267F"/>
    <w:rsid w:val="0D3C5F4E"/>
    <w:rsid w:val="0D3D5EE8"/>
    <w:rsid w:val="0D3D766C"/>
    <w:rsid w:val="0D4224E0"/>
    <w:rsid w:val="0D4252AC"/>
    <w:rsid w:val="0D42705A"/>
    <w:rsid w:val="0D441024"/>
    <w:rsid w:val="0D444B80"/>
    <w:rsid w:val="0D4508F8"/>
    <w:rsid w:val="0D4728C2"/>
    <w:rsid w:val="0D4B4161"/>
    <w:rsid w:val="0D4B66E7"/>
    <w:rsid w:val="0D4C22C8"/>
    <w:rsid w:val="0D4C7E4E"/>
    <w:rsid w:val="0D4C7ED9"/>
    <w:rsid w:val="0D5079C9"/>
    <w:rsid w:val="0D517F9B"/>
    <w:rsid w:val="0D5323DA"/>
    <w:rsid w:val="0D533015"/>
    <w:rsid w:val="0D543401"/>
    <w:rsid w:val="0D553231"/>
    <w:rsid w:val="0D554B9A"/>
    <w:rsid w:val="0D554FDF"/>
    <w:rsid w:val="0D570236"/>
    <w:rsid w:val="0D584298"/>
    <w:rsid w:val="0D58687D"/>
    <w:rsid w:val="0D5A43A4"/>
    <w:rsid w:val="0D5D5C42"/>
    <w:rsid w:val="0D5F5E5E"/>
    <w:rsid w:val="0D605732"/>
    <w:rsid w:val="0D6214AA"/>
    <w:rsid w:val="0D621C7D"/>
    <w:rsid w:val="0D643474"/>
    <w:rsid w:val="0D645222"/>
    <w:rsid w:val="0D646FD0"/>
    <w:rsid w:val="0D65044B"/>
    <w:rsid w:val="0D6618DB"/>
    <w:rsid w:val="0D664054"/>
    <w:rsid w:val="0D676AC1"/>
    <w:rsid w:val="0D682F64"/>
    <w:rsid w:val="0D6945E7"/>
    <w:rsid w:val="0D6B035F"/>
    <w:rsid w:val="0D6B65B1"/>
    <w:rsid w:val="0D6C2329"/>
    <w:rsid w:val="0D6C40D7"/>
    <w:rsid w:val="0D70545C"/>
    <w:rsid w:val="0D710130"/>
    <w:rsid w:val="0D73211D"/>
    <w:rsid w:val="0D735465"/>
    <w:rsid w:val="0D737713"/>
    <w:rsid w:val="0D742BAF"/>
    <w:rsid w:val="0D743EDF"/>
    <w:rsid w:val="0D757A28"/>
    <w:rsid w:val="0D7731A8"/>
    <w:rsid w:val="0D780CCE"/>
    <w:rsid w:val="0D786F20"/>
    <w:rsid w:val="0D7A2C98"/>
    <w:rsid w:val="0D7A4A46"/>
    <w:rsid w:val="0D7B06C2"/>
    <w:rsid w:val="0D7D0092"/>
    <w:rsid w:val="0D7D4536"/>
    <w:rsid w:val="0D7D6AA6"/>
    <w:rsid w:val="0D7F3BC3"/>
    <w:rsid w:val="0D7F3E0A"/>
    <w:rsid w:val="0D8256A8"/>
    <w:rsid w:val="0D8458C4"/>
    <w:rsid w:val="0D86213E"/>
    <w:rsid w:val="0D8633EB"/>
    <w:rsid w:val="0D870C14"/>
    <w:rsid w:val="0D870F11"/>
    <w:rsid w:val="0D872355"/>
    <w:rsid w:val="0D894C89"/>
    <w:rsid w:val="0D8B6F80"/>
    <w:rsid w:val="0D8D4A86"/>
    <w:rsid w:val="0D921D8F"/>
    <w:rsid w:val="0D942F6B"/>
    <w:rsid w:val="0D95362E"/>
    <w:rsid w:val="0D957AD2"/>
    <w:rsid w:val="0D965AC4"/>
    <w:rsid w:val="0D9755F8"/>
    <w:rsid w:val="0D98311E"/>
    <w:rsid w:val="0D9D02A1"/>
    <w:rsid w:val="0D9E6986"/>
    <w:rsid w:val="0DA21B4B"/>
    <w:rsid w:val="0DA43871"/>
    <w:rsid w:val="0DA815B3"/>
    <w:rsid w:val="0DA90E87"/>
    <w:rsid w:val="0DA97CF5"/>
    <w:rsid w:val="0DAB2E51"/>
    <w:rsid w:val="0DAE276C"/>
    <w:rsid w:val="0DAF0B93"/>
    <w:rsid w:val="0DB02216"/>
    <w:rsid w:val="0DB066B9"/>
    <w:rsid w:val="0DB22432"/>
    <w:rsid w:val="0DB31D06"/>
    <w:rsid w:val="0DB5782C"/>
    <w:rsid w:val="0DB937C0"/>
    <w:rsid w:val="0DBC505E"/>
    <w:rsid w:val="0DBE2B84"/>
    <w:rsid w:val="0DC12675"/>
    <w:rsid w:val="0DC161D1"/>
    <w:rsid w:val="0DC363ED"/>
    <w:rsid w:val="0DC42165"/>
    <w:rsid w:val="0DC463FB"/>
    <w:rsid w:val="0DC5006E"/>
    <w:rsid w:val="0DC760A7"/>
    <w:rsid w:val="0DC91529"/>
    <w:rsid w:val="0DCB34F3"/>
    <w:rsid w:val="0DCD365A"/>
    <w:rsid w:val="0DCF4D92"/>
    <w:rsid w:val="0DD23FEB"/>
    <w:rsid w:val="0DD56120"/>
    <w:rsid w:val="0DD57ECE"/>
    <w:rsid w:val="0DD66EF1"/>
    <w:rsid w:val="0DDA3736"/>
    <w:rsid w:val="0DDA7292"/>
    <w:rsid w:val="0DDC125D"/>
    <w:rsid w:val="0DDC300B"/>
    <w:rsid w:val="0DDC4A0F"/>
    <w:rsid w:val="0DDC6937"/>
    <w:rsid w:val="0DDE11F1"/>
    <w:rsid w:val="0DDF2AFB"/>
    <w:rsid w:val="0DE21828"/>
    <w:rsid w:val="0DE418AE"/>
    <w:rsid w:val="0DE46363"/>
    <w:rsid w:val="0DE6032D"/>
    <w:rsid w:val="0DE87C01"/>
    <w:rsid w:val="0DEB14A0"/>
    <w:rsid w:val="0DEB5944"/>
    <w:rsid w:val="0DED6FC6"/>
    <w:rsid w:val="0DF20A80"/>
    <w:rsid w:val="0DF2282E"/>
    <w:rsid w:val="0DF63CF6"/>
    <w:rsid w:val="0DF66459"/>
    <w:rsid w:val="0DF86616"/>
    <w:rsid w:val="0DFA5B87"/>
    <w:rsid w:val="0DFB570C"/>
    <w:rsid w:val="0DFC36AD"/>
    <w:rsid w:val="0DFC545B"/>
    <w:rsid w:val="0DFD5C70"/>
    <w:rsid w:val="0DFE5677"/>
    <w:rsid w:val="0DFE7425"/>
    <w:rsid w:val="0E012A71"/>
    <w:rsid w:val="0E067EAD"/>
    <w:rsid w:val="0E0B1B42"/>
    <w:rsid w:val="0E0C4191"/>
    <w:rsid w:val="0E0D1416"/>
    <w:rsid w:val="0E0D58BA"/>
    <w:rsid w:val="0E0F1632"/>
    <w:rsid w:val="0E0F340D"/>
    <w:rsid w:val="0E0F7B64"/>
    <w:rsid w:val="0E1053AA"/>
    <w:rsid w:val="0E106061"/>
    <w:rsid w:val="0E121D8E"/>
    <w:rsid w:val="0E122ED0"/>
    <w:rsid w:val="0E124C7E"/>
    <w:rsid w:val="0E172295"/>
    <w:rsid w:val="0E19091D"/>
    <w:rsid w:val="0E1924B1"/>
    <w:rsid w:val="0E1A1D85"/>
    <w:rsid w:val="0E1A2C2A"/>
    <w:rsid w:val="0E1C3D4F"/>
    <w:rsid w:val="0E211365"/>
    <w:rsid w:val="0E213113"/>
    <w:rsid w:val="0E21337C"/>
    <w:rsid w:val="0E247B1E"/>
    <w:rsid w:val="0E26697C"/>
    <w:rsid w:val="0E2706E0"/>
    <w:rsid w:val="0E274FD0"/>
    <w:rsid w:val="0E2844A2"/>
    <w:rsid w:val="0E285ADE"/>
    <w:rsid w:val="0E286A5E"/>
    <w:rsid w:val="0E295443"/>
    <w:rsid w:val="0E2A0014"/>
    <w:rsid w:val="0E2D1AB8"/>
    <w:rsid w:val="0E2F3A82"/>
    <w:rsid w:val="0E323572"/>
    <w:rsid w:val="0E325320"/>
    <w:rsid w:val="0E3270CE"/>
    <w:rsid w:val="0E341099"/>
    <w:rsid w:val="0E351858"/>
    <w:rsid w:val="0E370B89"/>
    <w:rsid w:val="0E372937"/>
    <w:rsid w:val="0E3957FF"/>
    <w:rsid w:val="0E3A0F99"/>
    <w:rsid w:val="0E3A52BC"/>
    <w:rsid w:val="0E3A5F83"/>
    <w:rsid w:val="0E3C7F4D"/>
    <w:rsid w:val="0E3E3CC5"/>
    <w:rsid w:val="0E3E6870"/>
    <w:rsid w:val="0E3F4A94"/>
    <w:rsid w:val="0E4017EB"/>
    <w:rsid w:val="0E4137B5"/>
    <w:rsid w:val="0E425BB0"/>
    <w:rsid w:val="0E4660AC"/>
    <w:rsid w:val="0E4A4418"/>
    <w:rsid w:val="0E4C40F0"/>
    <w:rsid w:val="0E4D215A"/>
    <w:rsid w:val="0E4E5CCE"/>
    <w:rsid w:val="0E4F4A42"/>
    <w:rsid w:val="0E4F5ED2"/>
    <w:rsid w:val="0E52151F"/>
    <w:rsid w:val="0E527771"/>
    <w:rsid w:val="0E537475"/>
    <w:rsid w:val="0E5434E9"/>
    <w:rsid w:val="0E555BA1"/>
    <w:rsid w:val="0E572FD9"/>
    <w:rsid w:val="0E573BC6"/>
    <w:rsid w:val="0E574D87"/>
    <w:rsid w:val="0E5E7EC3"/>
    <w:rsid w:val="0E5F5514"/>
    <w:rsid w:val="0E611762"/>
    <w:rsid w:val="0E63197E"/>
    <w:rsid w:val="0E651252"/>
    <w:rsid w:val="0E6574A4"/>
    <w:rsid w:val="0E666D78"/>
    <w:rsid w:val="0E6A284B"/>
    <w:rsid w:val="0E6D0107"/>
    <w:rsid w:val="0E6D45AA"/>
    <w:rsid w:val="0E6E115D"/>
    <w:rsid w:val="0E6F0323"/>
    <w:rsid w:val="0E6F20D1"/>
    <w:rsid w:val="0E707BF7"/>
    <w:rsid w:val="0E71409B"/>
    <w:rsid w:val="0E7201B5"/>
    <w:rsid w:val="0E73034D"/>
    <w:rsid w:val="0E780F3B"/>
    <w:rsid w:val="0E7A1DC9"/>
    <w:rsid w:val="0E7B0A75"/>
    <w:rsid w:val="0E7B2823"/>
    <w:rsid w:val="0E7B4CEB"/>
    <w:rsid w:val="0E7C659C"/>
    <w:rsid w:val="0E7E0566"/>
    <w:rsid w:val="0E7E2314"/>
    <w:rsid w:val="0E835B7C"/>
    <w:rsid w:val="0E83792A"/>
    <w:rsid w:val="0E85096E"/>
    <w:rsid w:val="0E8536A2"/>
    <w:rsid w:val="0E8611C8"/>
    <w:rsid w:val="0E87741A"/>
    <w:rsid w:val="0E882E3E"/>
    <w:rsid w:val="0E883192"/>
    <w:rsid w:val="0E8A6F0A"/>
    <w:rsid w:val="0E8F0160"/>
    <w:rsid w:val="0E8F4521"/>
    <w:rsid w:val="0E910299"/>
    <w:rsid w:val="0E922F72"/>
    <w:rsid w:val="0E9318B0"/>
    <w:rsid w:val="0E940C46"/>
    <w:rsid w:val="0E9644C4"/>
    <w:rsid w:val="0E974993"/>
    <w:rsid w:val="0E976504"/>
    <w:rsid w:val="0E993724"/>
    <w:rsid w:val="0E9C279A"/>
    <w:rsid w:val="0E9E4764"/>
    <w:rsid w:val="0E9E6B38"/>
    <w:rsid w:val="0E9F40E6"/>
    <w:rsid w:val="0EA004DC"/>
    <w:rsid w:val="0EA0228A"/>
    <w:rsid w:val="0EA115D7"/>
    <w:rsid w:val="0EA87391"/>
    <w:rsid w:val="0EAE100A"/>
    <w:rsid w:val="0EAF3BDB"/>
    <w:rsid w:val="0EB36461"/>
    <w:rsid w:val="0EB608AD"/>
    <w:rsid w:val="0EB62DF9"/>
    <w:rsid w:val="0EB6385C"/>
    <w:rsid w:val="0EB73632"/>
    <w:rsid w:val="0EB84C8D"/>
    <w:rsid w:val="0EB977F0"/>
    <w:rsid w:val="0EBB2053"/>
    <w:rsid w:val="0EBD5C02"/>
    <w:rsid w:val="0EBE0962"/>
    <w:rsid w:val="0EBE6BB4"/>
    <w:rsid w:val="0EBF1F8F"/>
    <w:rsid w:val="0EC248F6"/>
    <w:rsid w:val="0EC266A4"/>
    <w:rsid w:val="0EC3241C"/>
    <w:rsid w:val="0EC35F79"/>
    <w:rsid w:val="0EC95C85"/>
    <w:rsid w:val="0EC95C9F"/>
    <w:rsid w:val="0ECA70A2"/>
    <w:rsid w:val="0ECC307F"/>
    <w:rsid w:val="0ECD6DF7"/>
    <w:rsid w:val="0ECE329B"/>
    <w:rsid w:val="0ECF2B6F"/>
    <w:rsid w:val="0ED26F75"/>
    <w:rsid w:val="0ED2788D"/>
    <w:rsid w:val="0ED939EE"/>
    <w:rsid w:val="0EDB32C2"/>
    <w:rsid w:val="0EDB64B5"/>
    <w:rsid w:val="0EDC703A"/>
    <w:rsid w:val="0EDD34DE"/>
    <w:rsid w:val="0EDF463B"/>
    <w:rsid w:val="0EE0191B"/>
    <w:rsid w:val="0EE20AF5"/>
    <w:rsid w:val="0EE24651"/>
    <w:rsid w:val="0EE3661B"/>
    <w:rsid w:val="0EE7435D"/>
    <w:rsid w:val="0EE815E2"/>
    <w:rsid w:val="0EED1247"/>
    <w:rsid w:val="0EEF4FBF"/>
    <w:rsid w:val="0EF10D38"/>
    <w:rsid w:val="0EF279EF"/>
    <w:rsid w:val="0EF40828"/>
    <w:rsid w:val="0EF44384"/>
    <w:rsid w:val="0EF56BA2"/>
    <w:rsid w:val="0EF820C6"/>
    <w:rsid w:val="0EFA6F59"/>
    <w:rsid w:val="0EFC13C8"/>
    <w:rsid w:val="0F0008B2"/>
    <w:rsid w:val="0F000F7B"/>
    <w:rsid w:val="0F0071CD"/>
    <w:rsid w:val="0F026AA1"/>
    <w:rsid w:val="0F032819"/>
    <w:rsid w:val="0F0767AD"/>
    <w:rsid w:val="0F0841AB"/>
    <w:rsid w:val="0F087E2F"/>
    <w:rsid w:val="0F0A1DF9"/>
    <w:rsid w:val="0F0C791F"/>
    <w:rsid w:val="0F0D5446"/>
    <w:rsid w:val="0F0E18EA"/>
    <w:rsid w:val="0F0E428C"/>
    <w:rsid w:val="0F111837"/>
    <w:rsid w:val="0F114F36"/>
    <w:rsid w:val="0F13775A"/>
    <w:rsid w:val="0F144A26"/>
    <w:rsid w:val="0F145F11"/>
    <w:rsid w:val="0F1467D4"/>
    <w:rsid w:val="0F152C08"/>
    <w:rsid w:val="0F16254C"/>
    <w:rsid w:val="0F184516"/>
    <w:rsid w:val="0F1B4006"/>
    <w:rsid w:val="0F1D151B"/>
    <w:rsid w:val="0F1E7653"/>
    <w:rsid w:val="0F220EF1"/>
    <w:rsid w:val="0F22618E"/>
    <w:rsid w:val="0F242EBB"/>
    <w:rsid w:val="0F243018"/>
    <w:rsid w:val="0F243C96"/>
    <w:rsid w:val="0F2509E1"/>
    <w:rsid w:val="0F2904D1"/>
    <w:rsid w:val="0F2A30F0"/>
    <w:rsid w:val="0F2B66F0"/>
    <w:rsid w:val="0F2C1D70"/>
    <w:rsid w:val="0F2F1860"/>
    <w:rsid w:val="0F2F360E"/>
    <w:rsid w:val="0F2F38D9"/>
    <w:rsid w:val="0F2F6501"/>
    <w:rsid w:val="0F317386"/>
    <w:rsid w:val="0F331350"/>
    <w:rsid w:val="0F334EAC"/>
    <w:rsid w:val="0F36499C"/>
    <w:rsid w:val="0F384BB8"/>
    <w:rsid w:val="0F386966"/>
    <w:rsid w:val="0F3B10EC"/>
    <w:rsid w:val="0F3D21CF"/>
    <w:rsid w:val="0F3F1AA3"/>
    <w:rsid w:val="0F3F5FF6"/>
    <w:rsid w:val="0F4075C9"/>
    <w:rsid w:val="0F421593"/>
    <w:rsid w:val="0F423341"/>
    <w:rsid w:val="0F44530B"/>
    <w:rsid w:val="0F452E31"/>
    <w:rsid w:val="0F470958"/>
    <w:rsid w:val="0F471972"/>
    <w:rsid w:val="0F474DFC"/>
    <w:rsid w:val="0F490B74"/>
    <w:rsid w:val="0F4946D0"/>
    <w:rsid w:val="0F4B2DFC"/>
    <w:rsid w:val="0F4C2412"/>
    <w:rsid w:val="0F4F43AA"/>
    <w:rsid w:val="0F501F02"/>
    <w:rsid w:val="0F507D0C"/>
    <w:rsid w:val="0F51040B"/>
    <w:rsid w:val="0F5404D5"/>
    <w:rsid w:val="0F543075"/>
    <w:rsid w:val="0F5512C6"/>
    <w:rsid w:val="0F563291"/>
    <w:rsid w:val="0F5A0F7A"/>
    <w:rsid w:val="0F5A4B2F"/>
    <w:rsid w:val="0F5A68DD"/>
    <w:rsid w:val="0F5F0397"/>
    <w:rsid w:val="0F5F45FE"/>
    <w:rsid w:val="0F621C35"/>
    <w:rsid w:val="0F6239E3"/>
    <w:rsid w:val="0F672DA8"/>
    <w:rsid w:val="0F694D72"/>
    <w:rsid w:val="0F6B4C15"/>
    <w:rsid w:val="0F6C4862"/>
    <w:rsid w:val="0F6C6610"/>
    <w:rsid w:val="0F6E05DA"/>
    <w:rsid w:val="0F7303F4"/>
    <w:rsid w:val="0F753717"/>
    <w:rsid w:val="0F784FB5"/>
    <w:rsid w:val="0F785FDA"/>
    <w:rsid w:val="0F7A0D2D"/>
    <w:rsid w:val="0F7B17FE"/>
    <w:rsid w:val="0F7C2CF7"/>
    <w:rsid w:val="0F7D25CB"/>
    <w:rsid w:val="0F803E6A"/>
    <w:rsid w:val="0F8201CD"/>
    <w:rsid w:val="0F824086"/>
    <w:rsid w:val="0F833B19"/>
    <w:rsid w:val="0F8704DA"/>
    <w:rsid w:val="0F8B4CE8"/>
    <w:rsid w:val="0F8C0A60"/>
    <w:rsid w:val="0F8D434C"/>
    <w:rsid w:val="0F8E03AD"/>
    <w:rsid w:val="0F8E57DC"/>
    <w:rsid w:val="0F921E4E"/>
    <w:rsid w:val="0F96368D"/>
    <w:rsid w:val="0F98145F"/>
    <w:rsid w:val="0F987405"/>
    <w:rsid w:val="0F9A112B"/>
    <w:rsid w:val="0F9A2DA7"/>
    <w:rsid w:val="0F9D4A1B"/>
    <w:rsid w:val="0F9E151F"/>
    <w:rsid w:val="0F9F0794"/>
    <w:rsid w:val="0FA062BA"/>
    <w:rsid w:val="0FA1450C"/>
    <w:rsid w:val="0FA27189"/>
    <w:rsid w:val="0FA27567"/>
    <w:rsid w:val="0FA40278"/>
    <w:rsid w:val="0FA4224E"/>
    <w:rsid w:val="0FA7589A"/>
    <w:rsid w:val="0FAE4E7B"/>
    <w:rsid w:val="0FB35FED"/>
    <w:rsid w:val="0FB56209"/>
    <w:rsid w:val="0FB57FB7"/>
    <w:rsid w:val="0FB6788B"/>
    <w:rsid w:val="0FB729E2"/>
    <w:rsid w:val="0FB83603"/>
    <w:rsid w:val="0FBA55CD"/>
    <w:rsid w:val="0FBC30F4"/>
    <w:rsid w:val="0FBD6E6C"/>
    <w:rsid w:val="0FBF0E36"/>
    <w:rsid w:val="0FC24482"/>
    <w:rsid w:val="0FC3072C"/>
    <w:rsid w:val="0FC63F72"/>
    <w:rsid w:val="0FC65D20"/>
    <w:rsid w:val="0FCB77DB"/>
    <w:rsid w:val="0FCF40FE"/>
    <w:rsid w:val="0FD03043"/>
    <w:rsid w:val="0FD22917"/>
    <w:rsid w:val="0FD77F2D"/>
    <w:rsid w:val="0FD91EF8"/>
    <w:rsid w:val="0FD970F4"/>
    <w:rsid w:val="0FDE3634"/>
    <w:rsid w:val="0FDF5034"/>
    <w:rsid w:val="0FDF6DE2"/>
    <w:rsid w:val="0FE47EC3"/>
    <w:rsid w:val="0FE57564"/>
    <w:rsid w:val="0FE657E0"/>
    <w:rsid w:val="0FEA282E"/>
    <w:rsid w:val="0FED59A3"/>
    <w:rsid w:val="0FEF2407"/>
    <w:rsid w:val="0FF11F36"/>
    <w:rsid w:val="0FF22FB9"/>
    <w:rsid w:val="0FF27858"/>
    <w:rsid w:val="0FF52AA9"/>
    <w:rsid w:val="0FF860F6"/>
    <w:rsid w:val="0FFA1E6E"/>
    <w:rsid w:val="0FFA6EBC"/>
    <w:rsid w:val="0FFD54BA"/>
    <w:rsid w:val="0FFD717C"/>
    <w:rsid w:val="0FFE060C"/>
    <w:rsid w:val="0FFF6FF0"/>
    <w:rsid w:val="10014FAA"/>
    <w:rsid w:val="10022B5A"/>
    <w:rsid w:val="1004447E"/>
    <w:rsid w:val="100625C1"/>
    <w:rsid w:val="10086339"/>
    <w:rsid w:val="100920B1"/>
    <w:rsid w:val="100C57E1"/>
    <w:rsid w:val="100D7DF3"/>
    <w:rsid w:val="100E76C7"/>
    <w:rsid w:val="101051ED"/>
    <w:rsid w:val="10134CDE"/>
    <w:rsid w:val="10156CA8"/>
    <w:rsid w:val="10167D23"/>
    <w:rsid w:val="101747CE"/>
    <w:rsid w:val="101822F4"/>
    <w:rsid w:val="101A42BE"/>
    <w:rsid w:val="101A606C"/>
    <w:rsid w:val="101E3DAE"/>
    <w:rsid w:val="10207B26"/>
    <w:rsid w:val="102173FB"/>
    <w:rsid w:val="102313C5"/>
    <w:rsid w:val="102325D8"/>
    <w:rsid w:val="10235508"/>
    <w:rsid w:val="10240C99"/>
    <w:rsid w:val="10264A11"/>
    <w:rsid w:val="102B2027"/>
    <w:rsid w:val="102B2653"/>
    <w:rsid w:val="102D2243"/>
    <w:rsid w:val="102E38C6"/>
    <w:rsid w:val="1030763E"/>
    <w:rsid w:val="103233B6"/>
    <w:rsid w:val="103435D2"/>
    <w:rsid w:val="10345380"/>
    <w:rsid w:val="103510F8"/>
    <w:rsid w:val="10352EA6"/>
    <w:rsid w:val="10353B56"/>
    <w:rsid w:val="10361A13"/>
    <w:rsid w:val="10376C1E"/>
    <w:rsid w:val="1038336E"/>
    <w:rsid w:val="10385E62"/>
    <w:rsid w:val="10392996"/>
    <w:rsid w:val="103C2486"/>
    <w:rsid w:val="103E7FAD"/>
    <w:rsid w:val="103F1B00"/>
    <w:rsid w:val="10437371"/>
    <w:rsid w:val="1046184F"/>
    <w:rsid w:val="10463305"/>
    <w:rsid w:val="104649EC"/>
    <w:rsid w:val="10466E61"/>
    <w:rsid w:val="10484987"/>
    <w:rsid w:val="10494B61"/>
    <w:rsid w:val="104A6951"/>
    <w:rsid w:val="104D4694"/>
    <w:rsid w:val="104D56D4"/>
    <w:rsid w:val="104E5D16"/>
    <w:rsid w:val="10500AE6"/>
    <w:rsid w:val="10501A8E"/>
    <w:rsid w:val="10505F32"/>
    <w:rsid w:val="10520F58"/>
    <w:rsid w:val="105570A4"/>
    <w:rsid w:val="10560A13"/>
    <w:rsid w:val="1057106E"/>
    <w:rsid w:val="10596B94"/>
    <w:rsid w:val="105B6408"/>
    <w:rsid w:val="105C48D7"/>
    <w:rsid w:val="105C6685"/>
    <w:rsid w:val="105E41AB"/>
    <w:rsid w:val="105F7F23"/>
    <w:rsid w:val="10611EED"/>
    <w:rsid w:val="10616D58"/>
    <w:rsid w:val="10625DF6"/>
    <w:rsid w:val="10637A13"/>
    <w:rsid w:val="1064298A"/>
    <w:rsid w:val="1066305F"/>
    <w:rsid w:val="10675755"/>
    <w:rsid w:val="10693B19"/>
    <w:rsid w:val="106A0DA2"/>
    <w:rsid w:val="106A2B50"/>
    <w:rsid w:val="106A52BA"/>
    <w:rsid w:val="106B4B1A"/>
    <w:rsid w:val="106B68C8"/>
    <w:rsid w:val="106D2F64"/>
    <w:rsid w:val="106D43EE"/>
    <w:rsid w:val="106F0166"/>
    <w:rsid w:val="106F600E"/>
    <w:rsid w:val="1070206F"/>
    <w:rsid w:val="10702130"/>
    <w:rsid w:val="10725EA8"/>
    <w:rsid w:val="10730F54"/>
    <w:rsid w:val="10757746"/>
    <w:rsid w:val="10765998"/>
    <w:rsid w:val="10790FE5"/>
    <w:rsid w:val="107E484D"/>
    <w:rsid w:val="107F6F93"/>
    <w:rsid w:val="10831E63"/>
    <w:rsid w:val="10857989"/>
    <w:rsid w:val="1088161D"/>
    <w:rsid w:val="108B0D18"/>
    <w:rsid w:val="108C0107"/>
    <w:rsid w:val="10923E54"/>
    <w:rsid w:val="1092654A"/>
    <w:rsid w:val="10954787"/>
    <w:rsid w:val="10961B97"/>
    <w:rsid w:val="1096623E"/>
    <w:rsid w:val="1097590F"/>
    <w:rsid w:val="109866AA"/>
    <w:rsid w:val="109A0D5B"/>
    <w:rsid w:val="10A047C3"/>
    <w:rsid w:val="10A26449"/>
    <w:rsid w:val="10A334D3"/>
    <w:rsid w:val="10A36062"/>
    <w:rsid w:val="10A43CE3"/>
    <w:rsid w:val="10A67105"/>
    <w:rsid w:val="10A73DA4"/>
    <w:rsid w:val="10A83678"/>
    <w:rsid w:val="10A87B1C"/>
    <w:rsid w:val="10AA3894"/>
    <w:rsid w:val="10AD0C8E"/>
    <w:rsid w:val="10AD79C5"/>
    <w:rsid w:val="10B1077E"/>
    <w:rsid w:val="10B244F7"/>
    <w:rsid w:val="10B4201D"/>
    <w:rsid w:val="10B57FE7"/>
    <w:rsid w:val="10B63710"/>
    <w:rsid w:val="10B63FE7"/>
    <w:rsid w:val="10B65683"/>
    <w:rsid w:val="10B85FB1"/>
    <w:rsid w:val="10B93DC2"/>
    <w:rsid w:val="10B97E14"/>
    <w:rsid w:val="10BA75CD"/>
    <w:rsid w:val="10BB33AB"/>
    <w:rsid w:val="10BF2F96"/>
    <w:rsid w:val="10C06C14"/>
    <w:rsid w:val="10C16D46"/>
    <w:rsid w:val="10C20BDE"/>
    <w:rsid w:val="10C36704"/>
    <w:rsid w:val="10C61D50"/>
    <w:rsid w:val="10C761F4"/>
    <w:rsid w:val="10CC55B8"/>
    <w:rsid w:val="10D02CFC"/>
    <w:rsid w:val="10D0497D"/>
    <w:rsid w:val="10D12BCF"/>
    <w:rsid w:val="10D25586"/>
    <w:rsid w:val="10D40911"/>
    <w:rsid w:val="10D63FE2"/>
    <w:rsid w:val="10D64453"/>
    <w:rsid w:val="10D80401"/>
    <w:rsid w:val="10D83B3D"/>
    <w:rsid w:val="10D95F27"/>
    <w:rsid w:val="10DB1C9F"/>
    <w:rsid w:val="10E072B6"/>
    <w:rsid w:val="10E13693"/>
    <w:rsid w:val="10E1375F"/>
    <w:rsid w:val="10E16B8A"/>
    <w:rsid w:val="10E36DA6"/>
    <w:rsid w:val="10E50428"/>
    <w:rsid w:val="10E548CC"/>
    <w:rsid w:val="10EC5C5A"/>
    <w:rsid w:val="10EC7A09"/>
    <w:rsid w:val="10ED3781"/>
    <w:rsid w:val="10EE19D3"/>
    <w:rsid w:val="10EE20E4"/>
    <w:rsid w:val="10EF12A7"/>
    <w:rsid w:val="10F041A7"/>
    <w:rsid w:val="10F10820"/>
    <w:rsid w:val="10F13271"/>
    <w:rsid w:val="10F44B0F"/>
    <w:rsid w:val="10F468BD"/>
    <w:rsid w:val="10F6045C"/>
    <w:rsid w:val="10F90377"/>
    <w:rsid w:val="10FB5E9E"/>
    <w:rsid w:val="10FD1C16"/>
    <w:rsid w:val="11005262"/>
    <w:rsid w:val="110411F6"/>
    <w:rsid w:val="110416CA"/>
    <w:rsid w:val="11056D1C"/>
    <w:rsid w:val="11064318"/>
    <w:rsid w:val="11074842"/>
    <w:rsid w:val="110765F0"/>
    <w:rsid w:val="110C00AB"/>
    <w:rsid w:val="110E2EC5"/>
    <w:rsid w:val="110F36F7"/>
    <w:rsid w:val="110F3E45"/>
    <w:rsid w:val="11105EB6"/>
    <w:rsid w:val="111652FA"/>
    <w:rsid w:val="11167A42"/>
    <w:rsid w:val="111B6540"/>
    <w:rsid w:val="111C0613"/>
    <w:rsid w:val="111C2F7A"/>
    <w:rsid w:val="111C4D39"/>
    <w:rsid w:val="111D5E14"/>
    <w:rsid w:val="111D7BC2"/>
    <w:rsid w:val="112631E6"/>
    <w:rsid w:val="112A0531"/>
    <w:rsid w:val="112A581B"/>
    <w:rsid w:val="112C24FB"/>
    <w:rsid w:val="112F3D99"/>
    <w:rsid w:val="113373E5"/>
    <w:rsid w:val="11352DB2"/>
    <w:rsid w:val="11357601"/>
    <w:rsid w:val="11360C84"/>
    <w:rsid w:val="11363E73"/>
    <w:rsid w:val="113D0264"/>
    <w:rsid w:val="113D2012"/>
    <w:rsid w:val="113D6C89"/>
    <w:rsid w:val="11427629"/>
    <w:rsid w:val="11467480"/>
    <w:rsid w:val="11472E91"/>
    <w:rsid w:val="1148533B"/>
    <w:rsid w:val="114870EE"/>
    <w:rsid w:val="114A2981"/>
    <w:rsid w:val="114C04A7"/>
    <w:rsid w:val="114E2471"/>
    <w:rsid w:val="11513D10"/>
    <w:rsid w:val="11515ABE"/>
    <w:rsid w:val="11531836"/>
    <w:rsid w:val="115630D4"/>
    <w:rsid w:val="115866C6"/>
    <w:rsid w:val="11590946"/>
    <w:rsid w:val="11592BC4"/>
    <w:rsid w:val="115B2DE0"/>
    <w:rsid w:val="115E01DA"/>
    <w:rsid w:val="11604BF4"/>
    <w:rsid w:val="11625910"/>
    <w:rsid w:val="1165716B"/>
    <w:rsid w:val="11665CA1"/>
    <w:rsid w:val="11673386"/>
    <w:rsid w:val="11691059"/>
    <w:rsid w:val="116C0B49"/>
    <w:rsid w:val="116F23E8"/>
    <w:rsid w:val="117143B2"/>
    <w:rsid w:val="117268E9"/>
    <w:rsid w:val="117322E5"/>
    <w:rsid w:val="11734720"/>
    <w:rsid w:val="117449B9"/>
    <w:rsid w:val="117479FE"/>
    <w:rsid w:val="11752DC3"/>
    <w:rsid w:val="117619C8"/>
    <w:rsid w:val="1178129C"/>
    <w:rsid w:val="11790D5B"/>
    <w:rsid w:val="117B2B3A"/>
    <w:rsid w:val="117E771C"/>
    <w:rsid w:val="118063A3"/>
    <w:rsid w:val="11812847"/>
    <w:rsid w:val="118149A5"/>
    <w:rsid w:val="118428AE"/>
    <w:rsid w:val="118539B9"/>
    <w:rsid w:val="11867E5D"/>
    <w:rsid w:val="11875983"/>
    <w:rsid w:val="1188122F"/>
    <w:rsid w:val="118916FB"/>
    <w:rsid w:val="118926BF"/>
    <w:rsid w:val="118934A9"/>
    <w:rsid w:val="118C23E6"/>
    <w:rsid w:val="118E0AC0"/>
    <w:rsid w:val="118E286E"/>
    <w:rsid w:val="118E6D12"/>
    <w:rsid w:val="11902A8A"/>
    <w:rsid w:val="11963E18"/>
    <w:rsid w:val="11991213"/>
    <w:rsid w:val="119B4F8B"/>
    <w:rsid w:val="11A007F3"/>
    <w:rsid w:val="11A00C84"/>
    <w:rsid w:val="11A025A1"/>
    <w:rsid w:val="11A7392F"/>
    <w:rsid w:val="11AB1672"/>
    <w:rsid w:val="11AC2B40"/>
    <w:rsid w:val="11AC53EA"/>
    <w:rsid w:val="11AC70FD"/>
    <w:rsid w:val="11AE1162"/>
    <w:rsid w:val="11AF7E92"/>
    <w:rsid w:val="11B12A00"/>
    <w:rsid w:val="11B206CF"/>
    <w:rsid w:val="11B322D4"/>
    <w:rsid w:val="11B76268"/>
    <w:rsid w:val="11B85B3D"/>
    <w:rsid w:val="11BB6C8F"/>
    <w:rsid w:val="11C049F1"/>
    <w:rsid w:val="11C10E95"/>
    <w:rsid w:val="11C113C0"/>
    <w:rsid w:val="11C12C43"/>
    <w:rsid w:val="11C269BB"/>
    <w:rsid w:val="11C52008"/>
    <w:rsid w:val="11C55720"/>
    <w:rsid w:val="11C6012A"/>
    <w:rsid w:val="11C72224"/>
    <w:rsid w:val="11C73FD2"/>
    <w:rsid w:val="11C77E03"/>
    <w:rsid w:val="11C93CEA"/>
    <w:rsid w:val="11CB3AC2"/>
    <w:rsid w:val="11CC15E8"/>
    <w:rsid w:val="11D418A4"/>
    <w:rsid w:val="11D54941"/>
    <w:rsid w:val="11D566EF"/>
    <w:rsid w:val="11D64215"/>
    <w:rsid w:val="11D87F8D"/>
    <w:rsid w:val="11DA1F57"/>
    <w:rsid w:val="11DC7A7D"/>
    <w:rsid w:val="11DD55A3"/>
    <w:rsid w:val="11DF131B"/>
    <w:rsid w:val="11E147BE"/>
    <w:rsid w:val="11E22BBA"/>
    <w:rsid w:val="11E44B84"/>
    <w:rsid w:val="11E9219A"/>
    <w:rsid w:val="11E92A72"/>
    <w:rsid w:val="11EB4164"/>
    <w:rsid w:val="11EB7CC0"/>
    <w:rsid w:val="11EC3A38"/>
    <w:rsid w:val="11EC57E6"/>
    <w:rsid w:val="11ED1C8A"/>
    <w:rsid w:val="11ED440A"/>
    <w:rsid w:val="11ED527F"/>
    <w:rsid w:val="11F052D6"/>
    <w:rsid w:val="11F07FC5"/>
    <w:rsid w:val="11F254F3"/>
    <w:rsid w:val="11F46B9E"/>
    <w:rsid w:val="11F528ED"/>
    <w:rsid w:val="11F72B09"/>
    <w:rsid w:val="11F748B7"/>
    <w:rsid w:val="11F823DD"/>
    <w:rsid w:val="11F95C91"/>
    <w:rsid w:val="11FD1613"/>
    <w:rsid w:val="11FD79F3"/>
    <w:rsid w:val="11FE2376"/>
    <w:rsid w:val="11FF376C"/>
    <w:rsid w:val="12045226"/>
    <w:rsid w:val="12046FD4"/>
    <w:rsid w:val="120570B6"/>
    <w:rsid w:val="12062D4C"/>
    <w:rsid w:val="12096398"/>
    <w:rsid w:val="120B2110"/>
    <w:rsid w:val="120D71EE"/>
    <w:rsid w:val="12103BCB"/>
    <w:rsid w:val="12105979"/>
    <w:rsid w:val="12107727"/>
    <w:rsid w:val="12194ADA"/>
    <w:rsid w:val="12241424"/>
    <w:rsid w:val="122431D2"/>
    <w:rsid w:val="122570FC"/>
    <w:rsid w:val="12274A70"/>
    <w:rsid w:val="12280F14"/>
    <w:rsid w:val="122819FE"/>
    <w:rsid w:val="12282CC2"/>
    <w:rsid w:val="12295A5F"/>
    <w:rsid w:val="122C579C"/>
    <w:rsid w:val="122D46DF"/>
    <w:rsid w:val="12303925"/>
    <w:rsid w:val="12307DC9"/>
    <w:rsid w:val="1232769D"/>
    <w:rsid w:val="12335A41"/>
    <w:rsid w:val="12354546"/>
    <w:rsid w:val="123548E0"/>
    <w:rsid w:val="123553DF"/>
    <w:rsid w:val="1235718D"/>
    <w:rsid w:val="1236351E"/>
    <w:rsid w:val="12371157"/>
    <w:rsid w:val="12394ECF"/>
    <w:rsid w:val="123A0C48"/>
    <w:rsid w:val="123A29F6"/>
    <w:rsid w:val="123F2791"/>
    <w:rsid w:val="123F4892"/>
    <w:rsid w:val="123F5739"/>
    <w:rsid w:val="124079C1"/>
    <w:rsid w:val="12412A48"/>
    <w:rsid w:val="124318AA"/>
    <w:rsid w:val="12443874"/>
    <w:rsid w:val="124473D0"/>
    <w:rsid w:val="12452BFF"/>
    <w:rsid w:val="12480440"/>
    <w:rsid w:val="12483364"/>
    <w:rsid w:val="124B075F"/>
    <w:rsid w:val="124C253A"/>
    <w:rsid w:val="124E024F"/>
    <w:rsid w:val="12555A81"/>
    <w:rsid w:val="12575356"/>
    <w:rsid w:val="1258312B"/>
    <w:rsid w:val="12593CB6"/>
    <w:rsid w:val="125C296C"/>
    <w:rsid w:val="125D0492"/>
    <w:rsid w:val="125E4936"/>
    <w:rsid w:val="125E66E4"/>
    <w:rsid w:val="125F245C"/>
    <w:rsid w:val="12633CFA"/>
    <w:rsid w:val="12665599"/>
    <w:rsid w:val="126B0E01"/>
    <w:rsid w:val="126D1873"/>
    <w:rsid w:val="126D2DCB"/>
    <w:rsid w:val="126D7855"/>
    <w:rsid w:val="1272218F"/>
    <w:rsid w:val="12727EA3"/>
    <w:rsid w:val="1273664A"/>
    <w:rsid w:val="12771554"/>
    <w:rsid w:val="127777A6"/>
    <w:rsid w:val="12787C40"/>
    <w:rsid w:val="1279351E"/>
    <w:rsid w:val="127952CC"/>
    <w:rsid w:val="127B4807"/>
    <w:rsid w:val="127F48AC"/>
    <w:rsid w:val="12810624"/>
    <w:rsid w:val="12816714"/>
    <w:rsid w:val="12823E5D"/>
    <w:rsid w:val="12843C71"/>
    <w:rsid w:val="12887C05"/>
    <w:rsid w:val="128C79CD"/>
    <w:rsid w:val="128D0D77"/>
    <w:rsid w:val="128D3C2B"/>
    <w:rsid w:val="128F5786"/>
    <w:rsid w:val="12900868"/>
    <w:rsid w:val="12901CE9"/>
    <w:rsid w:val="12903E7E"/>
    <w:rsid w:val="1292638E"/>
    <w:rsid w:val="129465AA"/>
    <w:rsid w:val="12955EAD"/>
    <w:rsid w:val="12957C2C"/>
    <w:rsid w:val="12963E2A"/>
    <w:rsid w:val="12971BF6"/>
    <w:rsid w:val="12977E48"/>
    <w:rsid w:val="12982D25"/>
    <w:rsid w:val="1299596E"/>
    <w:rsid w:val="1299771C"/>
    <w:rsid w:val="129A4C28"/>
    <w:rsid w:val="129C0FBA"/>
    <w:rsid w:val="129C545E"/>
    <w:rsid w:val="129E2F84"/>
    <w:rsid w:val="129E4D32"/>
    <w:rsid w:val="12A06F5B"/>
    <w:rsid w:val="12A10CC7"/>
    <w:rsid w:val="12A12A75"/>
    <w:rsid w:val="12A367ED"/>
    <w:rsid w:val="12A64675"/>
    <w:rsid w:val="12A7303C"/>
    <w:rsid w:val="12A762DD"/>
    <w:rsid w:val="12A83E03"/>
    <w:rsid w:val="12AA7B7B"/>
    <w:rsid w:val="12AB608E"/>
    <w:rsid w:val="12AD1419"/>
    <w:rsid w:val="12AE727B"/>
    <w:rsid w:val="12B00653"/>
    <w:rsid w:val="12B27FA6"/>
    <w:rsid w:val="12B409FA"/>
    <w:rsid w:val="12B46304"/>
    <w:rsid w:val="12B46C9C"/>
    <w:rsid w:val="12B54C5C"/>
    <w:rsid w:val="12B75DF4"/>
    <w:rsid w:val="12B96010"/>
    <w:rsid w:val="12B969E9"/>
    <w:rsid w:val="12BA7692"/>
    <w:rsid w:val="12BB471B"/>
    <w:rsid w:val="12BB58E4"/>
    <w:rsid w:val="12BC1286"/>
    <w:rsid w:val="12BD1E50"/>
    <w:rsid w:val="12C0114D"/>
    <w:rsid w:val="12C02EFB"/>
    <w:rsid w:val="12C06A53"/>
    <w:rsid w:val="12C26CEB"/>
    <w:rsid w:val="12C30C3D"/>
    <w:rsid w:val="12C549B5"/>
    <w:rsid w:val="12C84103"/>
    <w:rsid w:val="12CB18A0"/>
    <w:rsid w:val="12CD5618"/>
    <w:rsid w:val="12CD73C6"/>
    <w:rsid w:val="12CD73E7"/>
    <w:rsid w:val="12CF23DB"/>
    <w:rsid w:val="12D04177"/>
    <w:rsid w:val="12D13857"/>
    <w:rsid w:val="12D22C2E"/>
    <w:rsid w:val="12D270D2"/>
    <w:rsid w:val="12D44A81"/>
    <w:rsid w:val="12D54E95"/>
    <w:rsid w:val="12D6271E"/>
    <w:rsid w:val="12D9220E"/>
    <w:rsid w:val="12DC3AAD"/>
    <w:rsid w:val="12E16442"/>
    <w:rsid w:val="12E229DB"/>
    <w:rsid w:val="12E265ED"/>
    <w:rsid w:val="12E36BE9"/>
    <w:rsid w:val="12E62366"/>
    <w:rsid w:val="12E87ED2"/>
    <w:rsid w:val="12EA441C"/>
    <w:rsid w:val="12EA7F78"/>
    <w:rsid w:val="12EB6C76"/>
    <w:rsid w:val="12EC1F42"/>
    <w:rsid w:val="12EC275E"/>
    <w:rsid w:val="12EC7EAE"/>
    <w:rsid w:val="12EF37E0"/>
    <w:rsid w:val="12F14D48"/>
    <w:rsid w:val="12F15453"/>
    <w:rsid w:val="12F64B6E"/>
    <w:rsid w:val="12F708E7"/>
    <w:rsid w:val="1300779B"/>
    <w:rsid w:val="13023513"/>
    <w:rsid w:val="130354DD"/>
    <w:rsid w:val="13053004"/>
    <w:rsid w:val="130645D2"/>
    <w:rsid w:val="13070B2A"/>
    <w:rsid w:val="13082AF4"/>
    <w:rsid w:val="13092230"/>
    <w:rsid w:val="130A061A"/>
    <w:rsid w:val="130B7EEE"/>
    <w:rsid w:val="130C4392"/>
    <w:rsid w:val="130C6140"/>
    <w:rsid w:val="130D3C66"/>
    <w:rsid w:val="130E7BEF"/>
    <w:rsid w:val="130F3E82"/>
    <w:rsid w:val="130F79DE"/>
    <w:rsid w:val="13135720"/>
    <w:rsid w:val="13141499"/>
    <w:rsid w:val="13154CD6"/>
    <w:rsid w:val="13160D6D"/>
    <w:rsid w:val="13166FBF"/>
    <w:rsid w:val="131B21EC"/>
    <w:rsid w:val="131B2827"/>
    <w:rsid w:val="131B2BF0"/>
    <w:rsid w:val="131C1019"/>
    <w:rsid w:val="131E5E73"/>
    <w:rsid w:val="13203999"/>
    <w:rsid w:val="1321035B"/>
    <w:rsid w:val="13225964"/>
    <w:rsid w:val="13237B9B"/>
    <w:rsid w:val="13255454"/>
    <w:rsid w:val="13274D28"/>
    <w:rsid w:val="13280AA0"/>
    <w:rsid w:val="13294F44"/>
    <w:rsid w:val="132C233E"/>
    <w:rsid w:val="132C45D2"/>
    <w:rsid w:val="132E1986"/>
    <w:rsid w:val="1331686B"/>
    <w:rsid w:val="13370CE3"/>
    <w:rsid w:val="13373B6D"/>
    <w:rsid w:val="13374C97"/>
    <w:rsid w:val="13394A5B"/>
    <w:rsid w:val="133A1F99"/>
    <w:rsid w:val="133B6A25"/>
    <w:rsid w:val="133E02C4"/>
    <w:rsid w:val="133E6515"/>
    <w:rsid w:val="1340403C"/>
    <w:rsid w:val="13407244"/>
    <w:rsid w:val="13426006"/>
    <w:rsid w:val="134267DE"/>
    <w:rsid w:val="13433B2C"/>
    <w:rsid w:val="13435464"/>
    <w:rsid w:val="134358DA"/>
    <w:rsid w:val="13474DA3"/>
    <w:rsid w:val="134753CA"/>
    <w:rsid w:val="13493ED5"/>
    <w:rsid w:val="134C0C32"/>
    <w:rsid w:val="134C0CD5"/>
    <w:rsid w:val="134C51F9"/>
    <w:rsid w:val="134D74D4"/>
    <w:rsid w:val="134E6759"/>
    <w:rsid w:val="13511DA5"/>
    <w:rsid w:val="1351449B"/>
    <w:rsid w:val="13516249"/>
    <w:rsid w:val="13517FF7"/>
    <w:rsid w:val="13533D6F"/>
    <w:rsid w:val="13545D39"/>
    <w:rsid w:val="135553AB"/>
    <w:rsid w:val="1355733F"/>
    <w:rsid w:val="13560E11"/>
    <w:rsid w:val="13561AB1"/>
    <w:rsid w:val="13591B84"/>
    <w:rsid w:val="13597AE6"/>
    <w:rsid w:val="135A334F"/>
    <w:rsid w:val="135F0966"/>
    <w:rsid w:val="135F0995"/>
    <w:rsid w:val="1360023A"/>
    <w:rsid w:val="136046DE"/>
    <w:rsid w:val="136220DA"/>
    <w:rsid w:val="13622204"/>
    <w:rsid w:val="13631AD8"/>
    <w:rsid w:val="13645F7C"/>
    <w:rsid w:val="1365575B"/>
    <w:rsid w:val="13655850"/>
    <w:rsid w:val="13693592"/>
    <w:rsid w:val="136C64DB"/>
    <w:rsid w:val="136E6DFB"/>
    <w:rsid w:val="136F4921"/>
    <w:rsid w:val="136F66CF"/>
    <w:rsid w:val="13710699"/>
    <w:rsid w:val="13743CE5"/>
    <w:rsid w:val="1376180B"/>
    <w:rsid w:val="13764579"/>
    <w:rsid w:val="13767449"/>
    <w:rsid w:val="137A1AD5"/>
    <w:rsid w:val="137B1518"/>
    <w:rsid w:val="137B32C6"/>
    <w:rsid w:val="137F4B64"/>
    <w:rsid w:val="1380268A"/>
    <w:rsid w:val="13817273"/>
    <w:rsid w:val="138228A6"/>
    <w:rsid w:val="13824654"/>
    <w:rsid w:val="13873A19"/>
    <w:rsid w:val="13874CA5"/>
    <w:rsid w:val="13893C35"/>
    <w:rsid w:val="13897791"/>
    <w:rsid w:val="138B667E"/>
    <w:rsid w:val="138F0BDD"/>
    <w:rsid w:val="13914897"/>
    <w:rsid w:val="1393060F"/>
    <w:rsid w:val="139323BD"/>
    <w:rsid w:val="13951726"/>
    <w:rsid w:val="13960100"/>
    <w:rsid w:val="13962E6C"/>
    <w:rsid w:val="139A199E"/>
    <w:rsid w:val="139A3681"/>
    <w:rsid w:val="139B3268"/>
    <w:rsid w:val="139B4034"/>
    <w:rsid w:val="139B5716"/>
    <w:rsid w:val="139C4300"/>
    <w:rsid w:val="139D362F"/>
    <w:rsid w:val="139F2EE6"/>
    <w:rsid w:val="13A04ADA"/>
    <w:rsid w:val="13A22FE2"/>
    <w:rsid w:val="13A24CF6"/>
    <w:rsid w:val="13A7230D"/>
    <w:rsid w:val="13AA7707"/>
    <w:rsid w:val="13AC16D1"/>
    <w:rsid w:val="13AC347F"/>
    <w:rsid w:val="13AC7923"/>
    <w:rsid w:val="13AE369B"/>
    <w:rsid w:val="13AE71F7"/>
    <w:rsid w:val="13B011C1"/>
    <w:rsid w:val="13B17EAB"/>
    <w:rsid w:val="13B660AC"/>
    <w:rsid w:val="13B72BE8"/>
    <w:rsid w:val="13B80076"/>
    <w:rsid w:val="13B8131D"/>
    <w:rsid w:val="13B84CF0"/>
    <w:rsid w:val="13BB7B66"/>
    <w:rsid w:val="13BC549A"/>
    <w:rsid w:val="13BD568C"/>
    <w:rsid w:val="13BE527A"/>
    <w:rsid w:val="13C0517C"/>
    <w:rsid w:val="13C06F2A"/>
    <w:rsid w:val="13C26A2F"/>
    <w:rsid w:val="13C62793"/>
    <w:rsid w:val="13C7099B"/>
    <w:rsid w:val="13C92283"/>
    <w:rsid w:val="13CA1B57"/>
    <w:rsid w:val="13CC0EEF"/>
    <w:rsid w:val="13CC58CF"/>
    <w:rsid w:val="13CE33F5"/>
    <w:rsid w:val="13D03611"/>
    <w:rsid w:val="13D529D6"/>
    <w:rsid w:val="13D53E71"/>
    <w:rsid w:val="13D71675"/>
    <w:rsid w:val="13D80718"/>
    <w:rsid w:val="13D84274"/>
    <w:rsid w:val="13DA53B9"/>
    <w:rsid w:val="13DA623E"/>
    <w:rsid w:val="13DF3855"/>
    <w:rsid w:val="13E02494"/>
    <w:rsid w:val="13E1581F"/>
    <w:rsid w:val="13E57974"/>
    <w:rsid w:val="13EB21F9"/>
    <w:rsid w:val="13EB3FA7"/>
    <w:rsid w:val="13EB4EEE"/>
    <w:rsid w:val="13EC5F71"/>
    <w:rsid w:val="13ED6813"/>
    <w:rsid w:val="13EE5846"/>
    <w:rsid w:val="13EF3D04"/>
    <w:rsid w:val="13F13588"/>
    <w:rsid w:val="13F16624"/>
    <w:rsid w:val="13F217DA"/>
    <w:rsid w:val="13F35552"/>
    <w:rsid w:val="13F42133"/>
    <w:rsid w:val="13F6294C"/>
    <w:rsid w:val="13F82B68"/>
    <w:rsid w:val="13F84D62"/>
    <w:rsid w:val="13FA068E"/>
    <w:rsid w:val="13FF3EF7"/>
    <w:rsid w:val="13FF5CA5"/>
    <w:rsid w:val="14025795"/>
    <w:rsid w:val="14027543"/>
    <w:rsid w:val="14040766"/>
    <w:rsid w:val="14094576"/>
    <w:rsid w:val="14096B23"/>
    <w:rsid w:val="141271DB"/>
    <w:rsid w:val="141334FE"/>
    <w:rsid w:val="14173BB3"/>
    <w:rsid w:val="14180B15"/>
    <w:rsid w:val="14184FB8"/>
    <w:rsid w:val="14191802"/>
    <w:rsid w:val="141A630B"/>
    <w:rsid w:val="141C0605"/>
    <w:rsid w:val="141C7309"/>
    <w:rsid w:val="14267AA1"/>
    <w:rsid w:val="14292D22"/>
    <w:rsid w:val="14294AD0"/>
    <w:rsid w:val="142C636E"/>
    <w:rsid w:val="142F7A55"/>
    <w:rsid w:val="1437543F"/>
    <w:rsid w:val="14396509"/>
    <w:rsid w:val="143A4F2F"/>
    <w:rsid w:val="143E01FE"/>
    <w:rsid w:val="143E4A1F"/>
    <w:rsid w:val="143F2545"/>
    <w:rsid w:val="143F5D81"/>
    <w:rsid w:val="1440167D"/>
    <w:rsid w:val="1440384D"/>
    <w:rsid w:val="144162BD"/>
    <w:rsid w:val="14432035"/>
    <w:rsid w:val="14465682"/>
    <w:rsid w:val="1446761A"/>
    <w:rsid w:val="1448121D"/>
    <w:rsid w:val="144813FA"/>
    <w:rsid w:val="1448764C"/>
    <w:rsid w:val="144A2354"/>
    <w:rsid w:val="144B0EEA"/>
    <w:rsid w:val="144E09DA"/>
    <w:rsid w:val="144E5DA2"/>
    <w:rsid w:val="14550461"/>
    <w:rsid w:val="14553B17"/>
    <w:rsid w:val="145A112D"/>
    <w:rsid w:val="145A4795"/>
    <w:rsid w:val="145C7116"/>
    <w:rsid w:val="146124BC"/>
    <w:rsid w:val="14636234"/>
    <w:rsid w:val="14643D5A"/>
    <w:rsid w:val="14667AD2"/>
    <w:rsid w:val="146855F8"/>
    <w:rsid w:val="14695FF9"/>
    <w:rsid w:val="14696208"/>
    <w:rsid w:val="146B158C"/>
    <w:rsid w:val="146B2CC3"/>
    <w:rsid w:val="146B333A"/>
    <w:rsid w:val="146D2C0E"/>
    <w:rsid w:val="14700951"/>
    <w:rsid w:val="147026FF"/>
    <w:rsid w:val="147246C9"/>
    <w:rsid w:val="14725A45"/>
    <w:rsid w:val="14733869"/>
    <w:rsid w:val="14733F9D"/>
    <w:rsid w:val="147460DF"/>
    <w:rsid w:val="14751D21"/>
    <w:rsid w:val="14767897"/>
    <w:rsid w:val="147A17CF"/>
    <w:rsid w:val="147C10A3"/>
    <w:rsid w:val="147F0B94"/>
    <w:rsid w:val="147F2942"/>
    <w:rsid w:val="148252C2"/>
    <w:rsid w:val="148461AA"/>
    <w:rsid w:val="14850C45"/>
    <w:rsid w:val="14866E4C"/>
    <w:rsid w:val="14871085"/>
    <w:rsid w:val="14885C9A"/>
    <w:rsid w:val="14891A12"/>
    <w:rsid w:val="148B2E95"/>
    <w:rsid w:val="148B7DE7"/>
    <w:rsid w:val="148F7029"/>
    <w:rsid w:val="149202B1"/>
    <w:rsid w:val="149208C7"/>
    <w:rsid w:val="14922675"/>
    <w:rsid w:val="14983FE1"/>
    <w:rsid w:val="14997EA7"/>
    <w:rsid w:val="149A60BA"/>
    <w:rsid w:val="149C1746"/>
    <w:rsid w:val="149C34F4"/>
    <w:rsid w:val="14A01236"/>
    <w:rsid w:val="14A038F0"/>
    <w:rsid w:val="14A10B0A"/>
    <w:rsid w:val="14A14FAE"/>
    <w:rsid w:val="14A16D5C"/>
    <w:rsid w:val="14A32AD4"/>
    <w:rsid w:val="14A66120"/>
    <w:rsid w:val="14A81E98"/>
    <w:rsid w:val="14AB50B9"/>
    <w:rsid w:val="14AB7BDB"/>
    <w:rsid w:val="14AD3953"/>
    <w:rsid w:val="14AE7913"/>
    <w:rsid w:val="14B051F1"/>
    <w:rsid w:val="14B4218C"/>
    <w:rsid w:val="14B44CE1"/>
    <w:rsid w:val="14B46A8F"/>
    <w:rsid w:val="14B52807"/>
    <w:rsid w:val="14B545B5"/>
    <w:rsid w:val="14B60A59"/>
    <w:rsid w:val="14B7032D"/>
    <w:rsid w:val="14B73B0A"/>
    <w:rsid w:val="14B922F8"/>
    <w:rsid w:val="14B9773F"/>
    <w:rsid w:val="14BB6C5F"/>
    <w:rsid w:val="14BC5944"/>
    <w:rsid w:val="14BE16BC"/>
    <w:rsid w:val="14BE2495"/>
    <w:rsid w:val="14C111AC"/>
    <w:rsid w:val="14C50C9C"/>
    <w:rsid w:val="14C56B1C"/>
    <w:rsid w:val="14C64A14"/>
    <w:rsid w:val="14C825C2"/>
    <w:rsid w:val="14CB0DEC"/>
    <w:rsid w:val="14CB202B"/>
    <w:rsid w:val="14D013EF"/>
    <w:rsid w:val="14D0319D"/>
    <w:rsid w:val="14D233B9"/>
    <w:rsid w:val="14D26F15"/>
    <w:rsid w:val="14D507B4"/>
    <w:rsid w:val="14D53E04"/>
    <w:rsid w:val="14D56A06"/>
    <w:rsid w:val="14D628E4"/>
    <w:rsid w:val="14D7452C"/>
    <w:rsid w:val="14DB21CD"/>
    <w:rsid w:val="14DD2C3C"/>
    <w:rsid w:val="14DE58BA"/>
    <w:rsid w:val="14E07884"/>
    <w:rsid w:val="14E17354"/>
    <w:rsid w:val="14E35B6D"/>
    <w:rsid w:val="14E54E9B"/>
    <w:rsid w:val="14E62F5F"/>
    <w:rsid w:val="14E6501B"/>
    <w:rsid w:val="14E75735"/>
    <w:rsid w:val="14E97070"/>
    <w:rsid w:val="14EB30B4"/>
    <w:rsid w:val="14EC0B0E"/>
    <w:rsid w:val="14ED0282"/>
    <w:rsid w:val="14ED3905"/>
    <w:rsid w:val="14EF3F6B"/>
    <w:rsid w:val="14F275B8"/>
    <w:rsid w:val="14F4077D"/>
    <w:rsid w:val="14F47F34"/>
    <w:rsid w:val="14F53680"/>
    <w:rsid w:val="14F64BAD"/>
    <w:rsid w:val="14F670A8"/>
    <w:rsid w:val="14F75FA0"/>
    <w:rsid w:val="14FC4308"/>
    <w:rsid w:val="14FE41AE"/>
    <w:rsid w:val="14FE5E73"/>
    <w:rsid w:val="150115A9"/>
    <w:rsid w:val="15023C9F"/>
    <w:rsid w:val="150247F4"/>
    <w:rsid w:val="150317C5"/>
    <w:rsid w:val="15031D14"/>
    <w:rsid w:val="15064E11"/>
    <w:rsid w:val="15082937"/>
    <w:rsid w:val="150C0679"/>
    <w:rsid w:val="150D619F"/>
    <w:rsid w:val="150F61D6"/>
    <w:rsid w:val="150F7424"/>
    <w:rsid w:val="15100288"/>
    <w:rsid w:val="151314F7"/>
    <w:rsid w:val="151412DC"/>
    <w:rsid w:val="15146C09"/>
    <w:rsid w:val="15147689"/>
    <w:rsid w:val="151563D8"/>
    <w:rsid w:val="151614F8"/>
    <w:rsid w:val="151875B8"/>
    <w:rsid w:val="151969D5"/>
    <w:rsid w:val="151B3655"/>
    <w:rsid w:val="151B6E78"/>
    <w:rsid w:val="151C63E2"/>
    <w:rsid w:val="15267261"/>
    <w:rsid w:val="15284D87"/>
    <w:rsid w:val="152A0AFF"/>
    <w:rsid w:val="152B10F8"/>
    <w:rsid w:val="152C25ED"/>
    <w:rsid w:val="152D239E"/>
    <w:rsid w:val="152F25BA"/>
    <w:rsid w:val="152F6116"/>
    <w:rsid w:val="15310F71"/>
    <w:rsid w:val="15325BC7"/>
    <w:rsid w:val="1534372C"/>
    <w:rsid w:val="15347BD0"/>
    <w:rsid w:val="15354E5C"/>
    <w:rsid w:val="1537321C"/>
    <w:rsid w:val="15380B35"/>
    <w:rsid w:val="153876C0"/>
    <w:rsid w:val="153951E6"/>
    <w:rsid w:val="153B2D0D"/>
    <w:rsid w:val="153D4CD7"/>
    <w:rsid w:val="15406575"/>
    <w:rsid w:val="15422C69"/>
    <w:rsid w:val="1542409B"/>
    <w:rsid w:val="15426C00"/>
    <w:rsid w:val="154276D1"/>
    <w:rsid w:val="15437E13"/>
    <w:rsid w:val="15453B8B"/>
    <w:rsid w:val="15455939"/>
    <w:rsid w:val="1547434B"/>
    <w:rsid w:val="15475B55"/>
    <w:rsid w:val="154858E4"/>
    <w:rsid w:val="154A6918"/>
    <w:rsid w:val="154B4432"/>
    <w:rsid w:val="154B7172"/>
    <w:rsid w:val="154C4F1A"/>
    <w:rsid w:val="154D0C92"/>
    <w:rsid w:val="154D2CC1"/>
    <w:rsid w:val="154F0566"/>
    <w:rsid w:val="1551576F"/>
    <w:rsid w:val="1552003B"/>
    <w:rsid w:val="15520056"/>
    <w:rsid w:val="15543DCE"/>
    <w:rsid w:val="15545B7C"/>
    <w:rsid w:val="15555FBD"/>
    <w:rsid w:val="15567B46"/>
    <w:rsid w:val="15581B10"/>
    <w:rsid w:val="15593193"/>
    <w:rsid w:val="155B515D"/>
    <w:rsid w:val="155C2C83"/>
    <w:rsid w:val="155D0ED5"/>
    <w:rsid w:val="155E2E9F"/>
    <w:rsid w:val="155E69FB"/>
    <w:rsid w:val="15604521"/>
    <w:rsid w:val="15655FDB"/>
    <w:rsid w:val="15671D54"/>
    <w:rsid w:val="15673B02"/>
    <w:rsid w:val="1568785B"/>
    <w:rsid w:val="156A35F2"/>
    <w:rsid w:val="156C6963"/>
    <w:rsid w:val="156E30E2"/>
    <w:rsid w:val="15761F97"/>
    <w:rsid w:val="1579432B"/>
    <w:rsid w:val="157A0966"/>
    <w:rsid w:val="157A1214"/>
    <w:rsid w:val="157D1577"/>
    <w:rsid w:val="157D4BDF"/>
    <w:rsid w:val="157F6D3F"/>
    <w:rsid w:val="15804BC3"/>
    <w:rsid w:val="158137F6"/>
    <w:rsid w:val="15814549"/>
    <w:rsid w:val="15815C8A"/>
    <w:rsid w:val="158226E9"/>
    <w:rsid w:val="15822B1B"/>
    <w:rsid w:val="15853F88"/>
    <w:rsid w:val="1585667E"/>
    <w:rsid w:val="15877D00"/>
    <w:rsid w:val="15882F8B"/>
    <w:rsid w:val="15883A78"/>
    <w:rsid w:val="158B374C"/>
    <w:rsid w:val="158C3568"/>
    <w:rsid w:val="158C5316"/>
    <w:rsid w:val="158F06F1"/>
    <w:rsid w:val="15906654"/>
    <w:rsid w:val="1594066F"/>
    <w:rsid w:val="15945E76"/>
    <w:rsid w:val="15962639"/>
    <w:rsid w:val="15997A33"/>
    <w:rsid w:val="159B19FD"/>
    <w:rsid w:val="159F14ED"/>
    <w:rsid w:val="15A1546F"/>
    <w:rsid w:val="15A20FDE"/>
    <w:rsid w:val="15A24B3A"/>
    <w:rsid w:val="15A85EC8"/>
    <w:rsid w:val="15AA1C40"/>
    <w:rsid w:val="15AA7E92"/>
    <w:rsid w:val="15AB60E4"/>
    <w:rsid w:val="15AD7598"/>
    <w:rsid w:val="15AE1730"/>
    <w:rsid w:val="15B17F40"/>
    <w:rsid w:val="15B35DDF"/>
    <w:rsid w:val="15B40B18"/>
    <w:rsid w:val="15B42ABF"/>
    <w:rsid w:val="15B43C7B"/>
    <w:rsid w:val="15B87384"/>
    <w:rsid w:val="15BA6839"/>
    <w:rsid w:val="15BD5E17"/>
    <w:rsid w:val="15BD7BC5"/>
    <w:rsid w:val="15C01464"/>
    <w:rsid w:val="15C4140A"/>
    <w:rsid w:val="15C704C0"/>
    <w:rsid w:val="15C745A0"/>
    <w:rsid w:val="15CA2F3A"/>
    <w:rsid w:val="15CA5987"/>
    <w:rsid w:val="15CA5E3E"/>
    <w:rsid w:val="15CE1DD3"/>
    <w:rsid w:val="15CE592F"/>
    <w:rsid w:val="15CF16A7"/>
    <w:rsid w:val="15D05B4B"/>
    <w:rsid w:val="15D31197"/>
    <w:rsid w:val="15D32F45"/>
    <w:rsid w:val="15D373E9"/>
    <w:rsid w:val="15D41338"/>
    <w:rsid w:val="15D469C1"/>
    <w:rsid w:val="15D60C87"/>
    <w:rsid w:val="15D74314"/>
    <w:rsid w:val="15D8055B"/>
    <w:rsid w:val="15D867AD"/>
    <w:rsid w:val="15DD2016"/>
    <w:rsid w:val="15DD5B72"/>
    <w:rsid w:val="15DE704A"/>
    <w:rsid w:val="15E038B4"/>
    <w:rsid w:val="15E05154"/>
    <w:rsid w:val="15E05662"/>
    <w:rsid w:val="15E10FC5"/>
    <w:rsid w:val="15E2478E"/>
    <w:rsid w:val="15E433A4"/>
    <w:rsid w:val="15E44D75"/>
    <w:rsid w:val="15E46F00"/>
    <w:rsid w:val="15E72E94"/>
    <w:rsid w:val="15E909BB"/>
    <w:rsid w:val="15E92769"/>
    <w:rsid w:val="15EC70C9"/>
    <w:rsid w:val="15EF3AF7"/>
    <w:rsid w:val="15F1161D"/>
    <w:rsid w:val="15F5735F"/>
    <w:rsid w:val="15F829AC"/>
    <w:rsid w:val="15F85C4F"/>
    <w:rsid w:val="15F86E50"/>
    <w:rsid w:val="15FE15DA"/>
    <w:rsid w:val="15FE431F"/>
    <w:rsid w:val="15FE4439"/>
    <w:rsid w:val="15FF1F8C"/>
    <w:rsid w:val="16013B2A"/>
    <w:rsid w:val="16021A7C"/>
    <w:rsid w:val="160534C6"/>
    <w:rsid w:val="1606156C"/>
    <w:rsid w:val="160752E5"/>
    <w:rsid w:val="16087E1D"/>
    <w:rsid w:val="16094EFD"/>
    <w:rsid w:val="16095600"/>
    <w:rsid w:val="16096967"/>
    <w:rsid w:val="160A26DF"/>
    <w:rsid w:val="160B38AC"/>
    <w:rsid w:val="160B6B83"/>
    <w:rsid w:val="160C28FB"/>
    <w:rsid w:val="160C46A9"/>
    <w:rsid w:val="160E0421"/>
    <w:rsid w:val="160E21CF"/>
    <w:rsid w:val="160E2672"/>
    <w:rsid w:val="16102902"/>
    <w:rsid w:val="16105F47"/>
    <w:rsid w:val="16111721"/>
    <w:rsid w:val="16135A37"/>
    <w:rsid w:val="1615355E"/>
    <w:rsid w:val="161768F2"/>
    <w:rsid w:val="161B48EC"/>
    <w:rsid w:val="161D2412"/>
    <w:rsid w:val="161E23C2"/>
    <w:rsid w:val="161F43DC"/>
    <w:rsid w:val="161F50E8"/>
    <w:rsid w:val="161F618A"/>
    <w:rsid w:val="16201F02"/>
    <w:rsid w:val="16210B07"/>
    <w:rsid w:val="162163A6"/>
    <w:rsid w:val="162166CB"/>
    <w:rsid w:val="162714E3"/>
    <w:rsid w:val="162C08A7"/>
    <w:rsid w:val="162D1782"/>
    <w:rsid w:val="162E2871"/>
    <w:rsid w:val="162F4575"/>
    <w:rsid w:val="16300397"/>
    <w:rsid w:val="163065E9"/>
    <w:rsid w:val="16315EBE"/>
    <w:rsid w:val="16322361"/>
    <w:rsid w:val="1632480C"/>
    <w:rsid w:val="16337E88"/>
    <w:rsid w:val="16377978"/>
    <w:rsid w:val="163A6CA3"/>
    <w:rsid w:val="163C4F8E"/>
    <w:rsid w:val="163D2AB4"/>
    <w:rsid w:val="163D492C"/>
    <w:rsid w:val="163F0551"/>
    <w:rsid w:val="16405F94"/>
    <w:rsid w:val="164107F7"/>
    <w:rsid w:val="164125A5"/>
    <w:rsid w:val="164200CB"/>
    <w:rsid w:val="16432B76"/>
    <w:rsid w:val="16442095"/>
    <w:rsid w:val="16481B85"/>
    <w:rsid w:val="164B3423"/>
    <w:rsid w:val="164E081E"/>
    <w:rsid w:val="164E68EB"/>
    <w:rsid w:val="164F6170"/>
    <w:rsid w:val="16500B87"/>
    <w:rsid w:val="16565AD0"/>
    <w:rsid w:val="16575097"/>
    <w:rsid w:val="16585293"/>
    <w:rsid w:val="165878EE"/>
    <w:rsid w:val="165A3666"/>
    <w:rsid w:val="165D2399"/>
    <w:rsid w:val="165F0C7D"/>
    <w:rsid w:val="165F4FA1"/>
    <w:rsid w:val="16610551"/>
    <w:rsid w:val="166149F5"/>
    <w:rsid w:val="166718DF"/>
    <w:rsid w:val="166B13D0"/>
    <w:rsid w:val="166B7621"/>
    <w:rsid w:val="166D15EC"/>
    <w:rsid w:val="166E0EC0"/>
    <w:rsid w:val="166E2C6E"/>
    <w:rsid w:val="16772F40"/>
    <w:rsid w:val="16775FC6"/>
    <w:rsid w:val="16781D3E"/>
    <w:rsid w:val="16787F24"/>
    <w:rsid w:val="167A1613"/>
    <w:rsid w:val="167C182F"/>
    <w:rsid w:val="167C538B"/>
    <w:rsid w:val="167F1732"/>
    <w:rsid w:val="168216F1"/>
    <w:rsid w:val="1683702C"/>
    <w:rsid w:val="16842491"/>
    <w:rsid w:val="16856BDE"/>
    <w:rsid w:val="168626AD"/>
    <w:rsid w:val="16895CFA"/>
    <w:rsid w:val="168C1346"/>
    <w:rsid w:val="168C5417"/>
    <w:rsid w:val="168E1562"/>
    <w:rsid w:val="168E281A"/>
    <w:rsid w:val="168E50BE"/>
    <w:rsid w:val="168F66FB"/>
    <w:rsid w:val="168F749C"/>
    <w:rsid w:val="16907088"/>
    <w:rsid w:val="16920619"/>
    <w:rsid w:val="16930926"/>
    <w:rsid w:val="16931F84"/>
    <w:rsid w:val="1695644C"/>
    <w:rsid w:val="16962D1F"/>
    <w:rsid w:val="16971184"/>
    <w:rsid w:val="169C4F0C"/>
    <w:rsid w:val="16A158F3"/>
    <w:rsid w:val="16A448E1"/>
    <w:rsid w:val="16A668AC"/>
    <w:rsid w:val="16A843D2"/>
    <w:rsid w:val="16A9014A"/>
    <w:rsid w:val="16A91EF8"/>
    <w:rsid w:val="16AB1E30"/>
    <w:rsid w:val="16AB3EC2"/>
    <w:rsid w:val="16B03286"/>
    <w:rsid w:val="16B32D77"/>
    <w:rsid w:val="16B40FC8"/>
    <w:rsid w:val="16B5089D"/>
    <w:rsid w:val="16B56110"/>
    <w:rsid w:val="16B8213B"/>
    <w:rsid w:val="16B84434"/>
    <w:rsid w:val="16BA2357"/>
    <w:rsid w:val="16BA4105"/>
    <w:rsid w:val="16BC1C2B"/>
    <w:rsid w:val="16BC7E7D"/>
    <w:rsid w:val="16BE3BF5"/>
    <w:rsid w:val="16BF276B"/>
    <w:rsid w:val="16BF796D"/>
    <w:rsid w:val="16C17241"/>
    <w:rsid w:val="16C31F8B"/>
    <w:rsid w:val="16C3745D"/>
    <w:rsid w:val="16C376FB"/>
    <w:rsid w:val="16C45649"/>
    <w:rsid w:val="16C45B72"/>
    <w:rsid w:val="16C46D32"/>
    <w:rsid w:val="16C623B5"/>
    <w:rsid w:val="16C84A74"/>
    <w:rsid w:val="16CA07EC"/>
    <w:rsid w:val="16CB6312"/>
    <w:rsid w:val="16CC6151"/>
    <w:rsid w:val="16D0021F"/>
    <w:rsid w:val="16D01B7A"/>
    <w:rsid w:val="16D0271B"/>
    <w:rsid w:val="16D36F75"/>
    <w:rsid w:val="16D451C7"/>
    <w:rsid w:val="16D63BEE"/>
    <w:rsid w:val="16D65CCA"/>
    <w:rsid w:val="16D76A65"/>
    <w:rsid w:val="16D810B9"/>
    <w:rsid w:val="16DA0303"/>
    <w:rsid w:val="16DA6555"/>
    <w:rsid w:val="16DB47A7"/>
    <w:rsid w:val="16DC22CD"/>
    <w:rsid w:val="16E11692"/>
    <w:rsid w:val="16E3365C"/>
    <w:rsid w:val="16E41182"/>
    <w:rsid w:val="16E41FC1"/>
    <w:rsid w:val="16E80C72"/>
    <w:rsid w:val="16E85E04"/>
    <w:rsid w:val="16ED6288"/>
    <w:rsid w:val="16F05D79"/>
    <w:rsid w:val="16F21AF1"/>
    <w:rsid w:val="16F413C5"/>
    <w:rsid w:val="16F47617"/>
    <w:rsid w:val="16F70EB5"/>
    <w:rsid w:val="16F75359"/>
    <w:rsid w:val="16F77107"/>
    <w:rsid w:val="16F77748"/>
    <w:rsid w:val="16F95213"/>
    <w:rsid w:val="16FB0173"/>
    <w:rsid w:val="16FB6BF7"/>
    <w:rsid w:val="16FC6705"/>
    <w:rsid w:val="16FE0496"/>
    <w:rsid w:val="170205C9"/>
    <w:rsid w:val="170535D2"/>
    <w:rsid w:val="17061251"/>
    <w:rsid w:val="1706559C"/>
    <w:rsid w:val="170659EE"/>
    <w:rsid w:val="170830C2"/>
    <w:rsid w:val="17084E70"/>
    <w:rsid w:val="170867EA"/>
    <w:rsid w:val="17097B54"/>
    <w:rsid w:val="170A0BE8"/>
    <w:rsid w:val="170D692B"/>
    <w:rsid w:val="17110FDD"/>
    <w:rsid w:val="17123F41"/>
    <w:rsid w:val="17127A9D"/>
    <w:rsid w:val="17162396"/>
    <w:rsid w:val="171750B3"/>
    <w:rsid w:val="17190E2C"/>
    <w:rsid w:val="171A4BA4"/>
    <w:rsid w:val="171B1048"/>
    <w:rsid w:val="1720040C"/>
    <w:rsid w:val="17215F32"/>
    <w:rsid w:val="17233A58"/>
    <w:rsid w:val="172420F4"/>
    <w:rsid w:val="1724458F"/>
    <w:rsid w:val="17253D51"/>
    <w:rsid w:val="172779EC"/>
    <w:rsid w:val="17283764"/>
    <w:rsid w:val="17285513"/>
    <w:rsid w:val="172872C1"/>
    <w:rsid w:val="172A4339"/>
    <w:rsid w:val="172C5003"/>
    <w:rsid w:val="172D0D7B"/>
    <w:rsid w:val="172D2B29"/>
    <w:rsid w:val="172E30D6"/>
    <w:rsid w:val="172F4AF3"/>
    <w:rsid w:val="17325BB6"/>
    <w:rsid w:val="17343EB7"/>
    <w:rsid w:val="17361E2A"/>
    <w:rsid w:val="17367C2F"/>
    <w:rsid w:val="17377504"/>
    <w:rsid w:val="17397720"/>
    <w:rsid w:val="173B2478"/>
    <w:rsid w:val="173B3498"/>
    <w:rsid w:val="173C0FBE"/>
    <w:rsid w:val="1740285C"/>
    <w:rsid w:val="17424826"/>
    <w:rsid w:val="1743234C"/>
    <w:rsid w:val="17451C21"/>
    <w:rsid w:val="17487963"/>
    <w:rsid w:val="174D31CB"/>
    <w:rsid w:val="174D6C7D"/>
    <w:rsid w:val="174E3098"/>
    <w:rsid w:val="174F2A9F"/>
    <w:rsid w:val="17517A1C"/>
    <w:rsid w:val="1752433D"/>
    <w:rsid w:val="17524D0D"/>
    <w:rsid w:val="17542220"/>
    <w:rsid w:val="17546308"/>
    <w:rsid w:val="175C6F6A"/>
    <w:rsid w:val="175E0F34"/>
    <w:rsid w:val="175F1991"/>
    <w:rsid w:val="17602EFE"/>
    <w:rsid w:val="17615F65"/>
    <w:rsid w:val="176302F9"/>
    <w:rsid w:val="17630885"/>
    <w:rsid w:val="1763479D"/>
    <w:rsid w:val="1763654B"/>
    <w:rsid w:val="17671DD7"/>
    <w:rsid w:val="17683B61"/>
    <w:rsid w:val="1768590F"/>
    <w:rsid w:val="176B1E16"/>
    <w:rsid w:val="176D1177"/>
    <w:rsid w:val="176E2889"/>
    <w:rsid w:val="176F3141"/>
    <w:rsid w:val="17701D14"/>
    <w:rsid w:val="17712A16"/>
    <w:rsid w:val="17732C32"/>
    <w:rsid w:val="17735226"/>
    <w:rsid w:val="17737851"/>
    <w:rsid w:val="1776002C"/>
    <w:rsid w:val="177762B2"/>
    <w:rsid w:val="177D585E"/>
    <w:rsid w:val="177F6CA8"/>
    <w:rsid w:val="1780534F"/>
    <w:rsid w:val="1781110D"/>
    <w:rsid w:val="178169D1"/>
    <w:rsid w:val="17822E75"/>
    <w:rsid w:val="17824EC3"/>
    <w:rsid w:val="17881110"/>
    <w:rsid w:val="17884203"/>
    <w:rsid w:val="17887D5F"/>
    <w:rsid w:val="178A3129"/>
    <w:rsid w:val="178D1819"/>
    <w:rsid w:val="178E7A6B"/>
    <w:rsid w:val="178F5592"/>
    <w:rsid w:val="17935082"/>
    <w:rsid w:val="17944956"/>
    <w:rsid w:val="179761F4"/>
    <w:rsid w:val="179901BE"/>
    <w:rsid w:val="17991F6C"/>
    <w:rsid w:val="179927D0"/>
    <w:rsid w:val="179B3F36"/>
    <w:rsid w:val="179B5CE4"/>
    <w:rsid w:val="179C380B"/>
    <w:rsid w:val="179D11A1"/>
    <w:rsid w:val="179D1A5D"/>
    <w:rsid w:val="179D3C92"/>
    <w:rsid w:val="179E0E84"/>
    <w:rsid w:val="179E7583"/>
    <w:rsid w:val="17A0154D"/>
    <w:rsid w:val="17A56B63"/>
    <w:rsid w:val="17A70B2D"/>
    <w:rsid w:val="17A728DB"/>
    <w:rsid w:val="17AC1CA0"/>
    <w:rsid w:val="17AC6144"/>
    <w:rsid w:val="17AC7EF2"/>
    <w:rsid w:val="17AF1790"/>
    <w:rsid w:val="17AF353E"/>
    <w:rsid w:val="17B22C3C"/>
    <w:rsid w:val="17B27358"/>
    <w:rsid w:val="17B31280"/>
    <w:rsid w:val="17B9616B"/>
    <w:rsid w:val="17B97F3E"/>
    <w:rsid w:val="17BB1EE3"/>
    <w:rsid w:val="17BD3EAD"/>
    <w:rsid w:val="17BF6981"/>
    <w:rsid w:val="17C009E4"/>
    <w:rsid w:val="17C0574B"/>
    <w:rsid w:val="17C23271"/>
    <w:rsid w:val="17C31746"/>
    <w:rsid w:val="17C411EA"/>
    <w:rsid w:val="17C4348D"/>
    <w:rsid w:val="17C57205"/>
    <w:rsid w:val="17C76AD9"/>
    <w:rsid w:val="17C84600"/>
    <w:rsid w:val="17C92852"/>
    <w:rsid w:val="17CA0378"/>
    <w:rsid w:val="17CA2DA9"/>
    <w:rsid w:val="17CA65CA"/>
    <w:rsid w:val="17CB5B5A"/>
    <w:rsid w:val="17CD748C"/>
    <w:rsid w:val="17CE7E68"/>
    <w:rsid w:val="17CF1E32"/>
    <w:rsid w:val="17D11706"/>
    <w:rsid w:val="17D15BAA"/>
    <w:rsid w:val="17D34A6A"/>
    <w:rsid w:val="17D411F6"/>
    <w:rsid w:val="17D42FA4"/>
    <w:rsid w:val="17D47448"/>
    <w:rsid w:val="17D816EC"/>
    <w:rsid w:val="17D97528"/>
    <w:rsid w:val="17DE27DD"/>
    <w:rsid w:val="17DF2EB8"/>
    <w:rsid w:val="17E06764"/>
    <w:rsid w:val="17E40602"/>
    <w:rsid w:val="17E458DD"/>
    <w:rsid w:val="17E51656"/>
    <w:rsid w:val="17E551B2"/>
    <w:rsid w:val="17E72CD8"/>
    <w:rsid w:val="17EE4066"/>
    <w:rsid w:val="17F057AF"/>
    <w:rsid w:val="17F109E4"/>
    <w:rsid w:val="17F453F5"/>
    <w:rsid w:val="17F51899"/>
    <w:rsid w:val="17F52D3A"/>
    <w:rsid w:val="17F6116D"/>
    <w:rsid w:val="17F83137"/>
    <w:rsid w:val="17F90C5D"/>
    <w:rsid w:val="17FA6EAF"/>
    <w:rsid w:val="17FD24FB"/>
    <w:rsid w:val="17FF44C5"/>
    <w:rsid w:val="18006FDD"/>
    <w:rsid w:val="18010D7B"/>
    <w:rsid w:val="18037057"/>
    <w:rsid w:val="18041ADC"/>
    <w:rsid w:val="1804378F"/>
    <w:rsid w:val="18057602"/>
    <w:rsid w:val="180A1D0F"/>
    <w:rsid w:val="180B77E6"/>
    <w:rsid w:val="180C273E"/>
    <w:rsid w:val="180E4708"/>
    <w:rsid w:val="18103FBF"/>
    <w:rsid w:val="18130B49"/>
    <w:rsid w:val="18133E44"/>
    <w:rsid w:val="18153CE9"/>
    <w:rsid w:val="18154FDF"/>
    <w:rsid w:val="1816180F"/>
    <w:rsid w:val="18187335"/>
    <w:rsid w:val="181A30AD"/>
    <w:rsid w:val="181B0BD3"/>
    <w:rsid w:val="181C076B"/>
    <w:rsid w:val="181D0DEF"/>
    <w:rsid w:val="181E50BB"/>
    <w:rsid w:val="181E739D"/>
    <w:rsid w:val="182061EA"/>
    <w:rsid w:val="18226406"/>
    <w:rsid w:val="1824217E"/>
    <w:rsid w:val="18243F2C"/>
    <w:rsid w:val="1825166D"/>
    <w:rsid w:val="18251A52"/>
    <w:rsid w:val="18253800"/>
    <w:rsid w:val="182932F0"/>
    <w:rsid w:val="18297794"/>
    <w:rsid w:val="182A0E16"/>
    <w:rsid w:val="182C2DE0"/>
    <w:rsid w:val="182E6B59"/>
    <w:rsid w:val="183028D1"/>
    <w:rsid w:val="18303A2F"/>
    <w:rsid w:val="18307D10"/>
    <w:rsid w:val="183407BC"/>
    <w:rsid w:val="183421C5"/>
    <w:rsid w:val="18351C95"/>
    <w:rsid w:val="1835515B"/>
    <w:rsid w:val="18356139"/>
    <w:rsid w:val="18357EE7"/>
    <w:rsid w:val="183939D4"/>
    <w:rsid w:val="1839612C"/>
    <w:rsid w:val="183A72AB"/>
    <w:rsid w:val="183B3024"/>
    <w:rsid w:val="183D6D9C"/>
    <w:rsid w:val="1840063A"/>
    <w:rsid w:val="18404018"/>
    <w:rsid w:val="18414ADE"/>
    <w:rsid w:val="184865DA"/>
    <w:rsid w:val="184A3267"/>
    <w:rsid w:val="184D1E1D"/>
    <w:rsid w:val="184E71FB"/>
    <w:rsid w:val="1852345F"/>
    <w:rsid w:val="18532821"/>
    <w:rsid w:val="18550589"/>
    <w:rsid w:val="18553484"/>
    <w:rsid w:val="18581E27"/>
    <w:rsid w:val="18583BD5"/>
    <w:rsid w:val="185A477D"/>
    <w:rsid w:val="18652FC2"/>
    <w:rsid w:val="186662F2"/>
    <w:rsid w:val="1869193F"/>
    <w:rsid w:val="186B0A1E"/>
    <w:rsid w:val="186C7681"/>
    <w:rsid w:val="186E33F9"/>
    <w:rsid w:val="18700F1F"/>
    <w:rsid w:val="18707171"/>
    <w:rsid w:val="187310DF"/>
    <w:rsid w:val="18736C61"/>
    <w:rsid w:val="18775C69"/>
    <w:rsid w:val="18784278"/>
    <w:rsid w:val="18786026"/>
    <w:rsid w:val="187C5B16"/>
    <w:rsid w:val="187D53EA"/>
    <w:rsid w:val="187F3B68"/>
    <w:rsid w:val="18803812"/>
    <w:rsid w:val="1881312C"/>
    <w:rsid w:val="18814EDA"/>
    <w:rsid w:val="18820C52"/>
    <w:rsid w:val="18826EA4"/>
    <w:rsid w:val="18834FE1"/>
    <w:rsid w:val="188350F6"/>
    <w:rsid w:val="188449CB"/>
    <w:rsid w:val="18884C1A"/>
    <w:rsid w:val="188B3FAB"/>
    <w:rsid w:val="188B57F6"/>
    <w:rsid w:val="188D1AD1"/>
    <w:rsid w:val="188E4CE1"/>
    <w:rsid w:val="188F7AEE"/>
    <w:rsid w:val="1890511D"/>
    <w:rsid w:val="18910E95"/>
    <w:rsid w:val="189310B2"/>
    <w:rsid w:val="18945291"/>
    <w:rsid w:val="18952734"/>
    <w:rsid w:val="18956BD8"/>
    <w:rsid w:val="189C111D"/>
    <w:rsid w:val="189C7F66"/>
    <w:rsid w:val="189D5A8C"/>
    <w:rsid w:val="189F624C"/>
    <w:rsid w:val="18A1557C"/>
    <w:rsid w:val="18A443F3"/>
    <w:rsid w:val="18A4506D"/>
    <w:rsid w:val="18A618E4"/>
    <w:rsid w:val="18A64941"/>
    <w:rsid w:val="18A94431"/>
    <w:rsid w:val="18AB1F57"/>
    <w:rsid w:val="18AB63FB"/>
    <w:rsid w:val="18AE1A47"/>
    <w:rsid w:val="18B03A11"/>
    <w:rsid w:val="18B52DD6"/>
    <w:rsid w:val="18B54B84"/>
    <w:rsid w:val="18B74E99"/>
    <w:rsid w:val="18B76B4E"/>
    <w:rsid w:val="18B828C6"/>
    <w:rsid w:val="18B83BC8"/>
    <w:rsid w:val="18BA03EC"/>
    <w:rsid w:val="18BA4890"/>
    <w:rsid w:val="18BB1D18"/>
    <w:rsid w:val="18BB267A"/>
    <w:rsid w:val="18BE1E07"/>
    <w:rsid w:val="18BE2E8B"/>
    <w:rsid w:val="18BF1EA7"/>
    <w:rsid w:val="18BF2659"/>
    <w:rsid w:val="18C27000"/>
    <w:rsid w:val="18C66D91"/>
    <w:rsid w:val="18CA0730"/>
    <w:rsid w:val="18CB43A7"/>
    <w:rsid w:val="18D10AB6"/>
    <w:rsid w:val="18D54962"/>
    <w:rsid w:val="18D62D0D"/>
    <w:rsid w:val="18D72D4C"/>
    <w:rsid w:val="18D92F68"/>
    <w:rsid w:val="18D94D16"/>
    <w:rsid w:val="18DB7295"/>
    <w:rsid w:val="18DC0363"/>
    <w:rsid w:val="18DE057F"/>
    <w:rsid w:val="18DE232D"/>
    <w:rsid w:val="18E11E1D"/>
    <w:rsid w:val="18E12F05"/>
    <w:rsid w:val="18E15979"/>
    <w:rsid w:val="18E303F6"/>
    <w:rsid w:val="18E45469"/>
    <w:rsid w:val="18E65685"/>
    <w:rsid w:val="18E86D07"/>
    <w:rsid w:val="18E92A80"/>
    <w:rsid w:val="18E92B27"/>
    <w:rsid w:val="18EB2C9C"/>
    <w:rsid w:val="18EB4A4A"/>
    <w:rsid w:val="18EC20B0"/>
    <w:rsid w:val="18EC5701"/>
    <w:rsid w:val="18EC77C2"/>
    <w:rsid w:val="18ED1278"/>
    <w:rsid w:val="18ED431E"/>
    <w:rsid w:val="18F338FE"/>
    <w:rsid w:val="18F733EE"/>
    <w:rsid w:val="18F840AD"/>
    <w:rsid w:val="18F90F15"/>
    <w:rsid w:val="18F953B8"/>
    <w:rsid w:val="18FA6A3B"/>
    <w:rsid w:val="18FB4F3C"/>
    <w:rsid w:val="18FB66E5"/>
    <w:rsid w:val="18FC0A05"/>
    <w:rsid w:val="18FE29CF"/>
    <w:rsid w:val="19000630"/>
    <w:rsid w:val="190134B3"/>
    <w:rsid w:val="19031D93"/>
    <w:rsid w:val="19032A8C"/>
    <w:rsid w:val="19037FE5"/>
    <w:rsid w:val="1906204F"/>
    <w:rsid w:val="190B0C48"/>
    <w:rsid w:val="190C5A0D"/>
    <w:rsid w:val="190F7578"/>
    <w:rsid w:val="1910625E"/>
    <w:rsid w:val="19121CDE"/>
    <w:rsid w:val="19153875"/>
    <w:rsid w:val="1917583F"/>
    <w:rsid w:val="191763A2"/>
    <w:rsid w:val="191915B7"/>
    <w:rsid w:val="191A0E8B"/>
    <w:rsid w:val="191A0F03"/>
    <w:rsid w:val="191A70DD"/>
    <w:rsid w:val="191C10A7"/>
    <w:rsid w:val="191C2E55"/>
    <w:rsid w:val="191E500F"/>
    <w:rsid w:val="191F6D20"/>
    <w:rsid w:val="19204AAD"/>
    <w:rsid w:val="1921046B"/>
    <w:rsid w:val="1927569A"/>
    <w:rsid w:val="192817FA"/>
    <w:rsid w:val="19297320"/>
    <w:rsid w:val="192D0BBE"/>
    <w:rsid w:val="19306900"/>
    <w:rsid w:val="19322678"/>
    <w:rsid w:val="193568E0"/>
    <w:rsid w:val="19357C9E"/>
    <w:rsid w:val="19362169"/>
    <w:rsid w:val="19365E0B"/>
    <w:rsid w:val="193975E7"/>
    <w:rsid w:val="193C34F7"/>
    <w:rsid w:val="19404D95"/>
    <w:rsid w:val="19406B43"/>
    <w:rsid w:val="194276D1"/>
    <w:rsid w:val="19466124"/>
    <w:rsid w:val="1949781E"/>
    <w:rsid w:val="194B192D"/>
    <w:rsid w:val="194B373A"/>
    <w:rsid w:val="194B4A95"/>
    <w:rsid w:val="194B54E8"/>
    <w:rsid w:val="194F4FD8"/>
    <w:rsid w:val="19507CBE"/>
    <w:rsid w:val="19515BB6"/>
    <w:rsid w:val="19526692"/>
    <w:rsid w:val="19545C59"/>
    <w:rsid w:val="19566367"/>
    <w:rsid w:val="19575C3B"/>
    <w:rsid w:val="1959378C"/>
    <w:rsid w:val="19596BD7"/>
    <w:rsid w:val="19597C05"/>
    <w:rsid w:val="195B1130"/>
    <w:rsid w:val="195E16BF"/>
    <w:rsid w:val="195E521C"/>
    <w:rsid w:val="195E6FCA"/>
    <w:rsid w:val="19626077"/>
    <w:rsid w:val="19632832"/>
    <w:rsid w:val="19662123"/>
    <w:rsid w:val="1968609A"/>
    <w:rsid w:val="196B16E7"/>
    <w:rsid w:val="196C5B8A"/>
    <w:rsid w:val="196F7429"/>
    <w:rsid w:val="19715320"/>
    <w:rsid w:val="19731396"/>
    <w:rsid w:val="19742C91"/>
    <w:rsid w:val="1976630C"/>
    <w:rsid w:val="197C1B46"/>
    <w:rsid w:val="197E07D0"/>
    <w:rsid w:val="197E6361"/>
    <w:rsid w:val="197E766C"/>
    <w:rsid w:val="198033E4"/>
    <w:rsid w:val="198527A8"/>
    <w:rsid w:val="19855C98"/>
    <w:rsid w:val="19856C4C"/>
    <w:rsid w:val="19882298"/>
    <w:rsid w:val="19882502"/>
    <w:rsid w:val="19886353"/>
    <w:rsid w:val="19894A37"/>
    <w:rsid w:val="198C1E51"/>
    <w:rsid w:val="198D5B01"/>
    <w:rsid w:val="198D78AF"/>
    <w:rsid w:val="198F1879"/>
    <w:rsid w:val="199005F8"/>
    <w:rsid w:val="19921369"/>
    <w:rsid w:val="19940C3D"/>
    <w:rsid w:val="199450E1"/>
    <w:rsid w:val="199539CA"/>
    <w:rsid w:val="199B570B"/>
    <w:rsid w:val="199D433D"/>
    <w:rsid w:val="19A03A86"/>
    <w:rsid w:val="19A05834"/>
    <w:rsid w:val="19A109E0"/>
    <w:rsid w:val="19A27E1E"/>
    <w:rsid w:val="19A62E56"/>
    <w:rsid w:val="19A846E9"/>
    <w:rsid w:val="19A90B8D"/>
    <w:rsid w:val="19A91E82"/>
    <w:rsid w:val="19AC37CF"/>
    <w:rsid w:val="19B05082"/>
    <w:rsid w:val="19B117EF"/>
    <w:rsid w:val="19B412DF"/>
    <w:rsid w:val="19B65058"/>
    <w:rsid w:val="19B7492C"/>
    <w:rsid w:val="19B84892"/>
    <w:rsid w:val="19B92E52"/>
    <w:rsid w:val="19B97804"/>
    <w:rsid w:val="19BB08C0"/>
    <w:rsid w:val="19BC701E"/>
    <w:rsid w:val="19C21C4E"/>
    <w:rsid w:val="19C239FC"/>
    <w:rsid w:val="19C257AA"/>
    <w:rsid w:val="19C73298"/>
    <w:rsid w:val="19C749D9"/>
    <w:rsid w:val="19C86B39"/>
    <w:rsid w:val="19CA5EED"/>
    <w:rsid w:val="19CE05F3"/>
    <w:rsid w:val="19CF1C75"/>
    <w:rsid w:val="19D13C3F"/>
    <w:rsid w:val="19D14A00"/>
    <w:rsid w:val="19D159ED"/>
    <w:rsid w:val="19D16F1B"/>
    <w:rsid w:val="19D379B8"/>
    <w:rsid w:val="19D454DE"/>
    <w:rsid w:val="19D57E2A"/>
    <w:rsid w:val="19D6177B"/>
    <w:rsid w:val="19DB4ABE"/>
    <w:rsid w:val="19DC42C1"/>
    <w:rsid w:val="19DD0836"/>
    <w:rsid w:val="19DF45AE"/>
    <w:rsid w:val="19E27BFB"/>
    <w:rsid w:val="19E35721"/>
    <w:rsid w:val="19E576EB"/>
    <w:rsid w:val="19E57A81"/>
    <w:rsid w:val="19E716B5"/>
    <w:rsid w:val="19E75211"/>
    <w:rsid w:val="19E94EA5"/>
    <w:rsid w:val="19EB584A"/>
    <w:rsid w:val="19ED659F"/>
    <w:rsid w:val="19F13F09"/>
    <w:rsid w:val="19F142E2"/>
    <w:rsid w:val="19F16090"/>
    <w:rsid w:val="19F3005A"/>
    <w:rsid w:val="19F45B80"/>
    <w:rsid w:val="19F636A6"/>
    <w:rsid w:val="19F65454"/>
    <w:rsid w:val="19F677A5"/>
    <w:rsid w:val="19F90C1E"/>
    <w:rsid w:val="19FA13E8"/>
    <w:rsid w:val="19FA4386"/>
    <w:rsid w:val="19FD4A34"/>
    <w:rsid w:val="19FD67E3"/>
    <w:rsid w:val="19FE07AD"/>
    <w:rsid w:val="19FE2C8D"/>
    <w:rsid w:val="1A002777"/>
    <w:rsid w:val="1A020B05"/>
    <w:rsid w:val="1A051B3B"/>
    <w:rsid w:val="1A057D8D"/>
    <w:rsid w:val="1A0A70AB"/>
    <w:rsid w:val="1A11228E"/>
    <w:rsid w:val="1A116732"/>
    <w:rsid w:val="1A132B97"/>
    <w:rsid w:val="1A143B2C"/>
    <w:rsid w:val="1A18186E"/>
    <w:rsid w:val="1A187AC0"/>
    <w:rsid w:val="1A192B3F"/>
    <w:rsid w:val="1A1A3838"/>
    <w:rsid w:val="1A1A55E6"/>
    <w:rsid w:val="1A1C14C0"/>
    <w:rsid w:val="1A1C66C0"/>
    <w:rsid w:val="1A1D50D7"/>
    <w:rsid w:val="1A1D679A"/>
    <w:rsid w:val="1A1F1C37"/>
    <w:rsid w:val="1A2024D1"/>
    <w:rsid w:val="1A204C67"/>
    <w:rsid w:val="1A230ABD"/>
    <w:rsid w:val="1A2517D3"/>
    <w:rsid w:val="1A253F8B"/>
    <w:rsid w:val="1A255D39"/>
    <w:rsid w:val="1A2975D8"/>
    <w:rsid w:val="1A2A3350"/>
    <w:rsid w:val="1A2E1092"/>
    <w:rsid w:val="1A2F0966"/>
    <w:rsid w:val="1A312930"/>
    <w:rsid w:val="1A330456"/>
    <w:rsid w:val="1A367F46"/>
    <w:rsid w:val="1A383CBF"/>
    <w:rsid w:val="1A3B37AF"/>
    <w:rsid w:val="1A3B4A49"/>
    <w:rsid w:val="1A3B555D"/>
    <w:rsid w:val="1A3D3083"/>
    <w:rsid w:val="1A3D6E2C"/>
    <w:rsid w:val="1A3F329F"/>
    <w:rsid w:val="1A3F6DFB"/>
    <w:rsid w:val="1A42393B"/>
    <w:rsid w:val="1A4268EB"/>
    <w:rsid w:val="1A444411"/>
    <w:rsid w:val="1A455C20"/>
    <w:rsid w:val="1A475CB0"/>
    <w:rsid w:val="1A4C059F"/>
    <w:rsid w:val="1A4C32C6"/>
    <w:rsid w:val="1A4D74FA"/>
    <w:rsid w:val="1A4E34E2"/>
    <w:rsid w:val="1A512F81"/>
    <w:rsid w:val="1A564145"/>
    <w:rsid w:val="1A591713"/>
    <w:rsid w:val="1A592BA3"/>
    <w:rsid w:val="1A5A1E87"/>
    <w:rsid w:val="1A5A2605"/>
    <w:rsid w:val="1A5A3C35"/>
    <w:rsid w:val="1A5B5BFF"/>
    <w:rsid w:val="1A5D3725"/>
    <w:rsid w:val="1A604FC3"/>
    <w:rsid w:val="1A606D71"/>
    <w:rsid w:val="1A614D57"/>
    <w:rsid w:val="1A637E8D"/>
    <w:rsid w:val="1A644DB2"/>
    <w:rsid w:val="1A6525DA"/>
    <w:rsid w:val="1A664C6F"/>
    <w:rsid w:val="1A6A7BF0"/>
    <w:rsid w:val="1A6E148E"/>
    <w:rsid w:val="1A704DC9"/>
    <w:rsid w:val="1A70776E"/>
    <w:rsid w:val="1A710F7F"/>
    <w:rsid w:val="1A79662A"/>
    <w:rsid w:val="1A7A6085"/>
    <w:rsid w:val="1A7D7923"/>
    <w:rsid w:val="1A7F18ED"/>
    <w:rsid w:val="1A81091F"/>
    <w:rsid w:val="1A8202E0"/>
    <w:rsid w:val="1A82318C"/>
    <w:rsid w:val="1A845156"/>
    <w:rsid w:val="1A864A2A"/>
    <w:rsid w:val="1A8B2040"/>
    <w:rsid w:val="1A8C42F1"/>
    <w:rsid w:val="1A8C5DB8"/>
    <w:rsid w:val="1A8E38DF"/>
    <w:rsid w:val="1A9001D7"/>
    <w:rsid w:val="1A9058A9"/>
    <w:rsid w:val="1A91517D"/>
    <w:rsid w:val="1A952EBF"/>
    <w:rsid w:val="1A954C6D"/>
    <w:rsid w:val="1A9B5F15"/>
    <w:rsid w:val="1AA03612"/>
    <w:rsid w:val="1AA41354"/>
    <w:rsid w:val="1AA44EB0"/>
    <w:rsid w:val="1AA5608D"/>
    <w:rsid w:val="1AA650CC"/>
    <w:rsid w:val="1AA749A0"/>
    <w:rsid w:val="1AA932A4"/>
    <w:rsid w:val="1AAC42FC"/>
    <w:rsid w:val="1AAD45DE"/>
    <w:rsid w:val="1AAD645B"/>
    <w:rsid w:val="1AAF7837"/>
    <w:rsid w:val="1AB175CD"/>
    <w:rsid w:val="1AB2774D"/>
    <w:rsid w:val="1AB33345"/>
    <w:rsid w:val="1ABB05D2"/>
    <w:rsid w:val="1ABD5F72"/>
    <w:rsid w:val="1ABF7F3C"/>
    <w:rsid w:val="1AC10D93"/>
    <w:rsid w:val="1AC11F06"/>
    <w:rsid w:val="1AC15A62"/>
    <w:rsid w:val="1AC42237"/>
    <w:rsid w:val="1AC437A4"/>
    <w:rsid w:val="1AC44D8D"/>
    <w:rsid w:val="1AC45552"/>
    <w:rsid w:val="1AC515E1"/>
    <w:rsid w:val="1AC54CA7"/>
    <w:rsid w:val="1AC63078"/>
    <w:rsid w:val="1AC90DBB"/>
    <w:rsid w:val="1AC969C1"/>
    <w:rsid w:val="1ACB068F"/>
    <w:rsid w:val="1ACB68E1"/>
    <w:rsid w:val="1ACD08AB"/>
    <w:rsid w:val="1ACD5EF9"/>
    <w:rsid w:val="1ACE4623"/>
    <w:rsid w:val="1AD02149"/>
    <w:rsid w:val="1AD25EC1"/>
    <w:rsid w:val="1AD3590E"/>
    <w:rsid w:val="1AD41657"/>
    <w:rsid w:val="1AD422B1"/>
    <w:rsid w:val="1AD5150D"/>
    <w:rsid w:val="1AD5775F"/>
    <w:rsid w:val="1AD62D83"/>
    <w:rsid w:val="1AD734D7"/>
    <w:rsid w:val="1AD75285"/>
    <w:rsid w:val="1AD82DAC"/>
    <w:rsid w:val="1AD87250"/>
    <w:rsid w:val="1ADA6B24"/>
    <w:rsid w:val="1ADC6A3E"/>
    <w:rsid w:val="1ADC6D40"/>
    <w:rsid w:val="1ADD6614"/>
    <w:rsid w:val="1ADE4866"/>
    <w:rsid w:val="1AE259D8"/>
    <w:rsid w:val="1AE300CE"/>
    <w:rsid w:val="1AE41750"/>
    <w:rsid w:val="1AE6196C"/>
    <w:rsid w:val="1AE654C9"/>
    <w:rsid w:val="1AE97127"/>
    <w:rsid w:val="1AEB2ADF"/>
    <w:rsid w:val="1AEB6F83"/>
    <w:rsid w:val="1AED02E0"/>
    <w:rsid w:val="1AED2CFB"/>
    <w:rsid w:val="1AEE25CF"/>
    <w:rsid w:val="1AEE4DCF"/>
    <w:rsid w:val="1AEF6A73"/>
    <w:rsid w:val="1AF022C0"/>
    <w:rsid w:val="1AF06347"/>
    <w:rsid w:val="1AF20311"/>
    <w:rsid w:val="1AF31906"/>
    <w:rsid w:val="1AF31ACB"/>
    <w:rsid w:val="1AF35E37"/>
    <w:rsid w:val="1AF37BE5"/>
    <w:rsid w:val="1AF44089"/>
    <w:rsid w:val="1AF57CF8"/>
    <w:rsid w:val="1AF745BC"/>
    <w:rsid w:val="1AF76A4D"/>
    <w:rsid w:val="1AF83E57"/>
    <w:rsid w:val="1AF97567"/>
    <w:rsid w:val="1AFA71C6"/>
    <w:rsid w:val="1AFC2F3E"/>
    <w:rsid w:val="1B010554"/>
    <w:rsid w:val="1B043BA1"/>
    <w:rsid w:val="1B046F80"/>
    <w:rsid w:val="1B0753F5"/>
    <w:rsid w:val="1B091853"/>
    <w:rsid w:val="1B097409"/>
    <w:rsid w:val="1B0D514B"/>
    <w:rsid w:val="1B0E2EF4"/>
    <w:rsid w:val="1B0F0EC3"/>
    <w:rsid w:val="1B102545"/>
    <w:rsid w:val="1B1062F2"/>
    <w:rsid w:val="1B1069E9"/>
    <w:rsid w:val="1B1262BE"/>
    <w:rsid w:val="1B126821"/>
    <w:rsid w:val="1B1464DA"/>
    <w:rsid w:val="1B151230"/>
    <w:rsid w:val="1B155DAE"/>
    <w:rsid w:val="1B163FDB"/>
    <w:rsid w:val="1B174574"/>
    <w:rsid w:val="1B1C713C"/>
    <w:rsid w:val="1B1D0F77"/>
    <w:rsid w:val="1B1D4C62"/>
    <w:rsid w:val="1B1E53EC"/>
    <w:rsid w:val="1B1F09DB"/>
    <w:rsid w:val="1B2304CB"/>
    <w:rsid w:val="1B2314DE"/>
    <w:rsid w:val="1B234932"/>
    <w:rsid w:val="1B2D30F7"/>
    <w:rsid w:val="1B2D76CD"/>
    <w:rsid w:val="1B30102A"/>
    <w:rsid w:val="1B3267B5"/>
    <w:rsid w:val="1B341A3A"/>
    <w:rsid w:val="1B34786F"/>
    <w:rsid w:val="1B3501FE"/>
    <w:rsid w:val="1B351B69"/>
    <w:rsid w:val="1B3866E0"/>
    <w:rsid w:val="1B397CEE"/>
    <w:rsid w:val="1B3C77DE"/>
    <w:rsid w:val="1B3F107D"/>
    <w:rsid w:val="1B3F2E2B"/>
    <w:rsid w:val="1B40161D"/>
    <w:rsid w:val="1B4072CF"/>
    <w:rsid w:val="1B4266E8"/>
    <w:rsid w:val="1B43291B"/>
    <w:rsid w:val="1B441859"/>
    <w:rsid w:val="1B4641B9"/>
    <w:rsid w:val="1B486183"/>
    <w:rsid w:val="1B4A1EFB"/>
    <w:rsid w:val="1B4A3CA9"/>
    <w:rsid w:val="1B4B7A22"/>
    <w:rsid w:val="1B4D0545"/>
    <w:rsid w:val="1B4D379A"/>
    <w:rsid w:val="1B4D5548"/>
    <w:rsid w:val="1B4E291F"/>
    <w:rsid w:val="1B4F7512"/>
    <w:rsid w:val="1B50328A"/>
    <w:rsid w:val="1B511D3F"/>
    <w:rsid w:val="1B527002"/>
    <w:rsid w:val="1B544B28"/>
    <w:rsid w:val="1B5A1A13"/>
    <w:rsid w:val="1B5A66AE"/>
    <w:rsid w:val="1B5A7C65"/>
    <w:rsid w:val="1B5B4BD9"/>
    <w:rsid w:val="1B5F2B87"/>
    <w:rsid w:val="1B612DA1"/>
    <w:rsid w:val="1B617245"/>
    <w:rsid w:val="1B6606B1"/>
    <w:rsid w:val="1B682141"/>
    <w:rsid w:val="1B6A434C"/>
    <w:rsid w:val="1B6A60FA"/>
    <w:rsid w:val="1B6B6D5D"/>
    <w:rsid w:val="1B6E3CAC"/>
    <w:rsid w:val="1B6F3710"/>
    <w:rsid w:val="1B6F53AE"/>
    <w:rsid w:val="1B724FAE"/>
    <w:rsid w:val="1B741E25"/>
    <w:rsid w:val="1B7449F1"/>
    <w:rsid w:val="1B746217"/>
    <w:rsid w:val="1B7900EB"/>
    <w:rsid w:val="1B79458F"/>
    <w:rsid w:val="1B7977DC"/>
    <w:rsid w:val="1B7B0307"/>
    <w:rsid w:val="1B7C7BDB"/>
    <w:rsid w:val="1B7E3953"/>
    <w:rsid w:val="1B801B09"/>
    <w:rsid w:val="1B80591D"/>
    <w:rsid w:val="1B813443"/>
    <w:rsid w:val="1B8201B2"/>
    <w:rsid w:val="1B860A5A"/>
    <w:rsid w:val="1B862808"/>
    <w:rsid w:val="1B866CAC"/>
    <w:rsid w:val="1B882A24"/>
    <w:rsid w:val="1B8847D2"/>
    <w:rsid w:val="1B8A679C"/>
    <w:rsid w:val="1B8C2514"/>
    <w:rsid w:val="1B8C4B1F"/>
    <w:rsid w:val="1B8D1DE8"/>
    <w:rsid w:val="1B903686"/>
    <w:rsid w:val="1B9238A2"/>
    <w:rsid w:val="1B9264CB"/>
    <w:rsid w:val="1B943177"/>
    <w:rsid w:val="1B99253B"/>
    <w:rsid w:val="1B9C202B"/>
    <w:rsid w:val="1B9E5DA3"/>
    <w:rsid w:val="1BA246AC"/>
    <w:rsid w:val="1BA2692C"/>
    <w:rsid w:val="1BA3338C"/>
    <w:rsid w:val="1BA3785E"/>
    <w:rsid w:val="1BA54A74"/>
    <w:rsid w:val="1BA62EAA"/>
    <w:rsid w:val="1BA64C58"/>
    <w:rsid w:val="1BA710FC"/>
    <w:rsid w:val="1BA944EE"/>
    <w:rsid w:val="1BAA299A"/>
    <w:rsid w:val="1BAF7FB0"/>
    <w:rsid w:val="1BB27AA1"/>
    <w:rsid w:val="1BB43819"/>
    <w:rsid w:val="1BB47375"/>
    <w:rsid w:val="1BB630ED"/>
    <w:rsid w:val="1BBE01F3"/>
    <w:rsid w:val="1BC021BE"/>
    <w:rsid w:val="1BC03F6C"/>
    <w:rsid w:val="1BC31CAE"/>
    <w:rsid w:val="1BC33A5C"/>
    <w:rsid w:val="1BC51582"/>
    <w:rsid w:val="1BC7354C"/>
    <w:rsid w:val="1BC7572E"/>
    <w:rsid w:val="1BC872C4"/>
    <w:rsid w:val="1BCE5A74"/>
    <w:rsid w:val="1BCF0653"/>
    <w:rsid w:val="1BCF2401"/>
    <w:rsid w:val="1BD01CD5"/>
    <w:rsid w:val="1BD23C9F"/>
    <w:rsid w:val="1BD96DDB"/>
    <w:rsid w:val="1BDB6FF7"/>
    <w:rsid w:val="1BDD2ABA"/>
    <w:rsid w:val="1BDE0896"/>
    <w:rsid w:val="1BDE43F2"/>
    <w:rsid w:val="1BE10516"/>
    <w:rsid w:val="1BE37C5A"/>
    <w:rsid w:val="1BE51C24"/>
    <w:rsid w:val="1BE539D2"/>
    <w:rsid w:val="1BE84059"/>
    <w:rsid w:val="1BE8760C"/>
    <w:rsid w:val="1BE91242"/>
    <w:rsid w:val="1BEA2D97"/>
    <w:rsid w:val="1BEA7699"/>
    <w:rsid w:val="1BEB0073"/>
    <w:rsid w:val="1BEC4D61"/>
    <w:rsid w:val="1BEF4851"/>
    <w:rsid w:val="1BEF65FF"/>
    <w:rsid w:val="1BF105C9"/>
    <w:rsid w:val="1BF21E2B"/>
    <w:rsid w:val="1BF27E9D"/>
    <w:rsid w:val="1BF34341"/>
    <w:rsid w:val="1BF400B9"/>
    <w:rsid w:val="1BF43C15"/>
    <w:rsid w:val="1BF63E31"/>
    <w:rsid w:val="1BF65BDF"/>
    <w:rsid w:val="1BF65FAA"/>
    <w:rsid w:val="1BF6798D"/>
    <w:rsid w:val="1C0320AA"/>
    <w:rsid w:val="1C063DFC"/>
    <w:rsid w:val="1C071301"/>
    <w:rsid w:val="1C071B9A"/>
    <w:rsid w:val="1C077DEC"/>
    <w:rsid w:val="1C0876C1"/>
    <w:rsid w:val="1C0A168B"/>
    <w:rsid w:val="1C0C1291"/>
    <w:rsid w:val="1C0D0BCA"/>
    <w:rsid w:val="1C0D4CD7"/>
    <w:rsid w:val="1C1027E3"/>
    <w:rsid w:val="1C122453"/>
    <w:rsid w:val="1C142509"/>
    <w:rsid w:val="1C166655"/>
    <w:rsid w:val="1C17253E"/>
    <w:rsid w:val="1C17390B"/>
    <w:rsid w:val="1C177904"/>
    <w:rsid w:val="1C19471C"/>
    <w:rsid w:val="1C197B20"/>
    <w:rsid w:val="1C1A7551"/>
    <w:rsid w:val="1C1F56C0"/>
    <w:rsid w:val="1C2344FA"/>
    <w:rsid w:val="1C2362A8"/>
    <w:rsid w:val="1C24719B"/>
    <w:rsid w:val="1C27223D"/>
    <w:rsid w:val="1C2838BF"/>
    <w:rsid w:val="1C295FB5"/>
    <w:rsid w:val="1C2A14F6"/>
    <w:rsid w:val="1C2A5889"/>
    <w:rsid w:val="1C2B5834"/>
    <w:rsid w:val="1C2C1601"/>
    <w:rsid w:val="1C2C7853"/>
    <w:rsid w:val="1C2F10F1"/>
    <w:rsid w:val="1C2F4C4D"/>
    <w:rsid w:val="1C314E69"/>
    <w:rsid w:val="1C38458D"/>
    <w:rsid w:val="1C38518D"/>
    <w:rsid w:val="1C3A7C3D"/>
    <w:rsid w:val="1C3B1844"/>
    <w:rsid w:val="1C3D55BC"/>
    <w:rsid w:val="1C3D736A"/>
    <w:rsid w:val="1C3E5861"/>
    <w:rsid w:val="1C4050AC"/>
    <w:rsid w:val="1C406E5A"/>
    <w:rsid w:val="1C426E48"/>
    <w:rsid w:val="1C44694B"/>
    <w:rsid w:val="1C483765"/>
    <w:rsid w:val="1C484ACE"/>
    <w:rsid w:val="1C4B004D"/>
    <w:rsid w:val="1C4B69D5"/>
    <w:rsid w:val="1C4C1E1B"/>
    <w:rsid w:val="1C4C3A51"/>
    <w:rsid w:val="1C4E1577"/>
    <w:rsid w:val="1C506D09"/>
    <w:rsid w:val="1C5446B4"/>
    <w:rsid w:val="1C550B58"/>
    <w:rsid w:val="1C580FD9"/>
    <w:rsid w:val="1C5841A4"/>
    <w:rsid w:val="1C5D17BA"/>
    <w:rsid w:val="1C5D7A0C"/>
    <w:rsid w:val="1C5E7925"/>
    <w:rsid w:val="1C6012AB"/>
    <w:rsid w:val="1C602743"/>
    <w:rsid w:val="1C6074FD"/>
    <w:rsid w:val="1C623275"/>
    <w:rsid w:val="1C626DD1"/>
    <w:rsid w:val="1C6378F5"/>
    <w:rsid w:val="1C640D9B"/>
    <w:rsid w:val="1C67088B"/>
    <w:rsid w:val="1C672639"/>
    <w:rsid w:val="1C6B4E4D"/>
    <w:rsid w:val="1C6C33CB"/>
    <w:rsid w:val="1C6F645F"/>
    <w:rsid w:val="1C7273A4"/>
    <w:rsid w:val="1C735482"/>
    <w:rsid w:val="1C7444FB"/>
    <w:rsid w:val="1C752C38"/>
    <w:rsid w:val="1C752FA8"/>
    <w:rsid w:val="1C760ACE"/>
    <w:rsid w:val="1C76287C"/>
    <w:rsid w:val="1C766D20"/>
    <w:rsid w:val="1C7859F2"/>
    <w:rsid w:val="1C7865F4"/>
    <w:rsid w:val="1C7A1361"/>
    <w:rsid w:val="1C7B4336"/>
    <w:rsid w:val="1C7B60E4"/>
    <w:rsid w:val="1C7B7E93"/>
    <w:rsid w:val="1C8036FB"/>
    <w:rsid w:val="1C8212E1"/>
    <w:rsid w:val="1C821675"/>
    <w:rsid w:val="1C8256C5"/>
    <w:rsid w:val="1C844F99"/>
    <w:rsid w:val="1C845425"/>
    <w:rsid w:val="1C857FF6"/>
    <w:rsid w:val="1C8A66C6"/>
    <w:rsid w:val="1C8E5E18"/>
    <w:rsid w:val="1C8E7BC6"/>
    <w:rsid w:val="1C922837"/>
    <w:rsid w:val="1C961170"/>
    <w:rsid w:val="1C964CCC"/>
    <w:rsid w:val="1C97123D"/>
    <w:rsid w:val="1C97141E"/>
    <w:rsid w:val="1C984EE8"/>
    <w:rsid w:val="1C9B22E3"/>
    <w:rsid w:val="1C9E0430"/>
    <w:rsid w:val="1C9F0025"/>
    <w:rsid w:val="1C9F1DD3"/>
    <w:rsid w:val="1CA05B4B"/>
    <w:rsid w:val="1CA368E7"/>
    <w:rsid w:val="1CA57F9C"/>
    <w:rsid w:val="1CA613B3"/>
    <w:rsid w:val="1CA90EA4"/>
    <w:rsid w:val="1CA94A00"/>
    <w:rsid w:val="1CAA0778"/>
    <w:rsid w:val="1CAC2742"/>
    <w:rsid w:val="1CAC629E"/>
    <w:rsid w:val="1CB03FE0"/>
    <w:rsid w:val="1CB27013"/>
    <w:rsid w:val="1CB33AD0"/>
    <w:rsid w:val="1CB55F02"/>
    <w:rsid w:val="1CB702B4"/>
    <w:rsid w:val="1CBC0BD7"/>
    <w:rsid w:val="1CBF5FD1"/>
    <w:rsid w:val="1CC01D49"/>
    <w:rsid w:val="1CC161ED"/>
    <w:rsid w:val="1CC17F9B"/>
    <w:rsid w:val="1CC21F65"/>
    <w:rsid w:val="1CC407A0"/>
    <w:rsid w:val="1CC57360"/>
    <w:rsid w:val="1CC63804"/>
    <w:rsid w:val="1CC655B2"/>
    <w:rsid w:val="1CC71EBA"/>
    <w:rsid w:val="1CCC4932"/>
    <w:rsid w:val="1CCC4B92"/>
    <w:rsid w:val="1CCC6940"/>
    <w:rsid w:val="1CCE4466"/>
    <w:rsid w:val="1CD13F56"/>
    <w:rsid w:val="1CD31A7D"/>
    <w:rsid w:val="1CD34549"/>
    <w:rsid w:val="1CD37CCF"/>
    <w:rsid w:val="1CD37F80"/>
    <w:rsid w:val="1CD62DD2"/>
    <w:rsid w:val="1CD7381F"/>
    <w:rsid w:val="1CD81789"/>
    <w:rsid w:val="1CD83537"/>
    <w:rsid w:val="1CDC3027"/>
    <w:rsid w:val="1CDC4DD5"/>
    <w:rsid w:val="1CDF6673"/>
    <w:rsid w:val="1CE1063D"/>
    <w:rsid w:val="1CE123EB"/>
    <w:rsid w:val="1CE35288"/>
    <w:rsid w:val="1CE65C54"/>
    <w:rsid w:val="1CE75528"/>
    <w:rsid w:val="1CE974F2"/>
    <w:rsid w:val="1CEB6DC6"/>
    <w:rsid w:val="1CEE2F53"/>
    <w:rsid w:val="1CF00880"/>
    <w:rsid w:val="1CF218F5"/>
    <w:rsid w:val="1CF30371"/>
    <w:rsid w:val="1CF3211F"/>
    <w:rsid w:val="1CF57C45"/>
    <w:rsid w:val="1CF57FE0"/>
    <w:rsid w:val="1CF739BD"/>
    <w:rsid w:val="1CF8633A"/>
    <w:rsid w:val="1CF87735"/>
    <w:rsid w:val="1CF928A3"/>
    <w:rsid w:val="1CFA16FF"/>
    <w:rsid w:val="1CFA4446"/>
    <w:rsid w:val="1CFC330C"/>
    <w:rsid w:val="1CFD070F"/>
    <w:rsid w:val="1CFD33E2"/>
    <w:rsid w:val="1CFF3ED8"/>
    <w:rsid w:val="1D01483C"/>
    <w:rsid w:val="1D040176"/>
    <w:rsid w:val="1D043C82"/>
    <w:rsid w:val="1D0600A4"/>
    <w:rsid w:val="1D097B94"/>
    <w:rsid w:val="1D0A5655"/>
    <w:rsid w:val="1D0D1432"/>
    <w:rsid w:val="1D11777D"/>
    <w:rsid w:val="1D121605"/>
    <w:rsid w:val="1D126A49"/>
    <w:rsid w:val="1D1327C1"/>
    <w:rsid w:val="1D152095"/>
    <w:rsid w:val="1D1722B1"/>
    <w:rsid w:val="1D174F3D"/>
    <w:rsid w:val="1D182879"/>
    <w:rsid w:val="1D1A58FD"/>
    <w:rsid w:val="1D1B1F70"/>
    <w:rsid w:val="1D1C78C7"/>
    <w:rsid w:val="1D2247B2"/>
    <w:rsid w:val="1D230C56"/>
    <w:rsid w:val="1D251972"/>
    <w:rsid w:val="1D252B5E"/>
    <w:rsid w:val="1D2624F4"/>
    <w:rsid w:val="1D293D92"/>
    <w:rsid w:val="1D295B40"/>
    <w:rsid w:val="1D2A07A3"/>
    <w:rsid w:val="1D2B18B9"/>
    <w:rsid w:val="1D2D3883"/>
    <w:rsid w:val="1D2E3157"/>
    <w:rsid w:val="1D2F75FB"/>
    <w:rsid w:val="1D305121"/>
    <w:rsid w:val="1D312BE6"/>
    <w:rsid w:val="1D322C47"/>
    <w:rsid w:val="1D33076D"/>
    <w:rsid w:val="1D3429D4"/>
    <w:rsid w:val="1D344C11"/>
    <w:rsid w:val="1D350989"/>
    <w:rsid w:val="1D3544E5"/>
    <w:rsid w:val="1D37200B"/>
    <w:rsid w:val="1D3764AF"/>
    <w:rsid w:val="1D396442"/>
    <w:rsid w:val="1D3F7112"/>
    <w:rsid w:val="1D40425C"/>
    <w:rsid w:val="1D4110DC"/>
    <w:rsid w:val="1D417B50"/>
    <w:rsid w:val="1D4209B0"/>
    <w:rsid w:val="1D456945"/>
    <w:rsid w:val="1D4604A0"/>
    <w:rsid w:val="1D47600F"/>
    <w:rsid w:val="1D4C7A22"/>
    <w:rsid w:val="1D4D182F"/>
    <w:rsid w:val="1D4D7A81"/>
    <w:rsid w:val="1D50131F"/>
    <w:rsid w:val="1D5022F0"/>
    <w:rsid w:val="1D505377"/>
    <w:rsid w:val="1D516351"/>
    <w:rsid w:val="1D556936"/>
    <w:rsid w:val="1D570900"/>
    <w:rsid w:val="1D5A03F0"/>
    <w:rsid w:val="1D5C47CB"/>
    <w:rsid w:val="1D5D57EA"/>
    <w:rsid w:val="1D5E1C8E"/>
    <w:rsid w:val="1D5F6196"/>
    <w:rsid w:val="1D6132A5"/>
    <w:rsid w:val="1D631052"/>
    <w:rsid w:val="1D632E00"/>
    <w:rsid w:val="1D646B79"/>
    <w:rsid w:val="1D672CB4"/>
    <w:rsid w:val="1D6923E1"/>
    <w:rsid w:val="1D69418F"/>
    <w:rsid w:val="1D715850"/>
    <w:rsid w:val="1D72471B"/>
    <w:rsid w:val="1D7274E7"/>
    <w:rsid w:val="1D7327E1"/>
    <w:rsid w:val="1D74500E"/>
    <w:rsid w:val="1D750D86"/>
    <w:rsid w:val="1D752B34"/>
    <w:rsid w:val="1D772D50"/>
    <w:rsid w:val="1D792624"/>
    <w:rsid w:val="1D7A45EE"/>
    <w:rsid w:val="1D7A639C"/>
    <w:rsid w:val="1D7F1C04"/>
    <w:rsid w:val="1D835251"/>
    <w:rsid w:val="1D8411E0"/>
    <w:rsid w:val="1D8611E5"/>
    <w:rsid w:val="1D880AB9"/>
    <w:rsid w:val="1D8B05A9"/>
    <w:rsid w:val="1D8B67FB"/>
    <w:rsid w:val="1D8D2573"/>
    <w:rsid w:val="1D8E56D5"/>
    <w:rsid w:val="1D8F1E47"/>
    <w:rsid w:val="1D905A25"/>
    <w:rsid w:val="1D921938"/>
    <w:rsid w:val="1D9236E6"/>
    <w:rsid w:val="1D955CC3"/>
    <w:rsid w:val="1D980AE6"/>
    <w:rsid w:val="1D9B4C90"/>
    <w:rsid w:val="1D9B6F70"/>
    <w:rsid w:val="1D9D5D73"/>
    <w:rsid w:val="1D9F5E03"/>
    <w:rsid w:val="1DA034B3"/>
    <w:rsid w:val="1DA4055F"/>
    <w:rsid w:val="1DA67191"/>
    <w:rsid w:val="1DA76F7C"/>
    <w:rsid w:val="1DA805DB"/>
    <w:rsid w:val="1DA82F09"/>
    <w:rsid w:val="1DA84CB7"/>
    <w:rsid w:val="1DA91A6B"/>
    <w:rsid w:val="1DAB7ABB"/>
    <w:rsid w:val="1DAC1947"/>
    <w:rsid w:val="1DB21FDA"/>
    <w:rsid w:val="1DB33FAD"/>
    <w:rsid w:val="1DB47B00"/>
    <w:rsid w:val="1DB60E49"/>
    <w:rsid w:val="1DB6149E"/>
    <w:rsid w:val="1DB7139E"/>
    <w:rsid w:val="1DBA29F0"/>
    <w:rsid w:val="1DBE78CF"/>
    <w:rsid w:val="1DC046F7"/>
    <w:rsid w:val="1DC0706B"/>
    <w:rsid w:val="1DC15D79"/>
    <w:rsid w:val="1DC31AF1"/>
    <w:rsid w:val="1DC615E1"/>
    <w:rsid w:val="1DC83D3D"/>
    <w:rsid w:val="1DCA7323"/>
    <w:rsid w:val="1DCB2447"/>
    <w:rsid w:val="1DCB4E4A"/>
    <w:rsid w:val="1DCD471E"/>
    <w:rsid w:val="1DCD56BD"/>
    <w:rsid w:val="1DCF55B0"/>
    <w:rsid w:val="1DCF66E8"/>
    <w:rsid w:val="1DD0420E"/>
    <w:rsid w:val="1DD11B67"/>
    <w:rsid w:val="1DD23DC7"/>
    <w:rsid w:val="1DD261D8"/>
    <w:rsid w:val="1DD45DEE"/>
    <w:rsid w:val="1DD733A8"/>
    <w:rsid w:val="1DD97567"/>
    <w:rsid w:val="1DDA6A02"/>
    <w:rsid w:val="1DDA6E3B"/>
    <w:rsid w:val="1DDE692B"/>
    <w:rsid w:val="1DDF7C04"/>
    <w:rsid w:val="1DE008F5"/>
    <w:rsid w:val="1DE026A3"/>
    <w:rsid w:val="1DE02B0B"/>
    <w:rsid w:val="1DE264CA"/>
    <w:rsid w:val="1DE32193"/>
    <w:rsid w:val="1DE5545E"/>
    <w:rsid w:val="1DE81558"/>
    <w:rsid w:val="1DEB3B2D"/>
    <w:rsid w:val="1DEC1347"/>
    <w:rsid w:val="1DED55CE"/>
    <w:rsid w:val="1DEF6D8A"/>
    <w:rsid w:val="1DF47EFC"/>
    <w:rsid w:val="1DF779ED"/>
    <w:rsid w:val="1DF95C6A"/>
    <w:rsid w:val="1DFB7BD2"/>
    <w:rsid w:val="1DFC3D55"/>
    <w:rsid w:val="1DFD14A7"/>
    <w:rsid w:val="1DFE0D7B"/>
    <w:rsid w:val="1E00075A"/>
    <w:rsid w:val="1E0208EF"/>
    <w:rsid w:val="1E0307BE"/>
    <w:rsid w:val="1E032835"/>
    <w:rsid w:val="1E086888"/>
    <w:rsid w:val="1E0908B0"/>
    <w:rsid w:val="1E0A5972"/>
    <w:rsid w:val="1E0A7720"/>
    <w:rsid w:val="1E0B5C42"/>
    <w:rsid w:val="1E0C793C"/>
    <w:rsid w:val="1E115A42"/>
    <w:rsid w:val="1E1213B2"/>
    <w:rsid w:val="1E147583"/>
    <w:rsid w:val="1E1660C5"/>
    <w:rsid w:val="1E197963"/>
    <w:rsid w:val="1E1B2496"/>
    <w:rsid w:val="1E1B7F91"/>
    <w:rsid w:val="1E1E4F79"/>
    <w:rsid w:val="1E201805"/>
    <w:rsid w:val="1E206F43"/>
    <w:rsid w:val="1E220F0E"/>
    <w:rsid w:val="1E234C86"/>
    <w:rsid w:val="1E264941"/>
    <w:rsid w:val="1E2702D2"/>
    <w:rsid w:val="1E27126F"/>
    <w:rsid w:val="1E2826A4"/>
    <w:rsid w:val="1E285DF8"/>
    <w:rsid w:val="1E295253"/>
    <w:rsid w:val="1E2C0EFA"/>
    <w:rsid w:val="1E2C2D12"/>
    <w:rsid w:val="1E2C58E8"/>
    <w:rsid w:val="1E2F7B0C"/>
    <w:rsid w:val="1E312EFF"/>
    <w:rsid w:val="1E326C77"/>
    <w:rsid w:val="1E334EC9"/>
    <w:rsid w:val="1E3429EF"/>
    <w:rsid w:val="1E347D63"/>
    <w:rsid w:val="1E360515"/>
    <w:rsid w:val="1E363DC4"/>
    <w:rsid w:val="1E3649B9"/>
    <w:rsid w:val="1E366767"/>
    <w:rsid w:val="1E3824DF"/>
    <w:rsid w:val="1E390005"/>
    <w:rsid w:val="1E3B1FCF"/>
    <w:rsid w:val="1E3D7AF5"/>
    <w:rsid w:val="1E3E561C"/>
    <w:rsid w:val="1E401394"/>
    <w:rsid w:val="1E403142"/>
    <w:rsid w:val="1E407AA6"/>
    <w:rsid w:val="1E42510C"/>
    <w:rsid w:val="1E443ED5"/>
    <w:rsid w:val="1E450CE8"/>
    <w:rsid w:val="1E472722"/>
    <w:rsid w:val="1E4A0464"/>
    <w:rsid w:val="1E4A3FC0"/>
    <w:rsid w:val="1E4B4B5A"/>
    <w:rsid w:val="1E4C5F8A"/>
    <w:rsid w:val="1E4D585F"/>
    <w:rsid w:val="1E4E3AB1"/>
    <w:rsid w:val="1E51534F"/>
    <w:rsid w:val="1E537319"/>
    <w:rsid w:val="1E561C6C"/>
    <w:rsid w:val="1E5C6D97"/>
    <w:rsid w:val="1E5D03E0"/>
    <w:rsid w:val="1E601A36"/>
    <w:rsid w:val="1E603D81"/>
    <w:rsid w:val="1E635082"/>
    <w:rsid w:val="1E636E30"/>
    <w:rsid w:val="1E646E41"/>
    <w:rsid w:val="1E650DFA"/>
    <w:rsid w:val="1E664332"/>
    <w:rsid w:val="1E671BEE"/>
    <w:rsid w:val="1E6A4663"/>
    <w:rsid w:val="1E6A6411"/>
    <w:rsid w:val="1E6C0B4E"/>
    <w:rsid w:val="1E6F1C79"/>
    <w:rsid w:val="1E71154D"/>
    <w:rsid w:val="1E7159F1"/>
    <w:rsid w:val="1E727D04"/>
    <w:rsid w:val="1E766E25"/>
    <w:rsid w:val="1E780B2E"/>
    <w:rsid w:val="1E7828DC"/>
    <w:rsid w:val="1E7958F0"/>
    <w:rsid w:val="1E7A22F1"/>
    <w:rsid w:val="1E7A43DA"/>
    <w:rsid w:val="1E7D7EF2"/>
    <w:rsid w:val="1E803E86"/>
    <w:rsid w:val="1E8079E2"/>
    <w:rsid w:val="1E816369"/>
    <w:rsid w:val="1E892D3B"/>
    <w:rsid w:val="1E8C282B"/>
    <w:rsid w:val="1E8C6387"/>
    <w:rsid w:val="1E8F1DFD"/>
    <w:rsid w:val="1E933BB9"/>
    <w:rsid w:val="1E95228B"/>
    <w:rsid w:val="1E960FB4"/>
    <w:rsid w:val="1E963DB7"/>
    <w:rsid w:val="1E9860B9"/>
    <w:rsid w:val="1E990AA4"/>
    <w:rsid w:val="1E9B0CC0"/>
    <w:rsid w:val="1E9B481C"/>
    <w:rsid w:val="1E9C2E47"/>
    <w:rsid w:val="1E9D2342"/>
    <w:rsid w:val="1EA42B93"/>
    <w:rsid w:val="1EA44C0D"/>
    <w:rsid w:val="1EA470CA"/>
    <w:rsid w:val="1EA5569B"/>
    <w:rsid w:val="1EA6379C"/>
    <w:rsid w:val="1EA638ED"/>
    <w:rsid w:val="1EA700D7"/>
    <w:rsid w:val="1EA9518B"/>
    <w:rsid w:val="1EAC2BFE"/>
    <w:rsid w:val="1EB11BD0"/>
    <w:rsid w:val="1EB12291"/>
    <w:rsid w:val="1EB1403F"/>
    <w:rsid w:val="1EB27513"/>
    <w:rsid w:val="1EB27D68"/>
    <w:rsid w:val="1EB4768C"/>
    <w:rsid w:val="1EB60F0D"/>
    <w:rsid w:val="1EB8717C"/>
    <w:rsid w:val="1EBA1146"/>
    <w:rsid w:val="1EBB4EBE"/>
    <w:rsid w:val="1EBC3110"/>
    <w:rsid w:val="1EBE6205"/>
    <w:rsid w:val="1EBE630B"/>
    <w:rsid w:val="1EC04283"/>
    <w:rsid w:val="1EC10726"/>
    <w:rsid w:val="1EC1269B"/>
    <w:rsid w:val="1EC24C8C"/>
    <w:rsid w:val="1EC71AB5"/>
    <w:rsid w:val="1EC93137"/>
    <w:rsid w:val="1EC975DB"/>
    <w:rsid w:val="1ECC2C27"/>
    <w:rsid w:val="1ECE699F"/>
    <w:rsid w:val="1ED02718"/>
    <w:rsid w:val="1ED33FB6"/>
    <w:rsid w:val="1ED55F80"/>
    <w:rsid w:val="1ED8781E"/>
    <w:rsid w:val="1EDB4A9C"/>
    <w:rsid w:val="1EDD1986"/>
    <w:rsid w:val="1EE12B77"/>
    <w:rsid w:val="1EE23397"/>
    <w:rsid w:val="1EE40026"/>
    <w:rsid w:val="1EE408E7"/>
    <w:rsid w:val="1EE41767"/>
    <w:rsid w:val="1EE61F3B"/>
    <w:rsid w:val="1EE661DE"/>
    <w:rsid w:val="1EE7180F"/>
    <w:rsid w:val="1EE73F05"/>
    <w:rsid w:val="1EE80651"/>
    <w:rsid w:val="1EE81578"/>
    <w:rsid w:val="1EE96883"/>
    <w:rsid w:val="1EEA12FF"/>
    <w:rsid w:val="1EEB57A3"/>
    <w:rsid w:val="1EEB7FC7"/>
    <w:rsid w:val="1EEC3664"/>
    <w:rsid w:val="1EEE2B9E"/>
    <w:rsid w:val="1EEE7042"/>
    <w:rsid w:val="1EF04B68"/>
    <w:rsid w:val="1EF26B32"/>
    <w:rsid w:val="1EF47B1B"/>
    <w:rsid w:val="1EF63B7C"/>
    <w:rsid w:val="1EF65EF6"/>
    <w:rsid w:val="1EF74148"/>
    <w:rsid w:val="1EFA618B"/>
    <w:rsid w:val="1EFB41C1"/>
    <w:rsid w:val="1EFB52BB"/>
    <w:rsid w:val="1EFD2A91"/>
    <w:rsid w:val="1EFD54D7"/>
    <w:rsid w:val="1EFF4DAB"/>
    <w:rsid w:val="1F091FF2"/>
    <w:rsid w:val="1F0979D8"/>
    <w:rsid w:val="1F0D396C"/>
    <w:rsid w:val="1F100D66"/>
    <w:rsid w:val="1F1024DE"/>
    <w:rsid w:val="1F106FB8"/>
    <w:rsid w:val="1F132604"/>
    <w:rsid w:val="1F134049"/>
    <w:rsid w:val="1F134CFA"/>
    <w:rsid w:val="1F144534"/>
    <w:rsid w:val="1F190DB2"/>
    <w:rsid w:val="1F1A3993"/>
    <w:rsid w:val="1F1A7E37"/>
    <w:rsid w:val="1F1D16D5"/>
    <w:rsid w:val="1F2111C5"/>
    <w:rsid w:val="1F221709"/>
    <w:rsid w:val="1F244811"/>
    <w:rsid w:val="1F26058A"/>
    <w:rsid w:val="1F262338"/>
    <w:rsid w:val="1F271DA9"/>
    <w:rsid w:val="1F274302"/>
    <w:rsid w:val="1F282554"/>
    <w:rsid w:val="1F286A0B"/>
    <w:rsid w:val="1F291E28"/>
    <w:rsid w:val="1F2962CC"/>
    <w:rsid w:val="1F2B4AE4"/>
    <w:rsid w:val="1F2B5BA0"/>
    <w:rsid w:val="1F2B76C7"/>
    <w:rsid w:val="1F2D56F4"/>
    <w:rsid w:val="1F2D7B6A"/>
    <w:rsid w:val="1F3321C3"/>
    <w:rsid w:val="1F332CA6"/>
    <w:rsid w:val="1F372797"/>
    <w:rsid w:val="1F3D3B25"/>
    <w:rsid w:val="1F3F33F9"/>
    <w:rsid w:val="1F4149E1"/>
    <w:rsid w:val="1F43738D"/>
    <w:rsid w:val="1F4629DA"/>
    <w:rsid w:val="1F464788"/>
    <w:rsid w:val="1F483CA8"/>
    <w:rsid w:val="1F4849A4"/>
    <w:rsid w:val="1F486752"/>
    <w:rsid w:val="1F4924CA"/>
    <w:rsid w:val="1F4A1CC4"/>
    <w:rsid w:val="1F4C5B16"/>
    <w:rsid w:val="1F4D3D68"/>
    <w:rsid w:val="1F526383"/>
    <w:rsid w:val="1F5328D1"/>
    <w:rsid w:val="1F533349"/>
    <w:rsid w:val="1F536EA5"/>
    <w:rsid w:val="1F550E6F"/>
    <w:rsid w:val="1F562248"/>
    <w:rsid w:val="1F5631B7"/>
    <w:rsid w:val="1F570348"/>
    <w:rsid w:val="1F574BE7"/>
    <w:rsid w:val="1F58270D"/>
    <w:rsid w:val="1F5844BB"/>
    <w:rsid w:val="1F5A5839"/>
    <w:rsid w:val="1F5E41C7"/>
    <w:rsid w:val="1F5E56AC"/>
    <w:rsid w:val="1F5F584A"/>
    <w:rsid w:val="1F617814"/>
    <w:rsid w:val="1F621257"/>
    <w:rsid w:val="1F6501F2"/>
    <w:rsid w:val="1F672950"/>
    <w:rsid w:val="1F686DF4"/>
    <w:rsid w:val="1F69491A"/>
    <w:rsid w:val="1F6B0692"/>
    <w:rsid w:val="1F6B32B7"/>
    <w:rsid w:val="1F6E3CDF"/>
    <w:rsid w:val="1F705409"/>
    <w:rsid w:val="1F70574E"/>
    <w:rsid w:val="1F705CA9"/>
    <w:rsid w:val="1F707A57"/>
    <w:rsid w:val="1F713AC0"/>
    <w:rsid w:val="1F721A21"/>
    <w:rsid w:val="1F7312F5"/>
    <w:rsid w:val="1F745799"/>
    <w:rsid w:val="1F750F3C"/>
    <w:rsid w:val="1F7664A2"/>
    <w:rsid w:val="1F770DE5"/>
    <w:rsid w:val="1F792DAF"/>
    <w:rsid w:val="1F7A36E2"/>
    <w:rsid w:val="1F7A6B27"/>
    <w:rsid w:val="1F7C0BD3"/>
    <w:rsid w:val="1F7C1DF0"/>
    <w:rsid w:val="1F7C289F"/>
    <w:rsid w:val="1F7C464D"/>
    <w:rsid w:val="1F8037A2"/>
    <w:rsid w:val="1F817EB6"/>
    <w:rsid w:val="1F8359DC"/>
    <w:rsid w:val="1F84096D"/>
    <w:rsid w:val="1F8452B0"/>
    <w:rsid w:val="1F8654CC"/>
    <w:rsid w:val="1F877D40"/>
    <w:rsid w:val="1F896D6A"/>
    <w:rsid w:val="1F8B4634"/>
    <w:rsid w:val="1F901EA7"/>
    <w:rsid w:val="1F906B9D"/>
    <w:rsid w:val="1F95570F"/>
    <w:rsid w:val="1F9803AC"/>
    <w:rsid w:val="1F996FAD"/>
    <w:rsid w:val="1F9D6372"/>
    <w:rsid w:val="1F9E45C4"/>
    <w:rsid w:val="1FA31BDA"/>
    <w:rsid w:val="1FA53BA4"/>
    <w:rsid w:val="1FA56F61"/>
    <w:rsid w:val="1FA63880"/>
    <w:rsid w:val="1FA63E40"/>
    <w:rsid w:val="1FAA11BB"/>
    <w:rsid w:val="1FAA6D9C"/>
    <w:rsid w:val="1FAA740D"/>
    <w:rsid w:val="1FAB1FB4"/>
    <w:rsid w:val="1FAD7076"/>
    <w:rsid w:val="1FAE6095"/>
    <w:rsid w:val="1FAE6E77"/>
    <w:rsid w:val="1FAF05CF"/>
    <w:rsid w:val="1FB01AC3"/>
    <w:rsid w:val="1FB042F7"/>
    <w:rsid w:val="1FB060A5"/>
    <w:rsid w:val="1FB2006F"/>
    <w:rsid w:val="1FB55DDB"/>
    <w:rsid w:val="1FB913FE"/>
    <w:rsid w:val="1FBA5A84"/>
    <w:rsid w:val="1FBB33C8"/>
    <w:rsid w:val="1FC009DE"/>
    <w:rsid w:val="1FC102B2"/>
    <w:rsid w:val="1FC17307"/>
    <w:rsid w:val="1FC45279"/>
    <w:rsid w:val="1FC64AE8"/>
    <w:rsid w:val="1FC66B82"/>
    <w:rsid w:val="1FC834F8"/>
    <w:rsid w:val="1FC85AE5"/>
    <w:rsid w:val="1FC861C3"/>
    <w:rsid w:val="1FCA53B9"/>
    <w:rsid w:val="1FCB7383"/>
    <w:rsid w:val="1FCC2D57"/>
    <w:rsid w:val="1FCC2F8A"/>
    <w:rsid w:val="1FCD30FB"/>
    <w:rsid w:val="1FCE666B"/>
    <w:rsid w:val="1FD04999"/>
    <w:rsid w:val="1FD06747"/>
    <w:rsid w:val="1FD40B49"/>
    <w:rsid w:val="1FD55B0C"/>
    <w:rsid w:val="1FD664AC"/>
    <w:rsid w:val="1FD91963"/>
    <w:rsid w:val="1FD955FC"/>
    <w:rsid w:val="1FD96E6A"/>
    <w:rsid w:val="1FDB5818"/>
    <w:rsid w:val="1FDB5917"/>
    <w:rsid w:val="1FDC39AC"/>
    <w:rsid w:val="1FDC50EC"/>
    <w:rsid w:val="1FDF2C4A"/>
    <w:rsid w:val="1FE02E2E"/>
    <w:rsid w:val="1FE04BDC"/>
    <w:rsid w:val="1FE10954"/>
    <w:rsid w:val="1FE12702"/>
    <w:rsid w:val="1FE346CD"/>
    <w:rsid w:val="1FE3647B"/>
    <w:rsid w:val="1FE7539E"/>
    <w:rsid w:val="1FE82F8E"/>
    <w:rsid w:val="1FED72F9"/>
    <w:rsid w:val="1FEF6B89"/>
    <w:rsid w:val="1FF02946"/>
    <w:rsid w:val="1FF17BC1"/>
    <w:rsid w:val="1FF24910"/>
    <w:rsid w:val="1FF5149A"/>
    <w:rsid w:val="1FF561F6"/>
    <w:rsid w:val="1FF57F5C"/>
    <w:rsid w:val="1FF76BF0"/>
    <w:rsid w:val="1FF97A4C"/>
    <w:rsid w:val="1FFB7497"/>
    <w:rsid w:val="1FFC6DA3"/>
    <w:rsid w:val="1FFE1506"/>
    <w:rsid w:val="1FFF5BE5"/>
    <w:rsid w:val="1FFF7B4F"/>
    <w:rsid w:val="20025C29"/>
    <w:rsid w:val="200A1C59"/>
    <w:rsid w:val="200C3C23"/>
    <w:rsid w:val="200D1749"/>
    <w:rsid w:val="200D799B"/>
    <w:rsid w:val="200F259F"/>
    <w:rsid w:val="200F37D4"/>
    <w:rsid w:val="200F7270"/>
    <w:rsid w:val="201214A7"/>
    <w:rsid w:val="20123C52"/>
    <w:rsid w:val="201605FE"/>
    <w:rsid w:val="20177E0F"/>
    <w:rsid w:val="201B3E66"/>
    <w:rsid w:val="201B5C14"/>
    <w:rsid w:val="202366CA"/>
    <w:rsid w:val="20254CE5"/>
    <w:rsid w:val="202A22FB"/>
    <w:rsid w:val="202A40A9"/>
    <w:rsid w:val="202B310C"/>
    <w:rsid w:val="202C1A4E"/>
    <w:rsid w:val="202C7E22"/>
    <w:rsid w:val="202D5948"/>
    <w:rsid w:val="202F7912"/>
    <w:rsid w:val="20306244"/>
    <w:rsid w:val="20307817"/>
    <w:rsid w:val="2031368A"/>
    <w:rsid w:val="203211B0"/>
    <w:rsid w:val="20322137"/>
    <w:rsid w:val="20325F7E"/>
    <w:rsid w:val="20326124"/>
    <w:rsid w:val="20331AED"/>
    <w:rsid w:val="20344F28"/>
    <w:rsid w:val="203647FC"/>
    <w:rsid w:val="20374989"/>
    <w:rsid w:val="20384E3A"/>
    <w:rsid w:val="203B433A"/>
    <w:rsid w:val="203E1903"/>
    <w:rsid w:val="203E6575"/>
    <w:rsid w:val="2040567B"/>
    <w:rsid w:val="20427645"/>
    <w:rsid w:val="20450EE3"/>
    <w:rsid w:val="20451CEE"/>
    <w:rsid w:val="20452C91"/>
    <w:rsid w:val="20457135"/>
    <w:rsid w:val="20497687"/>
    <w:rsid w:val="204E7827"/>
    <w:rsid w:val="204F3B10"/>
    <w:rsid w:val="204F58BE"/>
    <w:rsid w:val="204F6CA8"/>
    <w:rsid w:val="20511636"/>
    <w:rsid w:val="205253AE"/>
    <w:rsid w:val="20542ED4"/>
    <w:rsid w:val="205454D1"/>
    <w:rsid w:val="20547378"/>
    <w:rsid w:val="20551974"/>
    <w:rsid w:val="20555822"/>
    <w:rsid w:val="205630F0"/>
    <w:rsid w:val="205904EB"/>
    <w:rsid w:val="2059673D"/>
    <w:rsid w:val="205C7FDB"/>
    <w:rsid w:val="20605AD2"/>
    <w:rsid w:val="20621A95"/>
    <w:rsid w:val="2063092D"/>
    <w:rsid w:val="206375BB"/>
    <w:rsid w:val="20671BE0"/>
    <w:rsid w:val="20680EF0"/>
    <w:rsid w:val="20686980"/>
    <w:rsid w:val="206A26F8"/>
    <w:rsid w:val="206A55D9"/>
    <w:rsid w:val="206D42C0"/>
    <w:rsid w:val="206F7D0E"/>
    <w:rsid w:val="20711CD8"/>
    <w:rsid w:val="207318E2"/>
    <w:rsid w:val="2073362B"/>
    <w:rsid w:val="207417C9"/>
    <w:rsid w:val="2077683A"/>
    <w:rsid w:val="207812B9"/>
    <w:rsid w:val="20784E15"/>
    <w:rsid w:val="20790D04"/>
    <w:rsid w:val="2079293B"/>
    <w:rsid w:val="207D76D5"/>
    <w:rsid w:val="207E0625"/>
    <w:rsid w:val="207E073E"/>
    <w:rsid w:val="207E43F5"/>
    <w:rsid w:val="20827A66"/>
    <w:rsid w:val="208319DF"/>
    <w:rsid w:val="20851D0B"/>
    <w:rsid w:val="20857EDE"/>
    <w:rsid w:val="20887022"/>
    <w:rsid w:val="20895C0A"/>
    <w:rsid w:val="208A4B48"/>
    <w:rsid w:val="208E288A"/>
    <w:rsid w:val="20914128"/>
    <w:rsid w:val="2093163A"/>
    <w:rsid w:val="20943C19"/>
    <w:rsid w:val="209470A0"/>
    <w:rsid w:val="20947775"/>
    <w:rsid w:val="20963CB8"/>
    <w:rsid w:val="209B13A7"/>
    <w:rsid w:val="209D0D1F"/>
    <w:rsid w:val="209E23A2"/>
    <w:rsid w:val="20A025BE"/>
    <w:rsid w:val="20A07065"/>
    <w:rsid w:val="20A21E92"/>
    <w:rsid w:val="20A57BD4"/>
    <w:rsid w:val="20A63FA3"/>
    <w:rsid w:val="20A756FA"/>
    <w:rsid w:val="20A774A8"/>
    <w:rsid w:val="20A81A1B"/>
    <w:rsid w:val="20A83220"/>
    <w:rsid w:val="20A94E3B"/>
    <w:rsid w:val="20AB586A"/>
    <w:rsid w:val="20B00359"/>
    <w:rsid w:val="20B07FB6"/>
    <w:rsid w:val="20B120D5"/>
    <w:rsid w:val="20B147CB"/>
    <w:rsid w:val="20B16579"/>
    <w:rsid w:val="20B24A5D"/>
    <w:rsid w:val="20B322F1"/>
    <w:rsid w:val="20B57B0A"/>
    <w:rsid w:val="20B646FB"/>
    <w:rsid w:val="20B757A6"/>
    <w:rsid w:val="20B816B5"/>
    <w:rsid w:val="20BA367F"/>
    <w:rsid w:val="20BA379C"/>
    <w:rsid w:val="20BB11A5"/>
    <w:rsid w:val="20BB2B59"/>
    <w:rsid w:val="20BB73F7"/>
    <w:rsid w:val="20BD6CCC"/>
    <w:rsid w:val="20C07D16"/>
    <w:rsid w:val="20C242E2"/>
    <w:rsid w:val="20C67591"/>
    <w:rsid w:val="20C718F8"/>
    <w:rsid w:val="20C938C2"/>
    <w:rsid w:val="20C95670"/>
    <w:rsid w:val="20CA3197"/>
    <w:rsid w:val="20CB21A8"/>
    <w:rsid w:val="20CB3758"/>
    <w:rsid w:val="20CC6F0F"/>
    <w:rsid w:val="20CD1665"/>
    <w:rsid w:val="20D109C9"/>
    <w:rsid w:val="20D364EF"/>
    <w:rsid w:val="20D61B3B"/>
    <w:rsid w:val="20D81D57"/>
    <w:rsid w:val="20DA23E3"/>
    <w:rsid w:val="20DD111C"/>
    <w:rsid w:val="20DD55C0"/>
    <w:rsid w:val="20DF4E94"/>
    <w:rsid w:val="20E406FC"/>
    <w:rsid w:val="20E701EC"/>
    <w:rsid w:val="20E95D13"/>
    <w:rsid w:val="20EC75B1"/>
    <w:rsid w:val="20EE157B"/>
    <w:rsid w:val="20EE3329"/>
    <w:rsid w:val="20F12E19"/>
    <w:rsid w:val="20F16975"/>
    <w:rsid w:val="20F24AC1"/>
    <w:rsid w:val="20F3093F"/>
    <w:rsid w:val="20F36B91"/>
    <w:rsid w:val="20F6042F"/>
    <w:rsid w:val="20F87D04"/>
    <w:rsid w:val="20FA1B12"/>
    <w:rsid w:val="20FA3A7C"/>
    <w:rsid w:val="20FB5A46"/>
    <w:rsid w:val="20FB77F4"/>
    <w:rsid w:val="20FD17BE"/>
    <w:rsid w:val="20FD1BD4"/>
    <w:rsid w:val="20FD5403"/>
    <w:rsid w:val="20FF3BDD"/>
    <w:rsid w:val="20FF4F72"/>
    <w:rsid w:val="20FF5536"/>
    <w:rsid w:val="210163ED"/>
    <w:rsid w:val="21020B82"/>
    <w:rsid w:val="21042B4C"/>
    <w:rsid w:val="210448FA"/>
    <w:rsid w:val="21090163"/>
    <w:rsid w:val="210C1A01"/>
    <w:rsid w:val="210E7527"/>
    <w:rsid w:val="2110329F"/>
    <w:rsid w:val="21110DC5"/>
    <w:rsid w:val="21132D8F"/>
    <w:rsid w:val="211508B6"/>
    <w:rsid w:val="2115732A"/>
    <w:rsid w:val="2116462E"/>
    <w:rsid w:val="21164FD2"/>
    <w:rsid w:val="211803A6"/>
    <w:rsid w:val="211B39F2"/>
    <w:rsid w:val="211C60E8"/>
    <w:rsid w:val="211D6913"/>
    <w:rsid w:val="211D73CB"/>
    <w:rsid w:val="211F1734"/>
    <w:rsid w:val="2121360F"/>
    <w:rsid w:val="21220913"/>
    <w:rsid w:val="21222FD3"/>
    <w:rsid w:val="21254871"/>
    <w:rsid w:val="21273B64"/>
    <w:rsid w:val="212B2081"/>
    <w:rsid w:val="212E1977"/>
    <w:rsid w:val="213056EF"/>
    <w:rsid w:val="213351E0"/>
    <w:rsid w:val="213608D5"/>
    <w:rsid w:val="21380A48"/>
    <w:rsid w:val="213827F6"/>
    <w:rsid w:val="213B74B1"/>
    <w:rsid w:val="213F3B84"/>
    <w:rsid w:val="214178FD"/>
    <w:rsid w:val="21423675"/>
    <w:rsid w:val="214431B9"/>
    <w:rsid w:val="21454E8C"/>
    <w:rsid w:val="21463165"/>
    <w:rsid w:val="21466CC1"/>
    <w:rsid w:val="21470C8B"/>
    <w:rsid w:val="214C004F"/>
    <w:rsid w:val="214C62A1"/>
    <w:rsid w:val="214E5B76"/>
    <w:rsid w:val="214F28C1"/>
    <w:rsid w:val="21501BC9"/>
    <w:rsid w:val="21515666"/>
    <w:rsid w:val="21521B0A"/>
    <w:rsid w:val="215313DE"/>
    <w:rsid w:val="2153403E"/>
    <w:rsid w:val="21535882"/>
    <w:rsid w:val="21537630"/>
    <w:rsid w:val="215533A8"/>
    <w:rsid w:val="21575568"/>
    <w:rsid w:val="21587406"/>
    <w:rsid w:val="215A2310"/>
    <w:rsid w:val="215A451A"/>
    <w:rsid w:val="215A6C10"/>
    <w:rsid w:val="215B0C06"/>
    <w:rsid w:val="215D04AF"/>
    <w:rsid w:val="215D225D"/>
    <w:rsid w:val="215F5FD5"/>
    <w:rsid w:val="215F7D83"/>
    <w:rsid w:val="21645399"/>
    <w:rsid w:val="21647640"/>
    <w:rsid w:val="21651998"/>
    <w:rsid w:val="216830DB"/>
    <w:rsid w:val="216B4F1E"/>
    <w:rsid w:val="216C09A3"/>
    <w:rsid w:val="216C6E3A"/>
    <w:rsid w:val="217169F0"/>
    <w:rsid w:val="21740DB3"/>
    <w:rsid w:val="21751354"/>
    <w:rsid w:val="21754B83"/>
    <w:rsid w:val="217575A6"/>
    <w:rsid w:val="21771570"/>
    <w:rsid w:val="21780E44"/>
    <w:rsid w:val="217A4BBD"/>
    <w:rsid w:val="217A696B"/>
    <w:rsid w:val="217C0935"/>
    <w:rsid w:val="217D645B"/>
    <w:rsid w:val="217F21D3"/>
    <w:rsid w:val="217F6677"/>
    <w:rsid w:val="21815F4B"/>
    <w:rsid w:val="21830388"/>
    <w:rsid w:val="21837F15"/>
    <w:rsid w:val="21843C8D"/>
    <w:rsid w:val="218524DD"/>
    <w:rsid w:val="21867A05"/>
    <w:rsid w:val="2188552B"/>
    <w:rsid w:val="21893052"/>
    <w:rsid w:val="218A3F2C"/>
    <w:rsid w:val="218B6DCA"/>
    <w:rsid w:val="218C669E"/>
    <w:rsid w:val="218D2B42"/>
    <w:rsid w:val="218D48F0"/>
    <w:rsid w:val="218E0668"/>
    <w:rsid w:val="2190618E"/>
    <w:rsid w:val="219554FF"/>
    <w:rsid w:val="219B5360"/>
    <w:rsid w:val="219D2B8D"/>
    <w:rsid w:val="219E48CE"/>
    <w:rsid w:val="21A25EC1"/>
    <w:rsid w:val="21A41C3A"/>
    <w:rsid w:val="21A60BF8"/>
    <w:rsid w:val="21A97250"/>
    <w:rsid w:val="21AB2FC8"/>
    <w:rsid w:val="21AC3BEE"/>
    <w:rsid w:val="21AD6D40"/>
    <w:rsid w:val="21AE4866"/>
    <w:rsid w:val="21B05C47"/>
    <w:rsid w:val="21B25A0E"/>
    <w:rsid w:val="21B31E7D"/>
    <w:rsid w:val="21B53E47"/>
    <w:rsid w:val="21B82E88"/>
    <w:rsid w:val="21B93937"/>
    <w:rsid w:val="21BC592B"/>
    <w:rsid w:val="21BC6F83"/>
    <w:rsid w:val="21BE5034"/>
    <w:rsid w:val="21C14169"/>
    <w:rsid w:val="21C1459A"/>
    <w:rsid w:val="21C15145"/>
    <w:rsid w:val="21C35711"/>
    <w:rsid w:val="21C4408A"/>
    <w:rsid w:val="21C53A89"/>
    <w:rsid w:val="21C66054"/>
    <w:rsid w:val="21C75AB9"/>
    <w:rsid w:val="21CB5418"/>
    <w:rsid w:val="21CD2F3E"/>
    <w:rsid w:val="21CE6CB6"/>
    <w:rsid w:val="21CF0A3A"/>
    <w:rsid w:val="21CF315A"/>
    <w:rsid w:val="21D02A2F"/>
    <w:rsid w:val="21D20555"/>
    <w:rsid w:val="21D249F9"/>
    <w:rsid w:val="21D42EA6"/>
    <w:rsid w:val="21D70261"/>
    <w:rsid w:val="21D75F99"/>
    <w:rsid w:val="21D97B35"/>
    <w:rsid w:val="21DC5877"/>
    <w:rsid w:val="21DE15EF"/>
    <w:rsid w:val="21DE318A"/>
    <w:rsid w:val="21DF0EC4"/>
    <w:rsid w:val="21E00810"/>
    <w:rsid w:val="21E0234B"/>
    <w:rsid w:val="21E12E8E"/>
    <w:rsid w:val="21E34462"/>
    <w:rsid w:val="21E43948"/>
    <w:rsid w:val="21E604A4"/>
    <w:rsid w:val="21E62252"/>
    <w:rsid w:val="21E77118"/>
    <w:rsid w:val="21E85FCA"/>
    <w:rsid w:val="21EB27A9"/>
    <w:rsid w:val="21ED35E0"/>
    <w:rsid w:val="21EF5B80"/>
    <w:rsid w:val="21EF7359"/>
    <w:rsid w:val="21F04E7F"/>
    <w:rsid w:val="21F66939"/>
    <w:rsid w:val="21F77FBB"/>
    <w:rsid w:val="21F84C78"/>
    <w:rsid w:val="21F91F85"/>
    <w:rsid w:val="21FC3824"/>
    <w:rsid w:val="22007FFE"/>
    <w:rsid w:val="220529E0"/>
    <w:rsid w:val="2208666C"/>
    <w:rsid w:val="22094255"/>
    <w:rsid w:val="22097CEF"/>
    <w:rsid w:val="220A5F40"/>
    <w:rsid w:val="220B1CB9"/>
    <w:rsid w:val="220B214E"/>
    <w:rsid w:val="220D3C83"/>
    <w:rsid w:val="220D5A31"/>
    <w:rsid w:val="220D77DF"/>
    <w:rsid w:val="220E6305"/>
    <w:rsid w:val="220F79FB"/>
    <w:rsid w:val="22123047"/>
    <w:rsid w:val="2217065D"/>
    <w:rsid w:val="2217240B"/>
    <w:rsid w:val="22173DF1"/>
    <w:rsid w:val="221768AF"/>
    <w:rsid w:val="22192627"/>
    <w:rsid w:val="221943D6"/>
    <w:rsid w:val="22196184"/>
    <w:rsid w:val="221A1EFC"/>
    <w:rsid w:val="221C3EC6"/>
    <w:rsid w:val="221D2FD1"/>
    <w:rsid w:val="221F6158"/>
    <w:rsid w:val="221F7512"/>
    <w:rsid w:val="22244B28"/>
    <w:rsid w:val="222A0391"/>
    <w:rsid w:val="222A326B"/>
    <w:rsid w:val="222A5E3C"/>
    <w:rsid w:val="222B1F06"/>
    <w:rsid w:val="222D1BEC"/>
    <w:rsid w:val="222D70D5"/>
    <w:rsid w:val="222D7E81"/>
    <w:rsid w:val="223229E0"/>
    <w:rsid w:val="223236E9"/>
    <w:rsid w:val="22325497"/>
    <w:rsid w:val="2234120F"/>
    <w:rsid w:val="223415DC"/>
    <w:rsid w:val="22350AE4"/>
    <w:rsid w:val="22356D36"/>
    <w:rsid w:val="223631D9"/>
    <w:rsid w:val="22364F87"/>
    <w:rsid w:val="223B235D"/>
    <w:rsid w:val="223E37EF"/>
    <w:rsid w:val="223E3E3C"/>
    <w:rsid w:val="22407BB4"/>
    <w:rsid w:val="224240C3"/>
    <w:rsid w:val="224559A0"/>
    <w:rsid w:val="224A0A33"/>
    <w:rsid w:val="224A27E1"/>
    <w:rsid w:val="224D11D6"/>
    <w:rsid w:val="224D22D1"/>
    <w:rsid w:val="224D61E2"/>
    <w:rsid w:val="22511DC1"/>
    <w:rsid w:val="22535048"/>
    <w:rsid w:val="22537439"/>
    <w:rsid w:val="225418B2"/>
    <w:rsid w:val="22552F34"/>
    <w:rsid w:val="225673D8"/>
    <w:rsid w:val="22572153"/>
    <w:rsid w:val="22573150"/>
    <w:rsid w:val="22576990"/>
    <w:rsid w:val="225937F5"/>
    <w:rsid w:val="225B2C40"/>
    <w:rsid w:val="225B49EE"/>
    <w:rsid w:val="225B679C"/>
    <w:rsid w:val="225E003A"/>
    <w:rsid w:val="225E628C"/>
    <w:rsid w:val="22600256"/>
    <w:rsid w:val="22603DB2"/>
    <w:rsid w:val="226338A3"/>
    <w:rsid w:val="2265586D"/>
    <w:rsid w:val="22665141"/>
    <w:rsid w:val="2268710B"/>
    <w:rsid w:val="22694385"/>
    <w:rsid w:val="226A2E83"/>
    <w:rsid w:val="226C6BFB"/>
    <w:rsid w:val="226D4721"/>
    <w:rsid w:val="226E1C50"/>
    <w:rsid w:val="22705C25"/>
    <w:rsid w:val="2271479E"/>
    <w:rsid w:val="22715D97"/>
    <w:rsid w:val="22717D6E"/>
    <w:rsid w:val="227317B0"/>
    <w:rsid w:val="22737316"/>
    <w:rsid w:val="22737F8A"/>
    <w:rsid w:val="22745AB0"/>
    <w:rsid w:val="22757FF3"/>
    <w:rsid w:val="227B50B8"/>
    <w:rsid w:val="227C56E4"/>
    <w:rsid w:val="227D2BB6"/>
    <w:rsid w:val="227E06DD"/>
    <w:rsid w:val="227F4065"/>
    <w:rsid w:val="22804328"/>
    <w:rsid w:val="22837AA1"/>
    <w:rsid w:val="228710B6"/>
    <w:rsid w:val="22877591"/>
    <w:rsid w:val="228C4BA7"/>
    <w:rsid w:val="2291491A"/>
    <w:rsid w:val="22916662"/>
    <w:rsid w:val="22941CAE"/>
    <w:rsid w:val="22946B0B"/>
    <w:rsid w:val="22962F1E"/>
    <w:rsid w:val="2297354C"/>
    <w:rsid w:val="2298262F"/>
    <w:rsid w:val="229B4DEB"/>
    <w:rsid w:val="229C4DC3"/>
    <w:rsid w:val="229D5007"/>
    <w:rsid w:val="22A00897"/>
    <w:rsid w:val="22A01B3C"/>
    <w:rsid w:val="22A30143"/>
    <w:rsid w:val="22A31FFC"/>
    <w:rsid w:val="22A5726E"/>
    <w:rsid w:val="22A77C33"/>
    <w:rsid w:val="22AA16E5"/>
    <w:rsid w:val="22AA3280"/>
    <w:rsid w:val="22AB7FD0"/>
    <w:rsid w:val="22AD02F2"/>
    <w:rsid w:val="22B06CF8"/>
    <w:rsid w:val="22B12860"/>
    <w:rsid w:val="22B3482A"/>
    <w:rsid w:val="22B440FE"/>
    <w:rsid w:val="22B45EAC"/>
    <w:rsid w:val="22B61C24"/>
    <w:rsid w:val="22B64134"/>
    <w:rsid w:val="22BA5BB9"/>
    <w:rsid w:val="22BD1205"/>
    <w:rsid w:val="22BE0C0B"/>
    <w:rsid w:val="22BE4F7D"/>
    <w:rsid w:val="22BF31CF"/>
    <w:rsid w:val="22C50704"/>
    <w:rsid w:val="22CC58EC"/>
    <w:rsid w:val="22CC724F"/>
    <w:rsid w:val="22CE3412"/>
    <w:rsid w:val="22CE4F8B"/>
    <w:rsid w:val="22CF2CE6"/>
    <w:rsid w:val="22D14CB0"/>
    <w:rsid w:val="22D16A5E"/>
    <w:rsid w:val="22D24584"/>
    <w:rsid w:val="22D327D6"/>
    <w:rsid w:val="22D51DA9"/>
    <w:rsid w:val="22D60519"/>
    <w:rsid w:val="22D622C7"/>
    <w:rsid w:val="22DA1DB7"/>
    <w:rsid w:val="22DD5403"/>
    <w:rsid w:val="22DD61FD"/>
    <w:rsid w:val="22DE4F1F"/>
    <w:rsid w:val="22E04EF3"/>
    <w:rsid w:val="22E42C35"/>
    <w:rsid w:val="22E744D4"/>
    <w:rsid w:val="22E81FEB"/>
    <w:rsid w:val="22E82197"/>
    <w:rsid w:val="22EA7B20"/>
    <w:rsid w:val="22EF0A1B"/>
    <w:rsid w:val="22F24386"/>
    <w:rsid w:val="22F37B3A"/>
    <w:rsid w:val="22F4099F"/>
    <w:rsid w:val="22F47480"/>
    <w:rsid w:val="22F50E74"/>
    <w:rsid w:val="22F56BF1"/>
    <w:rsid w:val="22F866E1"/>
    <w:rsid w:val="22F875D7"/>
    <w:rsid w:val="22FB1D2D"/>
    <w:rsid w:val="22FB7F7F"/>
    <w:rsid w:val="22FD3CF7"/>
    <w:rsid w:val="22FE5379"/>
    <w:rsid w:val="23007343"/>
    <w:rsid w:val="230112AA"/>
    <w:rsid w:val="23024E6A"/>
    <w:rsid w:val="230323B3"/>
    <w:rsid w:val="23052BAC"/>
    <w:rsid w:val="230706D2"/>
    <w:rsid w:val="23090D89"/>
    <w:rsid w:val="2309444A"/>
    <w:rsid w:val="230A01C2"/>
    <w:rsid w:val="230A1F70"/>
    <w:rsid w:val="230B235C"/>
    <w:rsid w:val="230C7A96"/>
    <w:rsid w:val="230D465D"/>
    <w:rsid w:val="230F38AE"/>
    <w:rsid w:val="23103F57"/>
    <w:rsid w:val="23104268"/>
    <w:rsid w:val="231057D9"/>
    <w:rsid w:val="23111551"/>
    <w:rsid w:val="23112F9B"/>
    <w:rsid w:val="2312245C"/>
    <w:rsid w:val="23127632"/>
    <w:rsid w:val="23152DEF"/>
    <w:rsid w:val="23162CE5"/>
    <w:rsid w:val="231828DF"/>
    <w:rsid w:val="231A6657"/>
    <w:rsid w:val="231D1CA3"/>
    <w:rsid w:val="231E77CA"/>
    <w:rsid w:val="23205AE3"/>
    <w:rsid w:val="232272BA"/>
    <w:rsid w:val="23241284"/>
    <w:rsid w:val="23250B58"/>
    <w:rsid w:val="23255AD4"/>
    <w:rsid w:val="23264FFC"/>
    <w:rsid w:val="23270D74"/>
    <w:rsid w:val="23295F83"/>
    <w:rsid w:val="232A616E"/>
    <w:rsid w:val="232B1946"/>
    <w:rsid w:val="232E2103"/>
    <w:rsid w:val="232E5C5F"/>
    <w:rsid w:val="232F7AF4"/>
    <w:rsid w:val="23305E7B"/>
    <w:rsid w:val="23307C29"/>
    <w:rsid w:val="233139A1"/>
    <w:rsid w:val="23360212"/>
    <w:rsid w:val="23362D65"/>
    <w:rsid w:val="2336423E"/>
    <w:rsid w:val="23411E36"/>
    <w:rsid w:val="234741FD"/>
    <w:rsid w:val="2347737F"/>
    <w:rsid w:val="23490CEA"/>
    <w:rsid w:val="23496F3C"/>
    <w:rsid w:val="234B4A63"/>
    <w:rsid w:val="234B77EF"/>
    <w:rsid w:val="234C07DB"/>
    <w:rsid w:val="234C2589"/>
    <w:rsid w:val="234E4553"/>
    <w:rsid w:val="234E6301"/>
    <w:rsid w:val="235002CB"/>
    <w:rsid w:val="2351674C"/>
    <w:rsid w:val="23517B9F"/>
    <w:rsid w:val="2352568B"/>
    <w:rsid w:val="23531B69"/>
    <w:rsid w:val="235558E1"/>
    <w:rsid w:val="23571659"/>
    <w:rsid w:val="23580C2C"/>
    <w:rsid w:val="235949C4"/>
    <w:rsid w:val="235D02F2"/>
    <w:rsid w:val="235D6544"/>
    <w:rsid w:val="235F1CB2"/>
    <w:rsid w:val="2361251C"/>
    <w:rsid w:val="23614286"/>
    <w:rsid w:val="23616034"/>
    <w:rsid w:val="23646C5B"/>
    <w:rsid w:val="23665B38"/>
    <w:rsid w:val="23667501"/>
    <w:rsid w:val="23675615"/>
    <w:rsid w:val="2369138D"/>
    <w:rsid w:val="236D5F16"/>
    <w:rsid w:val="236E4019"/>
    <w:rsid w:val="237044C9"/>
    <w:rsid w:val="23705706"/>
    <w:rsid w:val="2375388E"/>
    <w:rsid w:val="237613B4"/>
    <w:rsid w:val="23767606"/>
    <w:rsid w:val="23773E1A"/>
    <w:rsid w:val="23775858"/>
    <w:rsid w:val="237C4C1C"/>
    <w:rsid w:val="237D2742"/>
    <w:rsid w:val="237D4825"/>
    <w:rsid w:val="23810484"/>
    <w:rsid w:val="23825FAA"/>
    <w:rsid w:val="23841D23"/>
    <w:rsid w:val="23847F75"/>
    <w:rsid w:val="23851CBD"/>
    <w:rsid w:val="2385664C"/>
    <w:rsid w:val="23861988"/>
    <w:rsid w:val="23863CED"/>
    <w:rsid w:val="2387114E"/>
    <w:rsid w:val="238735C1"/>
    <w:rsid w:val="23887A65"/>
    <w:rsid w:val="2389558B"/>
    <w:rsid w:val="23897339"/>
    <w:rsid w:val="238B30B1"/>
    <w:rsid w:val="238B4C82"/>
    <w:rsid w:val="238B4E5F"/>
    <w:rsid w:val="238D507B"/>
    <w:rsid w:val="23963804"/>
    <w:rsid w:val="23971A56"/>
    <w:rsid w:val="239857CE"/>
    <w:rsid w:val="239D2DE4"/>
    <w:rsid w:val="23A050B1"/>
    <w:rsid w:val="23A221A9"/>
    <w:rsid w:val="23A228CC"/>
    <w:rsid w:val="23A423C5"/>
    <w:rsid w:val="23A81EB5"/>
    <w:rsid w:val="23AC6A02"/>
    <w:rsid w:val="23AF6E65"/>
    <w:rsid w:val="23B02B18"/>
    <w:rsid w:val="23B100DE"/>
    <w:rsid w:val="23B1063E"/>
    <w:rsid w:val="23B3363E"/>
    <w:rsid w:val="23B33917"/>
    <w:rsid w:val="23B53384"/>
    <w:rsid w:val="23B75C54"/>
    <w:rsid w:val="23B819CC"/>
    <w:rsid w:val="23B87C1E"/>
    <w:rsid w:val="23B95E70"/>
    <w:rsid w:val="23BF71FF"/>
    <w:rsid w:val="23C12F77"/>
    <w:rsid w:val="23C276AD"/>
    <w:rsid w:val="23C30A9D"/>
    <w:rsid w:val="23C44815"/>
    <w:rsid w:val="23C87E61"/>
    <w:rsid w:val="23C94013"/>
    <w:rsid w:val="23CB7951"/>
    <w:rsid w:val="23CD5478"/>
    <w:rsid w:val="23CE7442"/>
    <w:rsid w:val="23D3133D"/>
    <w:rsid w:val="23D578E8"/>
    <w:rsid w:val="23D60213"/>
    <w:rsid w:val="23D60969"/>
    <w:rsid w:val="23D762F6"/>
    <w:rsid w:val="23DA1D0B"/>
    <w:rsid w:val="23DA7B95"/>
    <w:rsid w:val="23DC1B5F"/>
    <w:rsid w:val="23DC390D"/>
    <w:rsid w:val="23DD52E1"/>
    <w:rsid w:val="23DD5F2C"/>
    <w:rsid w:val="23DE1C48"/>
    <w:rsid w:val="23DE7685"/>
    <w:rsid w:val="23DF164F"/>
    <w:rsid w:val="23E0059C"/>
    <w:rsid w:val="23E17175"/>
    <w:rsid w:val="23E32EED"/>
    <w:rsid w:val="23E46C65"/>
    <w:rsid w:val="23E80503"/>
    <w:rsid w:val="23F01166"/>
    <w:rsid w:val="23F21382"/>
    <w:rsid w:val="23F24EDE"/>
    <w:rsid w:val="23F30CF0"/>
    <w:rsid w:val="23F32D8B"/>
    <w:rsid w:val="23F46EA8"/>
    <w:rsid w:val="23F52C20"/>
    <w:rsid w:val="23F724F4"/>
    <w:rsid w:val="23F86C88"/>
    <w:rsid w:val="23FA1FE5"/>
    <w:rsid w:val="23FB786F"/>
    <w:rsid w:val="23FC2818"/>
    <w:rsid w:val="23FC3FAF"/>
    <w:rsid w:val="23FC7B0B"/>
    <w:rsid w:val="23FE1376"/>
    <w:rsid w:val="23FF75FB"/>
    <w:rsid w:val="240115C5"/>
    <w:rsid w:val="24015121"/>
    <w:rsid w:val="240210CD"/>
    <w:rsid w:val="240510B5"/>
    <w:rsid w:val="24055833"/>
    <w:rsid w:val="24066BDB"/>
    <w:rsid w:val="240E507C"/>
    <w:rsid w:val="240F5A90"/>
    <w:rsid w:val="24101808"/>
    <w:rsid w:val="24125580"/>
    <w:rsid w:val="24126929"/>
    <w:rsid w:val="24156E1F"/>
    <w:rsid w:val="24174945"/>
    <w:rsid w:val="2418246B"/>
    <w:rsid w:val="241912F5"/>
    <w:rsid w:val="241D0508"/>
    <w:rsid w:val="241F1A4B"/>
    <w:rsid w:val="241F37F9"/>
    <w:rsid w:val="24207C9D"/>
    <w:rsid w:val="242157C3"/>
    <w:rsid w:val="2423778D"/>
    <w:rsid w:val="24253506"/>
    <w:rsid w:val="242552B4"/>
    <w:rsid w:val="24280900"/>
    <w:rsid w:val="242A28CA"/>
    <w:rsid w:val="242F1CC5"/>
    <w:rsid w:val="242F6132"/>
    <w:rsid w:val="243510D4"/>
    <w:rsid w:val="2435110C"/>
    <w:rsid w:val="2435553F"/>
    <w:rsid w:val="243A5492"/>
    <w:rsid w:val="243C43AB"/>
    <w:rsid w:val="243E0123"/>
    <w:rsid w:val="243E2436"/>
    <w:rsid w:val="244201DE"/>
    <w:rsid w:val="244235BD"/>
    <w:rsid w:val="24424696"/>
    <w:rsid w:val="2443573A"/>
    <w:rsid w:val="24457704"/>
    <w:rsid w:val="244855B8"/>
    <w:rsid w:val="244941B7"/>
    <w:rsid w:val="244B1E69"/>
    <w:rsid w:val="244D0366"/>
    <w:rsid w:val="244D65B8"/>
    <w:rsid w:val="24520A80"/>
    <w:rsid w:val="24545B99"/>
    <w:rsid w:val="245A1610"/>
    <w:rsid w:val="245B0CD5"/>
    <w:rsid w:val="245B2428"/>
    <w:rsid w:val="245F4CEC"/>
    <w:rsid w:val="246062EC"/>
    <w:rsid w:val="2463402E"/>
    <w:rsid w:val="246456B0"/>
    <w:rsid w:val="246501B2"/>
    <w:rsid w:val="24651B54"/>
    <w:rsid w:val="246851A0"/>
    <w:rsid w:val="246A0F18"/>
    <w:rsid w:val="246A53BC"/>
    <w:rsid w:val="246D4D39"/>
    <w:rsid w:val="246D6C5B"/>
    <w:rsid w:val="247104F9"/>
    <w:rsid w:val="24724271"/>
    <w:rsid w:val="24726D5D"/>
    <w:rsid w:val="247973AD"/>
    <w:rsid w:val="247B1377"/>
    <w:rsid w:val="247B3126"/>
    <w:rsid w:val="247D4C67"/>
    <w:rsid w:val="2480073C"/>
    <w:rsid w:val="2480698E"/>
    <w:rsid w:val="24816262"/>
    <w:rsid w:val="2483022C"/>
    <w:rsid w:val="2483647E"/>
    <w:rsid w:val="24853FA4"/>
    <w:rsid w:val="24863746"/>
    <w:rsid w:val="248720BC"/>
    <w:rsid w:val="24882D3A"/>
    <w:rsid w:val="24883A94"/>
    <w:rsid w:val="24886B31"/>
    <w:rsid w:val="248949DC"/>
    <w:rsid w:val="24897B3B"/>
    <w:rsid w:val="248A3369"/>
    <w:rsid w:val="248B078C"/>
    <w:rsid w:val="248B5F24"/>
    <w:rsid w:val="248C4458"/>
    <w:rsid w:val="248C6F23"/>
    <w:rsid w:val="248D1D5F"/>
    <w:rsid w:val="24912949"/>
    <w:rsid w:val="249146F7"/>
    <w:rsid w:val="249266C1"/>
    <w:rsid w:val="24941F9F"/>
    <w:rsid w:val="249661B1"/>
    <w:rsid w:val="24967F5F"/>
    <w:rsid w:val="24975A86"/>
    <w:rsid w:val="249C05E8"/>
    <w:rsid w:val="249C4E4A"/>
    <w:rsid w:val="249E0BC2"/>
    <w:rsid w:val="24A26904"/>
    <w:rsid w:val="24A26F41"/>
    <w:rsid w:val="24A33413"/>
    <w:rsid w:val="24A501A2"/>
    <w:rsid w:val="24A81A41"/>
    <w:rsid w:val="24A85EE5"/>
    <w:rsid w:val="24AA3DD5"/>
    <w:rsid w:val="24AC4FE1"/>
    <w:rsid w:val="24AE34FB"/>
    <w:rsid w:val="24AF7273"/>
    <w:rsid w:val="24B14D99"/>
    <w:rsid w:val="24B228BF"/>
    <w:rsid w:val="24B403E6"/>
    <w:rsid w:val="24B623B0"/>
    <w:rsid w:val="24B853ED"/>
    <w:rsid w:val="24B93C4E"/>
    <w:rsid w:val="24BC54EC"/>
    <w:rsid w:val="24BD3E74"/>
    <w:rsid w:val="24BF09F7"/>
    <w:rsid w:val="24C0322E"/>
    <w:rsid w:val="24C16820"/>
    <w:rsid w:val="24C34ACD"/>
    <w:rsid w:val="24C525F3"/>
    <w:rsid w:val="24C7636B"/>
    <w:rsid w:val="24C9000A"/>
    <w:rsid w:val="24CA5E5B"/>
    <w:rsid w:val="24CA6116"/>
    <w:rsid w:val="24CC2870"/>
    <w:rsid w:val="24D00F9B"/>
    <w:rsid w:val="24D34D10"/>
    <w:rsid w:val="24D40A88"/>
    <w:rsid w:val="24D80578"/>
    <w:rsid w:val="24D97FC8"/>
    <w:rsid w:val="24DB5972"/>
    <w:rsid w:val="24DD669C"/>
    <w:rsid w:val="24E16D01"/>
    <w:rsid w:val="24E32A79"/>
    <w:rsid w:val="24E3358F"/>
    <w:rsid w:val="24E54A43"/>
    <w:rsid w:val="24E61975"/>
    <w:rsid w:val="24E64FB3"/>
    <w:rsid w:val="24E707BB"/>
    <w:rsid w:val="24E72569"/>
    <w:rsid w:val="24E94533"/>
    <w:rsid w:val="24E97D18"/>
    <w:rsid w:val="24EC5DD1"/>
    <w:rsid w:val="24F1163A"/>
    <w:rsid w:val="24F15196"/>
    <w:rsid w:val="24F26F9C"/>
    <w:rsid w:val="24F627AC"/>
    <w:rsid w:val="24F84776"/>
    <w:rsid w:val="24F904EE"/>
    <w:rsid w:val="24FB3A0D"/>
    <w:rsid w:val="24FB4266"/>
    <w:rsid w:val="24FB7DC2"/>
    <w:rsid w:val="24FD7FDE"/>
    <w:rsid w:val="24FF3D57"/>
    <w:rsid w:val="250550E5"/>
    <w:rsid w:val="250824DF"/>
    <w:rsid w:val="25090731"/>
    <w:rsid w:val="25096983"/>
    <w:rsid w:val="250A44A9"/>
    <w:rsid w:val="250C0222"/>
    <w:rsid w:val="250C58E6"/>
    <w:rsid w:val="250D7AF6"/>
    <w:rsid w:val="250E3F9A"/>
    <w:rsid w:val="250E43F8"/>
    <w:rsid w:val="250F1AC0"/>
    <w:rsid w:val="250F7D12"/>
    <w:rsid w:val="251315B0"/>
    <w:rsid w:val="2513335E"/>
    <w:rsid w:val="251610A0"/>
    <w:rsid w:val="25186BC6"/>
    <w:rsid w:val="251946ED"/>
    <w:rsid w:val="25194C86"/>
    <w:rsid w:val="251B66B7"/>
    <w:rsid w:val="251D41DD"/>
    <w:rsid w:val="252029B8"/>
    <w:rsid w:val="25205589"/>
    <w:rsid w:val="252217F3"/>
    <w:rsid w:val="25276E09"/>
    <w:rsid w:val="25290B53"/>
    <w:rsid w:val="252A68FA"/>
    <w:rsid w:val="252C2672"/>
    <w:rsid w:val="252C4420"/>
    <w:rsid w:val="252D53FE"/>
    <w:rsid w:val="252E1F46"/>
    <w:rsid w:val="252E7CF3"/>
    <w:rsid w:val="25317C88"/>
    <w:rsid w:val="253432D4"/>
    <w:rsid w:val="253634F0"/>
    <w:rsid w:val="25377454"/>
    <w:rsid w:val="25382DC5"/>
    <w:rsid w:val="253A4D8F"/>
    <w:rsid w:val="253B4663"/>
    <w:rsid w:val="253F23A5"/>
    <w:rsid w:val="25401428"/>
    <w:rsid w:val="25461985"/>
    <w:rsid w:val="25470E2F"/>
    <w:rsid w:val="25496D80"/>
    <w:rsid w:val="254A0D4A"/>
    <w:rsid w:val="254B6F9C"/>
    <w:rsid w:val="25537BFE"/>
    <w:rsid w:val="25565941"/>
    <w:rsid w:val="25592D3B"/>
    <w:rsid w:val="255A3FD9"/>
    <w:rsid w:val="255B27C0"/>
    <w:rsid w:val="255D409B"/>
    <w:rsid w:val="255D5BB7"/>
    <w:rsid w:val="255D6CCF"/>
    <w:rsid w:val="255E0351"/>
    <w:rsid w:val="256114DC"/>
    <w:rsid w:val="256242E5"/>
    <w:rsid w:val="25627E42"/>
    <w:rsid w:val="256367EF"/>
    <w:rsid w:val="25674039"/>
    <w:rsid w:val="2567514D"/>
    <w:rsid w:val="25675458"/>
    <w:rsid w:val="25697422"/>
    <w:rsid w:val="256B13EC"/>
    <w:rsid w:val="256B319A"/>
    <w:rsid w:val="256E67E6"/>
    <w:rsid w:val="257007B0"/>
    <w:rsid w:val="25714529"/>
    <w:rsid w:val="2572277A"/>
    <w:rsid w:val="257506D0"/>
    <w:rsid w:val="25754238"/>
    <w:rsid w:val="25757B75"/>
    <w:rsid w:val="25787665"/>
    <w:rsid w:val="2579290F"/>
    <w:rsid w:val="257A33DD"/>
    <w:rsid w:val="257C41F1"/>
    <w:rsid w:val="257D111F"/>
    <w:rsid w:val="257F09F3"/>
    <w:rsid w:val="258424AE"/>
    <w:rsid w:val="2584425C"/>
    <w:rsid w:val="2584600A"/>
    <w:rsid w:val="25861774"/>
    <w:rsid w:val="258673AF"/>
    <w:rsid w:val="25893620"/>
    <w:rsid w:val="258A751E"/>
    <w:rsid w:val="258E37E2"/>
    <w:rsid w:val="258E6E89"/>
    <w:rsid w:val="259049AF"/>
    <w:rsid w:val="25911713"/>
    <w:rsid w:val="259124D5"/>
    <w:rsid w:val="25951FC5"/>
    <w:rsid w:val="2595302D"/>
    <w:rsid w:val="25972578"/>
    <w:rsid w:val="2599158E"/>
    <w:rsid w:val="259B3353"/>
    <w:rsid w:val="259C15A5"/>
    <w:rsid w:val="259D0E7A"/>
    <w:rsid w:val="259F4BF2"/>
    <w:rsid w:val="25A20B86"/>
    <w:rsid w:val="25A22934"/>
    <w:rsid w:val="25A246E2"/>
    <w:rsid w:val="25A470AB"/>
    <w:rsid w:val="25A71CF8"/>
    <w:rsid w:val="25A7793D"/>
    <w:rsid w:val="25A8590A"/>
    <w:rsid w:val="25A8619C"/>
    <w:rsid w:val="25A91F14"/>
    <w:rsid w:val="25AB17E9"/>
    <w:rsid w:val="25AC730F"/>
    <w:rsid w:val="25AD2429"/>
    <w:rsid w:val="25AE12D9"/>
    <w:rsid w:val="25AE752B"/>
    <w:rsid w:val="25B12B77"/>
    <w:rsid w:val="25B21D4E"/>
    <w:rsid w:val="25B3069D"/>
    <w:rsid w:val="25B368EF"/>
    <w:rsid w:val="25B370EB"/>
    <w:rsid w:val="25B508B9"/>
    <w:rsid w:val="25B83F05"/>
    <w:rsid w:val="25BA63D8"/>
    <w:rsid w:val="25BD776E"/>
    <w:rsid w:val="25C12DBA"/>
    <w:rsid w:val="25C40AFC"/>
    <w:rsid w:val="25C70BA3"/>
    <w:rsid w:val="25C7133B"/>
    <w:rsid w:val="25CB59E7"/>
    <w:rsid w:val="25CD42FA"/>
    <w:rsid w:val="25CE035B"/>
    <w:rsid w:val="25CE54D7"/>
    <w:rsid w:val="25D04052"/>
    <w:rsid w:val="25D23219"/>
    <w:rsid w:val="25D56865"/>
    <w:rsid w:val="25D616BE"/>
    <w:rsid w:val="25D6438C"/>
    <w:rsid w:val="25D655D1"/>
    <w:rsid w:val="25D7082F"/>
    <w:rsid w:val="25D845A8"/>
    <w:rsid w:val="25D86356"/>
    <w:rsid w:val="25DA003F"/>
    <w:rsid w:val="25DA0320"/>
    <w:rsid w:val="25DA20CE"/>
    <w:rsid w:val="25DB6286"/>
    <w:rsid w:val="25DD571A"/>
    <w:rsid w:val="25DF12AD"/>
    <w:rsid w:val="25E02770"/>
    <w:rsid w:val="25E20F82"/>
    <w:rsid w:val="25E32D48"/>
    <w:rsid w:val="25E371D4"/>
    <w:rsid w:val="25E44CFA"/>
    <w:rsid w:val="25E624D1"/>
    <w:rsid w:val="25E62821"/>
    <w:rsid w:val="25E66CC5"/>
    <w:rsid w:val="25E70E85"/>
    <w:rsid w:val="25E91BA6"/>
    <w:rsid w:val="25E940BF"/>
    <w:rsid w:val="25EA6054"/>
    <w:rsid w:val="25EC2A0C"/>
    <w:rsid w:val="25EC2D81"/>
    <w:rsid w:val="25EC3BAF"/>
    <w:rsid w:val="25EE7927"/>
    <w:rsid w:val="25EF12D0"/>
    <w:rsid w:val="25F747AF"/>
    <w:rsid w:val="25F81E87"/>
    <w:rsid w:val="25F824E5"/>
    <w:rsid w:val="25FA2A86"/>
    <w:rsid w:val="25FA476C"/>
    <w:rsid w:val="25FB5358"/>
    <w:rsid w:val="25FC33D9"/>
    <w:rsid w:val="25FD5DBC"/>
    <w:rsid w:val="25FE400E"/>
    <w:rsid w:val="25FF08CA"/>
    <w:rsid w:val="26000EED"/>
    <w:rsid w:val="260024CF"/>
    <w:rsid w:val="260158AC"/>
    <w:rsid w:val="2602467A"/>
    <w:rsid w:val="26032480"/>
    <w:rsid w:val="26040EF9"/>
    <w:rsid w:val="26054063"/>
    <w:rsid w:val="26062EC3"/>
    <w:rsid w:val="260704EC"/>
    <w:rsid w:val="26084E8D"/>
    <w:rsid w:val="26086C3B"/>
    <w:rsid w:val="260D24A3"/>
    <w:rsid w:val="26103D41"/>
    <w:rsid w:val="2610789E"/>
    <w:rsid w:val="26153106"/>
    <w:rsid w:val="26161F9E"/>
    <w:rsid w:val="26194ED4"/>
    <w:rsid w:val="26197D30"/>
    <w:rsid w:val="261A4BC0"/>
    <w:rsid w:val="261F5D33"/>
    <w:rsid w:val="2623077E"/>
    <w:rsid w:val="262339B3"/>
    <w:rsid w:val="26233A75"/>
    <w:rsid w:val="26243349"/>
    <w:rsid w:val="26265313"/>
    <w:rsid w:val="2628108B"/>
    <w:rsid w:val="26296BB1"/>
    <w:rsid w:val="262A4E03"/>
    <w:rsid w:val="262D044F"/>
    <w:rsid w:val="262E41C8"/>
    <w:rsid w:val="26306192"/>
    <w:rsid w:val="2631042A"/>
    <w:rsid w:val="26355556"/>
    <w:rsid w:val="26393298"/>
    <w:rsid w:val="263C4B36"/>
    <w:rsid w:val="263E265D"/>
    <w:rsid w:val="26413EFB"/>
    <w:rsid w:val="26415CA9"/>
    <w:rsid w:val="2642561E"/>
    <w:rsid w:val="26434146"/>
    <w:rsid w:val="26451C3D"/>
    <w:rsid w:val="26455A7C"/>
    <w:rsid w:val="26467763"/>
    <w:rsid w:val="2648423E"/>
    <w:rsid w:val="264A7253"/>
    <w:rsid w:val="264B6B28"/>
    <w:rsid w:val="264D737C"/>
    <w:rsid w:val="264E03C6"/>
    <w:rsid w:val="264F486A"/>
    <w:rsid w:val="264F6618"/>
    <w:rsid w:val="26527EB6"/>
    <w:rsid w:val="26555BF8"/>
    <w:rsid w:val="26556842"/>
    <w:rsid w:val="265754CC"/>
    <w:rsid w:val="26591245"/>
    <w:rsid w:val="265956E8"/>
    <w:rsid w:val="265B3E95"/>
    <w:rsid w:val="265C05F6"/>
    <w:rsid w:val="265D00EF"/>
    <w:rsid w:val="265E2CFF"/>
    <w:rsid w:val="2661459D"/>
    <w:rsid w:val="2661634B"/>
    <w:rsid w:val="26617513"/>
    <w:rsid w:val="26630315"/>
    <w:rsid w:val="2666570F"/>
    <w:rsid w:val="2668592C"/>
    <w:rsid w:val="266863F9"/>
    <w:rsid w:val="266A16A4"/>
    <w:rsid w:val="266C7AF3"/>
    <w:rsid w:val="26760048"/>
    <w:rsid w:val="26793695"/>
    <w:rsid w:val="26797B39"/>
    <w:rsid w:val="267B565F"/>
    <w:rsid w:val="267C6969"/>
    <w:rsid w:val="26802C75"/>
    <w:rsid w:val="26832765"/>
    <w:rsid w:val="26864004"/>
    <w:rsid w:val="26865DB2"/>
    <w:rsid w:val="268818DC"/>
    <w:rsid w:val="268830E0"/>
    <w:rsid w:val="268838D8"/>
    <w:rsid w:val="26887D7C"/>
    <w:rsid w:val="26890724"/>
    <w:rsid w:val="268B33C8"/>
    <w:rsid w:val="26914E82"/>
    <w:rsid w:val="26924756"/>
    <w:rsid w:val="26926505"/>
    <w:rsid w:val="2694227D"/>
    <w:rsid w:val="26955FF5"/>
    <w:rsid w:val="26964247"/>
    <w:rsid w:val="26971D6D"/>
    <w:rsid w:val="26986044"/>
    <w:rsid w:val="26997DE6"/>
    <w:rsid w:val="269E30FB"/>
    <w:rsid w:val="269F5235"/>
    <w:rsid w:val="26A06E73"/>
    <w:rsid w:val="26A236BB"/>
    <w:rsid w:val="26A36964"/>
    <w:rsid w:val="26A56238"/>
    <w:rsid w:val="26A6770D"/>
    <w:rsid w:val="26A802DF"/>
    <w:rsid w:val="26A85D28"/>
    <w:rsid w:val="26AA02F7"/>
    <w:rsid w:val="26AB309C"/>
    <w:rsid w:val="26AB5818"/>
    <w:rsid w:val="26AB75C6"/>
    <w:rsid w:val="26AB763C"/>
    <w:rsid w:val="26AF355A"/>
    <w:rsid w:val="26B11081"/>
    <w:rsid w:val="26B172D2"/>
    <w:rsid w:val="26B26BA7"/>
    <w:rsid w:val="26B741BD"/>
    <w:rsid w:val="26B91CE3"/>
    <w:rsid w:val="26BD4622"/>
    <w:rsid w:val="26BF0015"/>
    <w:rsid w:val="26C00BB3"/>
    <w:rsid w:val="26C11752"/>
    <w:rsid w:val="26C1503C"/>
    <w:rsid w:val="26C40874"/>
    <w:rsid w:val="26C50688"/>
    <w:rsid w:val="26C568DA"/>
    <w:rsid w:val="26C863CA"/>
    <w:rsid w:val="26CF59AB"/>
    <w:rsid w:val="26D1527F"/>
    <w:rsid w:val="26D22DA5"/>
    <w:rsid w:val="26D60AE7"/>
    <w:rsid w:val="26D63D39"/>
    <w:rsid w:val="26D7660D"/>
    <w:rsid w:val="26D94ED8"/>
    <w:rsid w:val="26DA1B4A"/>
    <w:rsid w:val="26DB434F"/>
    <w:rsid w:val="26DB60FD"/>
    <w:rsid w:val="26DD00C8"/>
    <w:rsid w:val="26DE174A"/>
    <w:rsid w:val="26E33204"/>
    <w:rsid w:val="26E477CD"/>
    <w:rsid w:val="26E66850"/>
    <w:rsid w:val="26E7357D"/>
    <w:rsid w:val="26E827E3"/>
    <w:rsid w:val="26E962BB"/>
    <w:rsid w:val="26EF1BA9"/>
    <w:rsid w:val="26EF3957"/>
    <w:rsid w:val="26F31699"/>
    <w:rsid w:val="26F43320"/>
    <w:rsid w:val="26F45411"/>
    <w:rsid w:val="26F64CE5"/>
    <w:rsid w:val="26F7280B"/>
    <w:rsid w:val="26F81E01"/>
    <w:rsid w:val="26F85C43"/>
    <w:rsid w:val="26FE2240"/>
    <w:rsid w:val="26FF1804"/>
    <w:rsid w:val="270218DC"/>
    <w:rsid w:val="2702368A"/>
    <w:rsid w:val="270513CC"/>
    <w:rsid w:val="27054F28"/>
    <w:rsid w:val="27076EF2"/>
    <w:rsid w:val="270C275B"/>
    <w:rsid w:val="270F0823"/>
    <w:rsid w:val="270F7B55"/>
    <w:rsid w:val="27100CAB"/>
    <w:rsid w:val="271138CD"/>
    <w:rsid w:val="27117D71"/>
    <w:rsid w:val="27127645"/>
    <w:rsid w:val="271433BD"/>
    <w:rsid w:val="27147861"/>
    <w:rsid w:val="271611CC"/>
    <w:rsid w:val="271745C6"/>
    <w:rsid w:val="27174C3C"/>
    <w:rsid w:val="271909D4"/>
    <w:rsid w:val="271B0BF0"/>
    <w:rsid w:val="271B299E"/>
    <w:rsid w:val="271F6B87"/>
    <w:rsid w:val="27214B9E"/>
    <w:rsid w:val="27223D2C"/>
    <w:rsid w:val="27247AA4"/>
    <w:rsid w:val="27277595"/>
    <w:rsid w:val="272A498F"/>
    <w:rsid w:val="272C4667"/>
    <w:rsid w:val="272C6959"/>
    <w:rsid w:val="272F6449"/>
    <w:rsid w:val="273157EE"/>
    <w:rsid w:val="273168CB"/>
    <w:rsid w:val="27343A60"/>
    <w:rsid w:val="27363334"/>
    <w:rsid w:val="273677D8"/>
    <w:rsid w:val="27391076"/>
    <w:rsid w:val="27391D70"/>
    <w:rsid w:val="27392E24"/>
    <w:rsid w:val="273A1B83"/>
    <w:rsid w:val="273B3040"/>
    <w:rsid w:val="273C17A5"/>
    <w:rsid w:val="273D2914"/>
    <w:rsid w:val="273E668C"/>
    <w:rsid w:val="27403573"/>
    <w:rsid w:val="2741351D"/>
    <w:rsid w:val="27432E3C"/>
    <w:rsid w:val="27455C6D"/>
    <w:rsid w:val="27457A1B"/>
    <w:rsid w:val="27465428"/>
    <w:rsid w:val="27476953"/>
    <w:rsid w:val="27483067"/>
    <w:rsid w:val="274A3283"/>
    <w:rsid w:val="274A5FED"/>
    <w:rsid w:val="274A6DDF"/>
    <w:rsid w:val="274C6FFB"/>
    <w:rsid w:val="274F2647"/>
    <w:rsid w:val="274F43F6"/>
    <w:rsid w:val="27514612"/>
    <w:rsid w:val="27524628"/>
    <w:rsid w:val="27541717"/>
    <w:rsid w:val="27587982"/>
    <w:rsid w:val="275A34C6"/>
    <w:rsid w:val="275D4D64"/>
    <w:rsid w:val="275F6D2E"/>
    <w:rsid w:val="27604855"/>
    <w:rsid w:val="27607710"/>
    <w:rsid w:val="27610D98"/>
    <w:rsid w:val="276205CD"/>
    <w:rsid w:val="2762237B"/>
    <w:rsid w:val="27633585"/>
    <w:rsid w:val="276500BD"/>
    <w:rsid w:val="2767173F"/>
    <w:rsid w:val="27675BE3"/>
    <w:rsid w:val="276C144B"/>
    <w:rsid w:val="276F1DF3"/>
    <w:rsid w:val="276F6846"/>
    <w:rsid w:val="277057A2"/>
    <w:rsid w:val="27716A62"/>
    <w:rsid w:val="27734588"/>
    <w:rsid w:val="27750300"/>
    <w:rsid w:val="27764078"/>
    <w:rsid w:val="27783FCF"/>
    <w:rsid w:val="27814EF7"/>
    <w:rsid w:val="278247CB"/>
    <w:rsid w:val="27826579"/>
    <w:rsid w:val="27833957"/>
    <w:rsid w:val="27833FA0"/>
    <w:rsid w:val="27840543"/>
    <w:rsid w:val="278422F1"/>
    <w:rsid w:val="27856069"/>
    <w:rsid w:val="27871DE1"/>
    <w:rsid w:val="278A123C"/>
    <w:rsid w:val="278B2E22"/>
    <w:rsid w:val="278B7B24"/>
    <w:rsid w:val="278C73F8"/>
    <w:rsid w:val="278D7BBD"/>
    <w:rsid w:val="278E3170"/>
    <w:rsid w:val="278F0C96"/>
    <w:rsid w:val="2790513A"/>
    <w:rsid w:val="27955DFF"/>
    <w:rsid w:val="27962024"/>
    <w:rsid w:val="279664C8"/>
    <w:rsid w:val="27974F81"/>
    <w:rsid w:val="27982240"/>
    <w:rsid w:val="27985D9D"/>
    <w:rsid w:val="279C437F"/>
    <w:rsid w:val="279F35CF"/>
    <w:rsid w:val="279F537D"/>
    <w:rsid w:val="27A02EA3"/>
    <w:rsid w:val="27A21AAD"/>
    <w:rsid w:val="27A243AF"/>
    <w:rsid w:val="27A24E6D"/>
    <w:rsid w:val="27A40BE5"/>
    <w:rsid w:val="27A73335"/>
    <w:rsid w:val="27A75FE0"/>
    <w:rsid w:val="27A97FAA"/>
    <w:rsid w:val="27B01338"/>
    <w:rsid w:val="27B0758A"/>
    <w:rsid w:val="27B34984"/>
    <w:rsid w:val="27B5694E"/>
    <w:rsid w:val="27B626C7"/>
    <w:rsid w:val="27B64475"/>
    <w:rsid w:val="27B85EE1"/>
    <w:rsid w:val="27B92B32"/>
    <w:rsid w:val="27BA21B7"/>
    <w:rsid w:val="27BA6BDA"/>
    <w:rsid w:val="27BD1CA7"/>
    <w:rsid w:val="27BE5369"/>
    <w:rsid w:val="27C00BA8"/>
    <w:rsid w:val="27C22E19"/>
    <w:rsid w:val="27C272BD"/>
    <w:rsid w:val="27C34EED"/>
    <w:rsid w:val="27C44DE4"/>
    <w:rsid w:val="27C6148F"/>
    <w:rsid w:val="27C84332"/>
    <w:rsid w:val="27C9064C"/>
    <w:rsid w:val="27CB335B"/>
    <w:rsid w:val="27CD5050"/>
    <w:rsid w:val="27CE5C62"/>
    <w:rsid w:val="27D00F92"/>
    <w:rsid w:val="27D03390"/>
    <w:rsid w:val="27D11836"/>
    <w:rsid w:val="27D35027"/>
    <w:rsid w:val="27D56233"/>
    <w:rsid w:val="27D663B3"/>
    <w:rsid w:val="27DA63B5"/>
    <w:rsid w:val="27DC0654"/>
    <w:rsid w:val="27DC706A"/>
    <w:rsid w:val="27DF1C1D"/>
    <w:rsid w:val="27DF39CB"/>
    <w:rsid w:val="27E47234"/>
    <w:rsid w:val="27E64D5A"/>
    <w:rsid w:val="27EB36B9"/>
    <w:rsid w:val="27EB411E"/>
    <w:rsid w:val="27EC7E96"/>
    <w:rsid w:val="27ED463A"/>
    <w:rsid w:val="27EF6F5A"/>
    <w:rsid w:val="27F4525C"/>
    <w:rsid w:val="27F531EF"/>
    <w:rsid w:val="27F75D53"/>
    <w:rsid w:val="27F82CDF"/>
    <w:rsid w:val="27FA6A57"/>
    <w:rsid w:val="27FC27CF"/>
    <w:rsid w:val="27FD412F"/>
    <w:rsid w:val="27FD4705"/>
    <w:rsid w:val="27FE6547"/>
    <w:rsid w:val="27FF5E1C"/>
    <w:rsid w:val="280276BA"/>
    <w:rsid w:val="28034E23"/>
    <w:rsid w:val="28041684"/>
    <w:rsid w:val="28055617"/>
    <w:rsid w:val="28090A48"/>
    <w:rsid w:val="280B2A12"/>
    <w:rsid w:val="280B656E"/>
    <w:rsid w:val="280D678A"/>
    <w:rsid w:val="280E42B1"/>
    <w:rsid w:val="280E605F"/>
    <w:rsid w:val="280E6192"/>
    <w:rsid w:val="281178FD"/>
    <w:rsid w:val="28123DA1"/>
    <w:rsid w:val="281318C7"/>
    <w:rsid w:val="28153891"/>
    <w:rsid w:val="281544E4"/>
    <w:rsid w:val="28162B75"/>
    <w:rsid w:val="28165BEE"/>
    <w:rsid w:val="28173165"/>
    <w:rsid w:val="28177609"/>
    <w:rsid w:val="281A0EA7"/>
    <w:rsid w:val="281B4AE7"/>
    <w:rsid w:val="281C4C20"/>
    <w:rsid w:val="281C69CE"/>
    <w:rsid w:val="281D44F4"/>
    <w:rsid w:val="28215D92"/>
    <w:rsid w:val="28231F61"/>
    <w:rsid w:val="28235FAE"/>
    <w:rsid w:val="28247630"/>
    <w:rsid w:val="28277120"/>
    <w:rsid w:val="282827E3"/>
    <w:rsid w:val="282910EA"/>
    <w:rsid w:val="28292E99"/>
    <w:rsid w:val="282D2989"/>
    <w:rsid w:val="282D71FD"/>
    <w:rsid w:val="282E2F5D"/>
    <w:rsid w:val="282F789E"/>
    <w:rsid w:val="283006CB"/>
    <w:rsid w:val="283830DC"/>
    <w:rsid w:val="283A50A6"/>
    <w:rsid w:val="283C7070"/>
    <w:rsid w:val="283E523E"/>
    <w:rsid w:val="283F090E"/>
    <w:rsid w:val="283F26BC"/>
    <w:rsid w:val="283F446A"/>
    <w:rsid w:val="284101E2"/>
    <w:rsid w:val="28425D08"/>
    <w:rsid w:val="28433F5A"/>
    <w:rsid w:val="28445F24"/>
    <w:rsid w:val="28463A4A"/>
    <w:rsid w:val="2849353B"/>
    <w:rsid w:val="284952E9"/>
    <w:rsid w:val="28497097"/>
    <w:rsid w:val="284B1061"/>
    <w:rsid w:val="284B72B3"/>
    <w:rsid w:val="284D6B87"/>
    <w:rsid w:val="284E0B51"/>
    <w:rsid w:val="284F4764"/>
    <w:rsid w:val="28500425"/>
    <w:rsid w:val="28511F71"/>
    <w:rsid w:val="28520641"/>
    <w:rsid w:val="2853151F"/>
    <w:rsid w:val="285337E8"/>
    <w:rsid w:val="28537F15"/>
    <w:rsid w:val="28551EE0"/>
    <w:rsid w:val="2857083D"/>
    <w:rsid w:val="2859514E"/>
    <w:rsid w:val="285C14C0"/>
    <w:rsid w:val="285C326E"/>
    <w:rsid w:val="285C6DCA"/>
    <w:rsid w:val="285D2B42"/>
    <w:rsid w:val="285E6FE6"/>
    <w:rsid w:val="285F34CC"/>
    <w:rsid w:val="285F4B0C"/>
    <w:rsid w:val="28627193"/>
    <w:rsid w:val="286640ED"/>
    <w:rsid w:val="28672F44"/>
    <w:rsid w:val="28681C13"/>
    <w:rsid w:val="28681C99"/>
    <w:rsid w:val="28687F7F"/>
    <w:rsid w:val="2869667D"/>
    <w:rsid w:val="28697739"/>
    <w:rsid w:val="286B2E69"/>
    <w:rsid w:val="286D0FD7"/>
    <w:rsid w:val="286D438F"/>
    <w:rsid w:val="286D547B"/>
    <w:rsid w:val="286E6587"/>
    <w:rsid w:val="286F2FA1"/>
    <w:rsid w:val="28706D19"/>
    <w:rsid w:val="28724840"/>
    <w:rsid w:val="28757E8C"/>
    <w:rsid w:val="2879797C"/>
    <w:rsid w:val="287B7B98"/>
    <w:rsid w:val="287C746C"/>
    <w:rsid w:val="287E1AB2"/>
    <w:rsid w:val="28806F96"/>
    <w:rsid w:val="28814A83"/>
    <w:rsid w:val="28827CF6"/>
    <w:rsid w:val="28831186"/>
    <w:rsid w:val="288339DF"/>
    <w:rsid w:val="28840CAA"/>
    <w:rsid w:val="288527C5"/>
    <w:rsid w:val="288A7DDB"/>
    <w:rsid w:val="288D3427"/>
    <w:rsid w:val="288E6299"/>
    <w:rsid w:val="288F0CA1"/>
    <w:rsid w:val="288F6404"/>
    <w:rsid w:val="28902F18"/>
    <w:rsid w:val="28904CC6"/>
    <w:rsid w:val="28924EE2"/>
    <w:rsid w:val="28940C5A"/>
    <w:rsid w:val="28940E58"/>
    <w:rsid w:val="2894533D"/>
    <w:rsid w:val="28955055"/>
    <w:rsid w:val="28956780"/>
    <w:rsid w:val="289742A6"/>
    <w:rsid w:val="2899001E"/>
    <w:rsid w:val="289A78F2"/>
    <w:rsid w:val="289E2033"/>
    <w:rsid w:val="289F2433"/>
    <w:rsid w:val="28A00C40"/>
    <w:rsid w:val="28A10C81"/>
    <w:rsid w:val="28A15125"/>
    <w:rsid w:val="28A40771"/>
    <w:rsid w:val="28A644E9"/>
    <w:rsid w:val="28A8200F"/>
    <w:rsid w:val="28AA3FD9"/>
    <w:rsid w:val="28AB185F"/>
    <w:rsid w:val="28AB7D51"/>
    <w:rsid w:val="28AD1D1C"/>
    <w:rsid w:val="28B05368"/>
    <w:rsid w:val="28B07116"/>
    <w:rsid w:val="28B1694E"/>
    <w:rsid w:val="28B60BD0"/>
    <w:rsid w:val="28B902D0"/>
    <w:rsid w:val="28B91EC7"/>
    <w:rsid w:val="28B9246E"/>
    <w:rsid w:val="28BA1D43"/>
    <w:rsid w:val="28BB52B5"/>
    <w:rsid w:val="28BC5ABB"/>
    <w:rsid w:val="28BD5B9E"/>
    <w:rsid w:val="28BD6603"/>
    <w:rsid w:val="28BE5577"/>
    <w:rsid w:val="28BE5CD7"/>
    <w:rsid w:val="28BE7A85"/>
    <w:rsid w:val="28C3292C"/>
    <w:rsid w:val="28C3509B"/>
    <w:rsid w:val="28C66939"/>
    <w:rsid w:val="28C71839"/>
    <w:rsid w:val="28C71CB3"/>
    <w:rsid w:val="28C8445F"/>
    <w:rsid w:val="28CC64D8"/>
    <w:rsid w:val="28CD229B"/>
    <w:rsid w:val="28CF57EE"/>
    <w:rsid w:val="28D21782"/>
    <w:rsid w:val="28D41056"/>
    <w:rsid w:val="28D41185"/>
    <w:rsid w:val="28D42E04"/>
    <w:rsid w:val="28D56B7C"/>
    <w:rsid w:val="28D8259F"/>
    <w:rsid w:val="28DC6C38"/>
    <w:rsid w:val="28DF46B0"/>
    <w:rsid w:val="28DF5CF6"/>
    <w:rsid w:val="28E079FB"/>
    <w:rsid w:val="28E21BA1"/>
    <w:rsid w:val="28E31299"/>
    <w:rsid w:val="28E419BD"/>
    <w:rsid w:val="28E50522"/>
    <w:rsid w:val="28E6490E"/>
    <w:rsid w:val="28E76FDC"/>
    <w:rsid w:val="28EB63A0"/>
    <w:rsid w:val="28ED2118"/>
    <w:rsid w:val="28F039B6"/>
    <w:rsid w:val="28F105A3"/>
    <w:rsid w:val="28F2772E"/>
    <w:rsid w:val="28F416F8"/>
    <w:rsid w:val="28F96D0F"/>
    <w:rsid w:val="28FB2A87"/>
    <w:rsid w:val="28FB65E3"/>
    <w:rsid w:val="29004A1F"/>
    <w:rsid w:val="29017971"/>
    <w:rsid w:val="2902118B"/>
    <w:rsid w:val="29023E15"/>
    <w:rsid w:val="29027A4A"/>
    <w:rsid w:val="29037B8D"/>
    <w:rsid w:val="29064F88"/>
    <w:rsid w:val="290A0F1C"/>
    <w:rsid w:val="290A4A78"/>
    <w:rsid w:val="291678C1"/>
    <w:rsid w:val="29171EFA"/>
    <w:rsid w:val="29182228"/>
    <w:rsid w:val="2918308E"/>
    <w:rsid w:val="2919115F"/>
    <w:rsid w:val="291A689B"/>
    <w:rsid w:val="291E0717"/>
    <w:rsid w:val="291E5AE2"/>
    <w:rsid w:val="29206EB8"/>
    <w:rsid w:val="29211DC2"/>
    <w:rsid w:val="29283150"/>
    <w:rsid w:val="292875F4"/>
    <w:rsid w:val="292C0E92"/>
    <w:rsid w:val="292D2840"/>
    <w:rsid w:val="292E096E"/>
    <w:rsid w:val="292E55D7"/>
    <w:rsid w:val="293146FB"/>
    <w:rsid w:val="293164A9"/>
    <w:rsid w:val="2932686F"/>
    <w:rsid w:val="29326B29"/>
    <w:rsid w:val="29337FB9"/>
    <w:rsid w:val="29342C0F"/>
    <w:rsid w:val="293B131C"/>
    <w:rsid w:val="293D309F"/>
    <w:rsid w:val="293D3C3C"/>
    <w:rsid w:val="293F66FA"/>
    <w:rsid w:val="29431F26"/>
    <w:rsid w:val="29437F4F"/>
    <w:rsid w:val="2944442E"/>
    <w:rsid w:val="2946369F"/>
    <w:rsid w:val="294A1318"/>
    <w:rsid w:val="294A756A"/>
    <w:rsid w:val="294E0E09"/>
    <w:rsid w:val="294F2DD3"/>
    <w:rsid w:val="295020B2"/>
    <w:rsid w:val="295126A7"/>
    <w:rsid w:val="295403E9"/>
    <w:rsid w:val="29543E11"/>
    <w:rsid w:val="29543F45"/>
    <w:rsid w:val="29562602"/>
    <w:rsid w:val="29595666"/>
    <w:rsid w:val="295B3526"/>
    <w:rsid w:val="295C1BEB"/>
    <w:rsid w:val="295E5B6D"/>
    <w:rsid w:val="29622B06"/>
    <w:rsid w:val="29622D86"/>
    <w:rsid w:val="296543A4"/>
    <w:rsid w:val="2968690C"/>
    <w:rsid w:val="29695C42"/>
    <w:rsid w:val="296A40E9"/>
    <w:rsid w:val="296C5733"/>
    <w:rsid w:val="296C711A"/>
    <w:rsid w:val="296E1A34"/>
    <w:rsid w:val="296E4071"/>
    <w:rsid w:val="2970538A"/>
    <w:rsid w:val="2973261D"/>
    <w:rsid w:val="297468DC"/>
    <w:rsid w:val="29763EBB"/>
    <w:rsid w:val="297866ED"/>
    <w:rsid w:val="29787C34"/>
    <w:rsid w:val="297A7E50"/>
    <w:rsid w:val="297C1EC3"/>
    <w:rsid w:val="297D16EE"/>
    <w:rsid w:val="297E0FC2"/>
    <w:rsid w:val="297E3824"/>
    <w:rsid w:val="297F2D1F"/>
    <w:rsid w:val="298103FC"/>
    <w:rsid w:val="29817FCB"/>
    <w:rsid w:val="29857211"/>
    <w:rsid w:val="29874881"/>
    <w:rsid w:val="298C1931"/>
    <w:rsid w:val="298C7B83"/>
    <w:rsid w:val="298E7457"/>
    <w:rsid w:val="299449B4"/>
    <w:rsid w:val="29997ECB"/>
    <w:rsid w:val="299B4506"/>
    <w:rsid w:val="299B7DC6"/>
    <w:rsid w:val="29A0362E"/>
    <w:rsid w:val="29A051AA"/>
    <w:rsid w:val="29A0718A"/>
    <w:rsid w:val="29A44ECD"/>
    <w:rsid w:val="29A66A18"/>
    <w:rsid w:val="29A749BD"/>
    <w:rsid w:val="29A84623"/>
    <w:rsid w:val="29A924E3"/>
    <w:rsid w:val="29AA0009"/>
    <w:rsid w:val="29AA1DB7"/>
    <w:rsid w:val="29AD0F62"/>
    <w:rsid w:val="29AE6894"/>
    <w:rsid w:val="29AF1AE0"/>
    <w:rsid w:val="29B2755F"/>
    <w:rsid w:val="29B35110"/>
    <w:rsid w:val="29B36EBE"/>
    <w:rsid w:val="29B50E88"/>
    <w:rsid w:val="29B570DA"/>
    <w:rsid w:val="29B64C00"/>
    <w:rsid w:val="29B80978"/>
    <w:rsid w:val="29BB3FC4"/>
    <w:rsid w:val="29BD5F8E"/>
    <w:rsid w:val="29BD6562"/>
    <w:rsid w:val="29BD7D3C"/>
    <w:rsid w:val="29BF3AB4"/>
    <w:rsid w:val="29C015DB"/>
    <w:rsid w:val="29C15A7E"/>
    <w:rsid w:val="29C4168E"/>
    <w:rsid w:val="29C56BF1"/>
    <w:rsid w:val="29C966E1"/>
    <w:rsid w:val="29CF181E"/>
    <w:rsid w:val="29D05CC2"/>
    <w:rsid w:val="29D07A70"/>
    <w:rsid w:val="29D11A3A"/>
    <w:rsid w:val="29D1697F"/>
    <w:rsid w:val="29D31EF8"/>
    <w:rsid w:val="29D37560"/>
    <w:rsid w:val="29D46E34"/>
    <w:rsid w:val="29D55086"/>
    <w:rsid w:val="29D64125"/>
    <w:rsid w:val="29D65B8A"/>
    <w:rsid w:val="29DB4666"/>
    <w:rsid w:val="29DB6414"/>
    <w:rsid w:val="29DE046C"/>
    <w:rsid w:val="29DF5F05"/>
    <w:rsid w:val="29E17E6B"/>
    <w:rsid w:val="29E26DED"/>
    <w:rsid w:val="29E277A3"/>
    <w:rsid w:val="29E325E0"/>
    <w:rsid w:val="29E4351B"/>
    <w:rsid w:val="29E4576A"/>
    <w:rsid w:val="29E77C1E"/>
    <w:rsid w:val="29E81A65"/>
    <w:rsid w:val="29E90B31"/>
    <w:rsid w:val="29E96D83"/>
    <w:rsid w:val="29EA2E8A"/>
    <w:rsid w:val="29EB48A9"/>
    <w:rsid w:val="29ED0C47"/>
    <w:rsid w:val="29EF3C6E"/>
    <w:rsid w:val="29F15C38"/>
    <w:rsid w:val="29F23E8A"/>
    <w:rsid w:val="29F53B22"/>
    <w:rsid w:val="29F6324E"/>
    <w:rsid w:val="29F86FC6"/>
    <w:rsid w:val="29FA2D3E"/>
    <w:rsid w:val="29FA689B"/>
    <w:rsid w:val="29FB2613"/>
    <w:rsid w:val="29FD45DD"/>
    <w:rsid w:val="29FD638B"/>
    <w:rsid w:val="29FE63B8"/>
    <w:rsid w:val="29FF0355"/>
    <w:rsid w:val="29FF65A7"/>
    <w:rsid w:val="2A027E45"/>
    <w:rsid w:val="2A040CF7"/>
    <w:rsid w:val="2A063640"/>
    <w:rsid w:val="2A064EA5"/>
    <w:rsid w:val="2A077209"/>
    <w:rsid w:val="2A082071"/>
    <w:rsid w:val="2A092F82"/>
    <w:rsid w:val="2A0A345B"/>
    <w:rsid w:val="2A0B0F33"/>
    <w:rsid w:val="2A1060BE"/>
    <w:rsid w:val="2A110088"/>
    <w:rsid w:val="2A113234"/>
    <w:rsid w:val="2A133E00"/>
    <w:rsid w:val="2A16744D"/>
    <w:rsid w:val="2A17569E"/>
    <w:rsid w:val="2A175AF9"/>
    <w:rsid w:val="2A1947FC"/>
    <w:rsid w:val="2A1C01A1"/>
    <w:rsid w:val="2A1F27A5"/>
    <w:rsid w:val="2A224043"/>
    <w:rsid w:val="2A225DF1"/>
    <w:rsid w:val="2A241B69"/>
    <w:rsid w:val="2A245DCE"/>
    <w:rsid w:val="2A247DBB"/>
    <w:rsid w:val="2A257164"/>
    <w:rsid w:val="2A2878AC"/>
    <w:rsid w:val="2A293624"/>
    <w:rsid w:val="2A2953D2"/>
    <w:rsid w:val="2A2B2EF8"/>
    <w:rsid w:val="2A2C0A1E"/>
    <w:rsid w:val="2A2C67C1"/>
    <w:rsid w:val="2A300133"/>
    <w:rsid w:val="2A32072A"/>
    <w:rsid w:val="2A3224D8"/>
    <w:rsid w:val="2A32581F"/>
    <w:rsid w:val="2A33112A"/>
    <w:rsid w:val="2A385615"/>
    <w:rsid w:val="2A3A138D"/>
    <w:rsid w:val="2A3A75DF"/>
    <w:rsid w:val="2A3D2C2B"/>
    <w:rsid w:val="2A3D3D1A"/>
    <w:rsid w:val="2A3E0BD6"/>
    <w:rsid w:val="2A3F4BF5"/>
    <w:rsid w:val="2A41271B"/>
    <w:rsid w:val="2A4144C9"/>
    <w:rsid w:val="2A42208E"/>
    <w:rsid w:val="2A4346E5"/>
    <w:rsid w:val="2A44045E"/>
    <w:rsid w:val="2A452503"/>
    <w:rsid w:val="2A467D32"/>
    <w:rsid w:val="2A487D46"/>
    <w:rsid w:val="2A4C5BA7"/>
    <w:rsid w:val="2A4D10C0"/>
    <w:rsid w:val="2A500BB0"/>
    <w:rsid w:val="2A510485"/>
    <w:rsid w:val="2A52314F"/>
    <w:rsid w:val="2A5341FD"/>
    <w:rsid w:val="2A573496"/>
    <w:rsid w:val="2A581813"/>
    <w:rsid w:val="2A5A558B"/>
    <w:rsid w:val="2A5E32CD"/>
    <w:rsid w:val="2A5F2BA2"/>
    <w:rsid w:val="2A636108"/>
    <w:rsid w:val="2A6428F1"/>
    <w:rsid w:val="2A6603D4"/>
    <w:rsid w:val="2A6B7798"/>
    <w:rsid w:val="2A6C52BE"/>
    <w:rsid w:val="2A6D3510"/>
    <w:rsid w:val="2A6D6825"/>
    <w:rsid w:val="2A6E6574"/>
    <w:rsid w:val="2A6E7289"/>
    <w:rsid w:val="2A701253"/>
    <w:rsid w:val="2A714780"/>
    <w:rsid w:val="2A7228D5"/>
    <w:rsid w:val="2A730F56"/>
    <w:rsid w:val="2A7523C5"/>
    <w:rsid w:val="2A756869"/>
    <w:rsid w:val="2A77438F"/>
    <w:rsid w:val="2A794436"/>
    <w:rsid w:val="2A7A2BB2"/>
    <w:rsid w:val="2A7A3DE7"/>
    <w:rsid w:val="2A7A5C2D"/>
    <w:rsid w:val="2A7E571E"/>
    <w:rsid w:val="2A810D6A"/>
    <w:rsid w:val="2A81520E"/>
    <w:rsid w:val="2A866380"/>
    <w:rsid w:val="2A8A7A29"/>
    <w:rsid w:val="2A8E3487"/>
    <w:rsid w:val="2A8E7714"/>
    <w:rsid w:val="2A8F792B"/>
    <w:rsid w:val="2A90047E"/>
    <w:rsid w:val="2A930540"/>
    <w:rsid w:val="2A95250A"/>
    <w:rsid w:val="2A954815"/>
    <w:rsid w:val="2A9860B3"/>
    <w:rsid w:val="2A992557"/>
    <w:rsid w:val="2A9E191C"/>
    <w:rsid w:val="2A9E7B6E"/>
    <w:rsid w:val="2A9F0DE2"/>
    <w:rsid w:val="2AA07F73"/>
    <w:rsid w:val="2AA11403"/>
    <w:rsid w:val="2AA1140C"/>
    <w:rsid w:val="2AA13479"/>
    <w:rsid w:val="2AA1765E"/>
    <w:rsid w:val="2AA333D6"/>
    <w:rsid w:val="2AA36F32"/>
    <w:rsid w:val="2AA50EFC"/>
    <w:rsid w:val="2AA84549"/>
    <w:rsid w:val="2AA9206F"/>
    <w:rsid w:val="2AAA4765"/>
    <w:rsid w:val="2AAF1D7B"/>
    <w:rsid w:val="2AAF3B29"/>
    <w:rsid w:val="2AB23619"/>
    <w:rsid w:val="2AB54EB7"/>
    <w:rsid w:val="2AB63109"/>
    <w:rsid w:val="2AB73A3B"/>
    <w:rsid w:val="2AB7640D"/>
    <w:rsid w:val="2AB90504"/>
    <w:rsid w:val="2ABA427C"/>
    <w:rsid w:val="2ABB0720"/>
    <w:rsid w:val="2ABC7FF4"/>
    <w:rsid w:val="2ABE34FC"/>
    <w:rsid w:val="2ABF60CD"/>
    <w:rsid w:val="2AC0755D"/>
    <w:rsid w:val="2AC11AAE"/>
    <w:rsid w:val="2AC135BE"/>
    <w:rsid w:val="2AC1560A"/>
    <w:rsid w:val="2AC21E7D"/>
    <w:rsid w:val="2AC33130"/>
    <w:rsid w:val="2AC37C32"/>
    <w:rsid w:val="2AC86999"/>
    <w:rsid w:val="2AC944BF"/>
    <w:rsid w:val="2ACB432B"/>
    <w:rsid w:val="2ACB46DB"/>
    <w:rsid w:val="2ACD0453"/>
    <w:rsid w:val="2ACD1B61"/>
    <w:rsid w:val="2ACF5F79"/>
    <w:rsid w:val="2ACF7D27"/>
    <w:rsid w:val="2AD03A9F"/>
    <w:rsid w:val="2AD0584D"/>
    <w:rsid w:val="2AD25A69"/>
    <w:rsid w:val="2AD34292"/>
    <w:rsid w:val="2AD4533E"/>
    <w:rsid w:val="2AD52E64"/>
    <w:rsid w:val="2AD73080"/>
    <w:rsid w:val="2AD74E2E"/>
    <w:rsid w:val="2ADA1594"/>
    <w:rsid w:val="2ADA66CC"/>
    <w:rsid w:val="2ADB2B70"/>
    <w:rsid w:val="2ADB780D"/>
    <w:rsid w:val="2ADE61BC"/>
    <w:rsid w:val="2AE15CAC"/>
    <w:rsid w:val="2AE27056"/>
    <w:rsid w:val="2AE439D3"/>
    <w:rsid w:val="2AE5754B"/>
    <w:rsid w:val="2AE57A59"/>
    <w:rsid w:val="2AE61278"/>
    <w:rsid w:val="2AE80DE9"/>
    <w:rsid w:val="2AE8528D"/>
    <w:rsid w:val="2AE95180"/>
    <w:rsid w:val="2AE9690F"/>
    <w:rsid w:val="2AEA23A1"/>
    <w:rsid w:val="2AEA4B61"/>
    <w:rsid w:val="2AEB2687"/>
    <w:rsid w:val="2AEB7D3B"/>
    <w:rsid w:val="2AEC6B2B"/>
    <w:rsid w:val="2AF43C32"/>
    <w:rsid w:val="2AF4778E"/>
    <w:rsid w:val="2AF552B4"/>
    <w:rsid w:val="2AF57DA0"/>
    <w:rsid w:val="2AF7102C"/>
    <w:rsid w:val="2AF91248"/>
    <w:rsid w:val="2AFB2301"/>
    <w:rsid w:val="2AFC2AE6"/>
    <w:rsid w:val="2AFC4894"/>
    <w:rsid w:val="2B057BED"/>
    <w:rsid w:val="2B064A51"/>
    <w:rsid w:val="2B065713"/>
    <w:rsid w:val="2B073965"/>
    <w:rsid w:val="2B081B54"/>
    <w:rsid w:val="2B09021B"/>
    <w:rsid w:val="2B0C0D17"/>
    <w:rsid w:val="2B0C0F7B"/>
    <w:rsid w:val="2B0D6AA1"/>
    <w:rsid w:val="2B0F281A"/>
    <w:rsid w:val="2B0F6376"/>
    <w:rsid w:val="2B120F4A"/>
    <w:rsid w:val="2B125E66"/>
    <w:rsid w:val="2B1422B0"/>
    <w:rsid w:val="2B165956"/>
    <w:rsid w:val="2B19227F"/>
    <w:rsid w:val="2B195446"/>
    <w:rsid w:val="2B1B11BE"/>
    <w:rsid w:val="2B1C0A93"/>
    <w:rsid w:val="2B207A38"/>
    <w:rsid w:val="2B25203D"/>
    <w:rsid w:val="2B253DEB"/>
    <w:rsid w:val="2B2636BF"/>
    <w:rsid w:val="2B2838DB"/>
    <w:rsid w:val="2B283BFC"/>
    <w:rsid w:val="2B291023"/>
    <w:rsid w:val="2B2E2782"/>
    <w:rsid w:val="2B2E42D0"/>
    <w:rsid w:val="2B2F07C6"/>
    <w:rsid w:val="2B314BC8"/>
    <w:rsid w:val="2B3163EF"/>
    <w:rsid w:val="2B336ED3"/>
    <w:rsid w:val="2B342280"/>
    <w:rsid w:val="2B345DDC"/>
    <w:rsid w:val="2B365769"/>
    <w:rsid w:val="2B3758CC"/>
    <w:rsid w:val="2B395AE8"/>
    <w:rsid w:val="2B397896"/>
    <w:rsid w:val="2B3E30FF"/>
    <w:rsid w:val="2B3E6C5B"/>
    <w:rsid w:val="2B3F7ED0"/>
    <w:rsid w:val="2B4139A3"/>
    <w:rsid w:val="2B457FE9"/>
    <w:rsid w:val="2B481888"/>
    <w:rsid w:val="2B487ADA"/>
    <w:rsid w:val="2B494676"/>
    <w:rsid w:val="2B4D3342"/>
    <w:rsid w:val="2B4F0E68"/>
    <w:rsid w:val="2B4F2C16"/>
    <w:rsid w:val="2B5244B4"/>
    <w:rsid w:val="2B54022C"/>
    <w:rsid w:val="2B54647E"/>
    <w:rsid w:val="2B577433"/>
    <w:rsid w:val="2B577D1D"/>
    <w:rsid w:val="2B5808C6"/>
    <w:rsid w:val="2B585F6F"/>
    <w:rsid w:val="2B591CE7"/>
    <w:rsid w:val="2B593A95"/>
    <w:rsid w:val="2B5C5333"/>
    <w:rsid w:val="2B5D2EFD"/>
    <w:rsid w:val="2B5D643F"/>
    <w:rsid w:val="2B606BD1"/>
    <w:rsid w:val="2B6568DD"/>
    <w:rsid w:val="2B67070A"/>
    <w:rsid w:val="2B683CD8"/>
    <w:rsid w:val="2B6A7583"/>
    <w:rsid w:val="2B6C37C8"/>
    <w:rsid w:val="2B6C7C6C"/>
    <w:rsid w:val="2B6D5FBA"/>
    <w:rsid w:val="2B6D7540"/>
    <w:rsid w:val="2B7036E6"/>
    <w:rsid w:val="2B7408CF"/>
    <w:rsid w:val="2B762899"/>
    <w:rsid w:val="2B77216D"/>
    <w:rsid w:val="2B793244"/>
    <w:rsid w:val="2B7A7769"/>
    <w:rsid w:val="2B7B1C5D"/>
    <w:rsid w:val="2B7D3C27"/>
    <w:rsid w:val="2B807273"/>
    <w:rsid w:val="2B84661A"/>
    <w:rsid w:val="2B856638"/>
    <w:rsid w:val="2B8947E3"/>
    <w:rsid w:val="2B894ABF"/>
    <w:rsid w:val="2B8A00F2"/>
    <w:rsid w:val="2B8C3E6A"/>
    <w:rsid w:val="2B8C3F79"/>
    <w:rsid w:val="2B8F21F0"/>
    <w:rsid w:val="2B8F33B9"/>
    <w:rsid w:val="2B8F5708"/>
    <w:rsid w:val="2B8F74B6"/>
    <w:rsid w:val="2B910373"/>
    <w:rsid w:val="2B9176D3"/>
    <w:rsid w:val="2B932BBB"/>
    <w:rsid w:val="2B942D1F"/>
    <w:rsid w:val="2B947F11"/>
    <w:rsid w:val="2B98280F"/>
    <w:rsid w:val="2B990335"/>
    <w:rsid w:val="2BA2543C"/>
    <w:rsid w:val="2BA54F2C"/>
    <w:rsid w:val="2BA70CA4"/>
    <w:rsid w:val="2BA80578"/>
    <w:rsid w:val="2BA936A8"/>
    <w:rsid w:val="2BAA5B59"/>
    <w:rsid w:val="2BAA609E"/>
    <w:rsid w:val="2BAD5B8F"/>
    <w:rsid w:val="2BB05DAB"/>
    <w:rsid w:val="2BB1567F"/>
    <w:rsid w:val="2BB331A5"/>
    <w:rsid w:val="2BB4516F"/>
    <w:rsid w:val="2BB46F1D"/>
    <w:rsid w:val="2BB72E0B"/>
    <w:rsid w:val="2BB92785"/>
    <w:rsid w:val="2BBA09D7"/>
    <w:rsid w:val="2BBB02AC"/>
    <w:rsid w:val="2BBE79D8"/>
    <w:rsid w:val="2BBE7D9C"/>
    <w:rsid w:val="2BC073D5"/>
    <w:rsid w:val="2BC2163A"/>
    <w:rsid w:val="2BC25ADE"/>
    <w:rsid w:val="2BC37160"/>
    <w:rsid w:val="2BC5112A"/>
    <w:rsid w:val="2BC90C1A"/>
    <w:rsid w:val="2BC96E6C"/>
    <w:rsid w:val="2BC97CAF"/>
    <w:rsid w:val="2BCE6231"/>
    <w:rsid w:val="2BCF3D57"/>
    <w:rsid w:val="2BD1187D"/>
    <w:rsid w:val="2BD12EC2"/>
    <w:rsid w:val="2BD17ACF"/>
    <w:rsid w:val="2BD31A99"/>
    <w:rsid w:val="2BD5271E"/>
    <w:rsid w:val="2BD66E93"/>
    <w:rsid w:val="2BD96984"/>
    <w:rsid w:val="2BDB6BA0"/>
    <w:rsid w:val="2BDC7636"/>
    <w:rsid w:val="2BDD46C6"/>
    <w:rsid w:val="2BDE3F9A"/>
    <w:rsid w:val="2BDE5160"/>
    <w:rsid w:val="2BE21CDC"/>
    <w:rsid w:val="2BE23A8A"/>
    <w:rsid w:val="2BE42462"/>
    <w:rsid w:val="2BE52525"/>
    <w:rsid w:val="2BE538F2"/>
    <w:rsid w:val="2BE806A1"/>
    <w:rsid w:val="2BEA293F"/>
    <w:rsid w:val="2BF0264B"/>
    <w:rsid w:val="2BF043F9"/>
    <w:rsid w:val="2BF37A45"/>
    <w:rsid w:val="2BF437BD"/>
    <w:rsid w:val="2BF46C79"/>
    <w:rsid w:val="2BF65788"/>
    <w:rsid w:val="2BF674C9"/>
    <w:rsid w:val="2BFB4B4C"/>
    <w:rsid w:val="2BFB6E07"/>
    <w:rsid w:val="2BFC2739"/>
    <w:rsid w:val="2BFD1B79"/>
    <w:rsid w:val="2BFD2672"/>
    <w:rsid w:val="2BFD6B16"/>
    <w:rsid w:val="2BFF63EA"/>
    <w:rsid w:val="2C002162"/>
    <w:rsid w:val="2C016968"/>
    <w:rsid w:val="2C02237E"/>
    <w:rsid w:val="2C02412C"/>
    <w:rsid w:val="2C027C88"/>
    <w:rsid w:val="2C0439F2"/>
    <w:rsid w:val="2C043A01"/>
    <w:rsid w:val="2C05145A"/>
    <w:rsid w:val="2C05355F"/>
    <w:rsid w:val="2C0559CB"/>
    <w:rsid w:val="2C07272D"/>
    <w:rsid w:val="2C0954BB"/>
    <w:rsid w:val="2C0B2FE1"/>
    <w:rsid w:val="2C0E487F"/>
    <w:rsid w:val="2C1065AC"/>
    <w:rsid w:val="2C1125C1"/>
    <w:rsid w:val="2C1300E8"/>
    <w:rsid w:val="2C133D9F"/>
    <w:rsid w:val="2C151290"/>
    <w:rsid w:val="2C1520B2"/>
    <w:rsid w:val="2C183950"/>
    <w:rsid w:val="2C1D7A22"/>
    <w:rsid w:val="2C2440A3"/>
    <w:rsid w:val="2C2478F5"/>
    <w:rsid w:val="2C2536B4"/>
    <w:rsid w:val="2C273B93"/>
    <w:rsid w:val="2C275941"/>
    <w:rsid w:val="2C2A71DF"/>
    <w:rsid w:val="2C2C73FB"/>
    <w:rsid w:val="2C2D6D7E"/>
    <w:rsid w:val="2C2F7252"/>
    <w:rsid w:val="2C31056E"/>
    <w:rsid w:val="2C315A5A"/>
    <w:rsid w:val="2C3342E6"/>
    <w:rsid w:val="2C355CA9"/>
    <w:rsid w:val="2C363DD6"/>
    <w:rsid w:val="2C3801CB"/>
    <w:rsid w:val="2C3B096A"/>
    <w:rsid w:val="2C3C763E"/>
    <w:rsid w:val="2C3D6F12"/>
    <w:rsid w:val="2C3F2C8B"/>
    <w:rsid w:val="2C447E50"/>
    <w:rsid w:val="2C461B6C"/>
    <w:rsid w:val="2C464019"/>
    <w:rsid w:val="2C484235"/>
    <w:rsid w:val="2C491D5B"/>
    <w:rsid w:val="2C497673"/>
    <w:rsid w:val="2C4A1610"/>
    <w:rsid w:val="2C4A585C"/>
    <w:rsid w:val="2C4B1C25"/>
    <w:rsid w:val="2C4D1D00"/>
    <w:rsid w:val="2C4E1120"/>
    <w:rsid w:val="2C500A96"/>
    <w:rsid w:val="2C5030EA"/>
    <w:rsid w:val="2C5129BE"/>
    <w:rsid w:val="2C520C10"/>
    <w:rsid w:val="2C526E62"/>
    <w:rsid w:val="2C532BDA"/>
    <w:rsid w:val="2C583D4C"/>
    <w:rsid w:val="2C596948"/>
    <w:rsid w:val="2C5D2682"/>
    <w:rsid w:val="2C5D2C07"/>
    <w:rsid w:val="2C5E3F97"/>
    <w:rsid w:val="2C602C01"/>
    <w:rsid w:val="2C622E1D"/>
    <w:rsid w:val="2C631A47"/>
    <w:rsid w:val="2C637441"/>
    <w:rsid w:val="2C66290D"/>
    <w:rsid w:val="2C6646BB"/>
    <w:rsid w:val="2C681F1F"/>
    <w:rsid w:val="2C6941AB"/>
    <w:rsid w:val="2C6D0A33"/>
    <w:rsid w:val="2C6D3C9C"/>
    <w:rsid w:val="2C6E3570"/>
    <w:rsid w:val="2C6E48AC"/>
    <w:rsid w:val="2C752B50"/>
    <w:rsid w:val="2C772424"/>
    <w:rsid w:val="2C792640"/>
    <w:rsid w:val="2C795998"/>
    <w:rsid w:val="2C7A1F15"/>
    <w:rsid w:val="2C7C5C8D"/>
    <w:rsid w:val="2C7D1A05"/>
    <w:rsid w:val="2C7D4635"/>
    <w:rsid w:val="2C7E7C57"/>
    <w:rsid w:val="2C815051"/>
    <w:rsid w:val="2C840FE5"/>
    <w:rsid w:val="2C850B5B"/>
    <w:rsid w:val="2C8B4122"/>
    <w:rsid w:val="2C8B5ED0"/>
    <w:rsid w:val="2C8C6029"/>
    <w:rsid w:val="2C8D1C48"/>
    <w:rsid w:val="2C8D7E9A"/>
    <w:rsid w:val="2C90767E"/>
    <w:rsid w:val="2C923702"/>
    <w:rsid w:val="2C9254B0"/>
    <w:rsid w:val="2C92725E"/>
    <w:rsid w:val="2C9304E8"/>
    <w:rsid w:val="2C962544"/>
    <w:rsid w:val="2C98683F"/>
    <w:rsid w:val="2C9C1E8B"/>
    <w:rsid w:val="2C9C632F"/>
    <w:rsid w:val="2C9F197B"/>
    <w:rsid w:val="2CA23219"/>
    <w:rsid w:val="2CA43435"/>
    <w:rsid w:val="2CA46F92"/>
    <w:rsid w:val="2CA945A8"/>
    <w:rsid w:val="2CAC0D50"/>
    <w:rsid w:val="2CB52F4D"/>
    <w:rsid w:val="2CB53064"/>
    <w:rsid w:val="2CB573F1"/>
    <w:rsid w:val="2CB73169"/>
    <w:rsid w:val="2CB7422A"/>
    <w:rsid w:val="2CB76CC5"/>
    <w:rsid w:val="2CB82A3D"/>
    <w:rsid w:val="2CB847EB"/>
    <w:rsid w:val="2CBF201D"/>
    <w:rsid w:val="2CBF26F4"/>
    <w:rsid w:val="2CC000D3"/>
    <w:rsid w:val="2CC425B8"/>
    <w:rsid w:val="2CC55DE8"/>
    <w:rsid w:val="2CC6515A"/>
    <w:rsid w:val="2CCA7181"/>
    <w:rsid w:val="2CCC7F97"/>
    <w:rsid w:val="2CCD39F3"/>
    <w:rsid w:val="2CCE400E"/>
    <w:rsid w:val="2CD0422B"/>
    <w:rsid w:val="2CD31E80"/>
    <w:rsid w:val="2CD5539D"/>
    <w:rsid w:val="2CDB2211"/>
    <w:rsid w:val="2CDC672B"/>
    <w:rsid w:val="2CDD658B"/>
    <w:rsid w:val="2CDE24A4"/>
    <w:rsid w:val="2CDE6947"/>
    <w:rsid w:val="2CE101E6"/>
    <w:rsid w:val="2CE50B3E"/>
    <w:rsid w:val="2CE74B9F"/>
    <w:rsid w:val="2CE9349D"/>
    <w:rsid w:val="2CEB696E"/>
    <w:rsid w:val="2CED4D67"/>
    <w:rsid w:val="2CEF0A8C"/>
    <w:rsid w:val="2CEF1BF0"/>
    <w:rsid w:val="2CF021D7"/>
    <w:rsid w:val="2CF40EA6"/>
    <w:rsid w:val="2CF520B9"/>
    <w:rsid w:val="2CF63C91"/>
    <w:rsid w:val="2CF73998"/>
    <w:rsid w:val="2CF82F2B"/>
    <w:rsid w:val="2CF9552F"/>
    <w:rsid w:val="2CFC5020"/>
    <w:rsid w:val="2CFE5BB5"/>
    <w:rsid w:val="2CFF066C"/>
    <w:rsid w:val="2D016192"/>
    <w:rsid w:val="2D0216DB"/>
    <w:rsid w:val="2D031F0A"/>
    <w:rsid w:val="2D032F5B"/>
    <w:rsid w:val="2D044FFF"/>
    <w:rsid w:val="2D047A30"/>
    <w:rsid w:val="2D067C4C"/>
    <w:rsid w:val="2D087520"/>
    <w:rsid w:val="2D0A3299"/>
    <w:rsid w:val="2D0A773C"/>
    <w:rsid w:val="2D0B7C88"/>
    <w:rsid w:val="2D0D2D89"/>
    <w:rsid w:val="2D0D4B37"/>
    <w:rsid w:val="2D0D6B86"/>
    <w:rsid w:val="2D106175"/>
    <w:rsid w:val="2D133C5C"/>
    <w:rsid w:val="2D144117"/>
    <w:rsid w:val="2D2105E2"/>
    <w:rsid w:val="2D214A86"/>
    <w:rsid w:val="2D224763"/>
    <w:rsid w:val="2D2307FE"/>
    <w:rsid w:val="2D256324"/>
    <w:rsid w:val="2D281971"/>
    <w:rsid w:val="2D2B320F"/>
    <w:rsid w:val="2D300825"/>
    <w:rsid w:val="2D306A77"/>
    <w:rsid w:val="2D310F96"/>
    <w:rsid w:val="2D32459D"/>
    <w:rsid w:val="2D3422B4"/>
    <w:rsid w:val="2D371BB4"/>
    <w:rsid w:val="2D377E06"/>
    <w:rsid w:val="2D384148"/>
    <w:rsid w:val="2D3A16A4"/>
    <w:rsid w:val="2D3C366E"/>
    <w:rsid w:val="2D3E2F42"/>
    <w:rsid w:val="2D40315E"/>
    <w:rsid w:val="2D4367AA"/>
    <w:rsid w:val="2D4542D1"/>
    <w:rsid w:val="2D462D65"/>
    <w:rsid w:val="2D490BB9"/>
    <w:rsid w:val="2D4A04F1"/>
    <w:rsid w:val="2D4B38B1"/>
    <w:rsid w:val="2D4D41D6"/>
    <w:rsid w:val="2D513B5D"/>
    <w:rsid w:val="2D536E7A"/>
    <w:rsid w:val="2D542766"/>
    <w:rsid w:val="2D56396E"/>
    <w:rsid w:val="2D564730"/>
    <w:rsid w:val="2D572256"/>
    <w:rsid w:val="2D595FCE"/>
    <w:rsid w:val="2D597D7C"/>
    <w:rsid w:val="2D5B7F98"/>
    <w:rsid w:val="2D5C161A"/>
    <w:rsid w:val="2D60110A"/>
    <w:rsid w:val="2D60735C"/>
    <w:rsid w:val="2D6103B4"/>
    <w:rsid w:val="2D610A81"/>
    <w:rsid w:val="2D612E89"/>
    <w:rsid w:val="2D614E83"/>
    <w:rsid w:val="2D630709"/>
    <w:rsid w:val="2D654973"/>
    <w:rsid w:val="2D66059F"/>
    <w:rsid w:val="2D661D7D"/>
    <w:rsid w:val="2D6B7AAF"/>
    <w:rsid w:val="2D6D1A79"/>
    <w:rsid w:val="2D7124F1"/>
    <w:rsid w:val="2D713318"/>
    <w:rsid w:val="2D7352E2"/>
    <w:rsid w:val="2D76092E"/>
    <w:rsid w:val="2D767C6C"/>
    <w:rsid w:val="2D776454"/>
    <w:rsid w:val="2D78742A"/>
    <w:rsid w:val="2D7921CC"/>
    <w:rsid w:val="2D7A1628"/>
    <w:rsid w:val="2D7B7CF2"/>
    <w:rsid w:val="2D7D1D58"/>
    <w:rsid w:val="2D811081"/>
    <w:rsid w:val="2D81692A"/>
    <w:rsid w:val="2D83129D"/>
    <w:rsid w:val="2D83304B"/>
    <w:rsid w:val="2D850B71"/>
    <w:rsid w:val="2D856DC3"/>
    <w:rsid w:val="2D88240F"/>
    <w:rsid w:val="2D8A262B"/>
    <w:rsid w:val="2D8B5B8A"/>
    <w:rsid w:val="2D8C05FA"/>
    <w:rsid w:val="2D8C1F00"/>
    <w:rsid w:val="2D8E266F"/>
    <w:rsid w:val="2D8F23BE"/>
    <w:rsid w:val="2D9214E0"/>
    <w:rsid w:val="2D9278AF"/>
    <w:rsid w:val="2D960FD0"/>
    <w:rsid w:val="2D9B2143"/>
    <w:rsid w:val="2D9C6103"/>
    <w:rsid w:val="2D9E1C33"/>
    <w:rsid w:val="2D9E56F5"/>
    <w:rsid w:val="2D9E7E85"/>
    <w:rsid w:val="2DA2119A"/>
    <w:rsid w:val="2DA2331A"/>
    <w:rsid w:val="2DA428D7"/>
    <w:rsid w:val="2DA608F6"/>
    <w:rsid w:val="2DA60AE7"/>
    <w:rsid w:val="2DA84860"/>
    <w:rsid w:val="2DAA682A"/>
    <w:rsid w:val="2DAD00C8"/>
    <w:rsid w:val="2DAF3E40"/>
    <w:rsid w:val="2DB1558D"/>
    <w:rsid w:val="2DB256DE"/>
    <w:rsid w:val="2DB651CE"/>
    <w:rsid w:val="2DBA057E"/>
    <w:rsid w:val="2DBC69BC"/>
    <w:rsid w:val="2DBD030B"/>
    <w:rsid w:val="2DBE22D5"/>
    <w:rsid w:val="2DBF0527"/>
    <w:rsid w:val="2DC23B73"/>
    <w:rsid w:val="2DC45B3D"/>
    <w:rsid w:val="2DC93154"/>
    <w:rsid w:val="2DCC49F2"/>
    <w:rsid w:val="2DCC67A0"/>
    <w:rsid w:val="2DCE72D8"/>
    <w:rsid w:val="2DCF003E"/>
    <w:rsid w:val="2DD04877"/>
    <w:rsid w:val="2DD1025A"/>
    <w:rsid w:val="2DD12008"/>
    <w:rsid w:val="2DD37B2E"/>
    <w:rsid w:val="2DD44566"/>
    <w:rsid w:val="2DD44D1F"/>
    <w:rsid w:val="2DD54E04"/>
    <w:rsid w:val="2DD613CD"/>
    <w:rsid w:val="2DD67732"/>
    <w:rsid w:val="2DD85145"/>
    <w:rsid w:val="2DD9710F"/>
    <w:rsid w:val="2DDE64D3"/>
    <w:rsid w:val="2DE24215"/>
    <w:rsid w:val="2DE27408"/>
    <w:rsid w:val="2DE33AEA"/>
    <w:rsid w:val="2DE41D3C"/>
    <w:rsid w:val="2DE51610"/>
    <w:rsid w:val="2DE53D06"/>
    <w:rsid w:val="2DE7182C"/>
    <w:rsid w:val="2DE735DA"/>
    <w:rsid w:val="2DE75388"/>
    <w:rsid w:val="2DEA131C"/>
    <w:rsid w:val="2DEC0BF0"/>
    <w:rsid w:val="2DEC6E42"/>
    <w:rsid w:val="2DEE2DDA"/>
    <w:rsid w:val="2DEE4968"/>
    <w:rsid w:val="2DEF06E0"/>
    <w:rsid w:val="2DF1175B"/>
    <w:rsid w:val="2DF126AA"/>
    <w:rsid w:val="2DF16206"/>
    <w:rsid w:val="2DF22E9C"/>
    <w:rsid w:val="2DF81343"/>
    <w:rsid w:val="2DF857E7"/>
    <w:rsid w:val="2DF950BB"/>
    <w:rsid w:val="2DFB01CE"/>
    <w:rsid w:val="2DFB52D7"/>
    <w:rsid w:val="2DFB6B1F"/>
    <w:rsid w:val="2DFB7085"/>
    <w:rsid w:val="2E007DC0"/>
    <w:rsid w:val="2E0506C0"/>
    <w:rsid w:val="2E075A2A"/>
    <w:rsid w:val="2E0B6614"/>
    <w:rsid w:val="2E0D5489"/>
    <w:rsid w:val="2E0E0B66"/>
    <w:rsid w:val="2E100D83"/>
    <w:rsid w:val="2E110657"/>
    <w:rsid w:val="2E112405"/>
    <w:rsid w:val="2E1343CF"/>
    <w:rsid w:val="2E13617D"/>
    <w:rsid w:val="2E163EBF"/>
    <w:rsid w:val="2E1819E5"/>
    <w:rsid w:val="2E183793"/>
    <w:rsid w:val="2E187865"/>
    <w:rsid w:val="2E1B3283"/>
    <w:rsid w:val="2E1D57E1"/>
    <w:rsid w:val="2E1E4B22"/>
    <w:rsid w:val="2E1E4C7F"/>
    <w:rsid w:val="2E2465DC"/>
    <w:rsid w:val="2E2508C8"/>
    <w:rsid w:val="2E253BD0"/>
    <w:rsid w:val="2E2959A0"/>
    <w:rsid w:val="2E2A34C6"/>
    <w:rsid w:val="2E2C5491"/>
    <w:rsid w:val="2E2F42CE"/>
    <w:rsid w:val="2E2F52F4"/>
    <w:rsid w:val="2E312AA7"/>
    <w:rsid w:val="2E3305CD"/>
    <w:rsid w:val="2E3569FF"/>
    <w:rsid w:val="2E372A60"/>
    <w:rsid w:val="2E385BE3"/>
    <w:rsid w:val="2E3A7BAD"/>
    <w:rsid w:val="2E3D769E"/>
    <w:rsid w:val="2E402CEA"/>
    <w:rsid w:val="2E41718E"/>
    <w:rsid w:val="2E4427DA"/>
    <w:rsid w:val="2E444588"/>
    <w:rsid w:val="2E450300"/>
    <w:rsid w:val="2E4564F4"/>
    <w:rsid w:val="2E482C13"/>
    <w:rsid w:val="2E4B1DBB"/>
    <w:rsid w:val="2E4C168F"/>
    <w:rsid w:val="2E4D322B"/>
    <w:rsid w:val="2E4E5407"/>
    <w:rsid w:val="2E505B41"/>
    <w:rsid w:val="2E580034"/>
    <w:rsid w:val="2E5A3DAC"/>
    <w:rsid w:val="2E5D564A"/>
    <w:rsid w:val="2E5F7614"/>
    <w:rsid w:val="2E6115DE"/>
    <w:rsid w:val="2E620EB2"/>
    <w:rsid w:val="2E627104"/>
    <w:rsid w:val="2E6609A2"/>
    <w:rsid w:val="2E666BF4"/>
    <w:rsid w:val="2E666F6E"/>
    <w:rsid w:val="2E667F96"/>
    <w:rsid w:val="2E6764C9"/>
    <w:rsid w:val="2E6B420B"/>
    <w:rsid w:val="2E6E7857"/>
    <w:rsid w:val="2E7110F5"/>
    <w:rsid w:val="2E717347"/>
    <w:rsid w:val="2E734E6D"/>
    <w:rsid w:val="2E7532AE"/>
    <w:rsid w:val="2E756E38"/>
    <w:rsid w:val="2E772BB0"/>
    <w:rsid w:val="2E7806D6"/>
    <w:rsid w:val="2E782484"/>
    <w:rsid w:val="2E795CEC"/>
    <w:rsid w:val="2E7A26A0"/>
    <w:rsid w:val="2E7A444E"/>
    <w:rsid w:val="2E7B2059"/>
    <w:rsid w:val="2E7C01C6"/>
    <w:rsid w:val="2E7D525B"/>
    <w:rsid w:val="2E7F19F8"/>
    <w:rsid w:val="2E7F2693"/>
    <w:rsid w:val="2E81758A"/>
    <w:rsid w:val="2E8226AB"/>
    <w:rsid w:val="2E8250B1"/>
    <w:rsid w:val="2E84707B"/>
    <w:rsid w:val="2E880A5A"/>
    <w:rsid w:val="2E8B0409"/>
    <w:rsid w:val="2E8B665B"/>
    <w:rsid w:val="2E8D1D4B"/>
    <w:rsid w:val="2E8E35A8"/>
    <w:rsid w:val="2E9276CB"/>
    <w:rsid w:val="2E935510"/>
    <w:rsid w:val="2E951288"/>
    <w:rsid w:val="2E9729F2"/>
    <w:rsid w:val="2E9848D4"/>
    <w:rsid w:val="2E9A2AA1"/>
    <w:rsid w:val="2E9A4AF0"/>
    <w:rsid w:val="2E9A689E"/>
    <w:rsid w:val="2E9C2616"/>
    <w:rsid w:val="2E9D1EEA"/>
    <w:rsid w:val="2E9E309D"/>
    <w:rsid w:val="2E9F2106"/>
    <w:rsid w:val="2E9F3EB4"/>
    <w:rsid w:val="2EA02FC1"/>
    <w:rsid w:val="2EA27501"/>
    <w:rsid w:val="2EA43279"/>
    <w:rsid w:val="2EAA478F"/>
    <w:rsid w:val="2EAC3784"/>
    <w:rsid w:val="2EAD4823"/>
    <w:rsid w:val="2EAE1DA5"/>
    <w:rsid w:val="2EAE40F8"/>
    <w:rsid w:val="2EB00083"/>
    <w:rsid w:val="2EB01C1E"/>
    <w:rsid w:val="2EB07E70"/>
    <w:rsid w:val="2EB37960"/>
    <w:rsid w:val="2EB711FE"/>
    <w:rsid w:val="2EB83212"/>
    <w:rsid w:val="2EB86D24"/>
    <w:rsid w:val="2EB931C8"/>
    <w:rsid w:val="2EBA2A9C"/>
    <w:rsid w:val="2EBB0CE9"/>
    <w:rsid w:val="2EBD11F7"/>
    <w:rsid w:val="2EBE07DF"/>
    <w:rsid w:val="2EBF4557"/>
    <w:rsid w:val="2EC03AEE"/>
    <w:rsid w:val="2EC4391B"/>
    <w:rsid w:val="2EC658E5"/>
    <w:rsid w:val="2EC8340B"/>
    <w:rsid w:val="2EC851B9"/>
    <w:rsid w:val="2EC90F31"/>
    <w:rsid w:val="2ECA37FB"/>
    <w:rsid w:val="2ECB6A58"/>
    <w:rsid w:val="2ECE6548"/>
    <w:rsid w:val="2ED7322E"/>
    <w:rsid w:val="2ED7699F"/>
    <w:rsid w:val="2EDC0C65"/>
    <w:rsid w:val="2EDC6EB7"/>
    <w:rsid w:val="2EDD678B"/>
    <w:rsid w:val="2EDF69A7"/>
    <w:rsid w:val="2EE23DA1"/>
    <w:rsid w:val="2EE45D6B"/>
    <w:rsid w:val="2EE47B19"/>
    <w:rsid w:val="2EE61AE3"/>
    <w:rsid w:val="2EE63891"/>
    <w:rsid w:val="2EE8585B"/>
    <w:rsid w:val="2EEA15D4"/>
    <w:rsid w:val="2EED2E72"/>
    <w:rsid w:val="2EED69CE"/>
    <w:rsid w:val="2EEE0025"/>
    <w:rsid w:val="2EEF6BEA"/>
    <w:rsid w:val="2EF05516"/>
    <w:rsid w:val="2EF064BE"/>
    <w:rsid w:val="2EF35FAE"/>
    <w:rsid w:val="2EF46A86"/>
    <w:rsid w:val="2EF517F7"/>
    <w:rsid w:val="2EF97A69"/>
    <w:rsid w:val="2EFA1199"/>
    <w:rsid w:val="2EFE0BDB"/>
    <w:rsid w:val="2EFE3E42"/>
    <w:rsid w:val="2EFE507F"/>
    <w:rsid w:val="2F032695"/>
    <w:rsid w:val="2F033128"/>
    <w:rsid w:val="2F034443"/>
    <w:rsid w:val="2F0D5762"/>
    <w:rsid w:val="2F0F2DE8"/>
    <w:rsid w:val="2F0F64BF"/>
    <w:rsid w:val="2F106B60"/>
    <w:rsid w:val="2F126434"/>
    <w:rsid w:val="2F1321AD"/>
    <w:rsid w:val="2F1403FE"/>
    <w:rsid w:val="2F1523C9"/>
    <w:rsid w:val="2F1531D0"/>
    <w:rsid w:val="2F157D4C"/>
    <w:rsid w:val="2F167231"/>
    <w:rsid w:val="2F1749E6"/>
    <w:rsid w:val="2F176141"/>
    <w:rsid w:val="2F183A1D"/>
    <w:rsid w:val="2F192EFF"/>
    <w:rsid w:val="2F193C67"/>
    <w:rsid w:val="2F195A15"/>
    <w:rsid w:val="2F1A353B"/>
    <w:rsid w:val="2F1B50A3"/>
    <w:rsid w:val="2F1C72B3"/>
    <w:rsid w:val="2F1E127D"/>
    <w:rsid w:val="2F1E302B"/>
    <w:rsid w:val="2F1F6E53"/>
    <w:rsid w:val="2F2002E3"/>
    <w:rsid w:val="2F236894"/>
    <w:rsid w:val="2F25260C"/>
    <w:rsid w:val="2F283EAA"/>
    <w:rsid w:val="2F2919D0"/>
    <w:rsid w:val="2F2927A1"/>
    <w:rsid w:val="2F2A5E74"/>
    <w:rsid w:val="2F2B5748"/>
    <w:rsid w:val="2F2C155F"/>
    <w:rsid w:val="2F2D7712"/>
    <w:rsid w:val="2F2F0DBF"/>
    <w:rsid w:val="2F2F5238"/>
    <w:rsid w:val="2F300FB0"/>
    <w:rsid w:val="2F3066B0"/>
    <w:rsid w:val="2F307488"/>
    <w:rsid w:val="2F326AD7"/>
    <w:rsid w:val="2F34132A"/>
    <w:rsid w:val="2F3B1E2F"/>
    <w:rsid w:val="2F3C71C8"/>
    <w:rsid w:val="2F3E0EE1"/>
    <w:rsid w:val="2F3F2FA2"/>
    <w:rsid w:val="2F407445"/>
    <w:rsid w:val="2F452CAE"/>
    <w:rsid w:val="2F4A3E20"/>
    <w:rsid w:val="2F4A6121"/>
    <w:rsid w:val="2F4B1946"/>
    <w:rsid w:val="2F4B5DEA"/>
    <w:rsid w:val="2F4B7B98"/>
    <w:rsid w:val="2F4F1437"/>
    <w:rsid w:val="2F50060A"/>
    <w:rsid w:val="2F504AE2"/>
    <w:rsid w:val="2F511653"/>
    <w:rsid w:val="2F511F36"/>
    <w:rsid w:val="2F520F27"/>
    <w:rsid w:val="2F541C6F"/>
    <w:rsid w:val="2F5702EB"/>
    <w:rsid w:val="2F57478F"/>
    <w:rsid w:val="2F5C1DA5"/>
    <w:rsid w:val="2F5C3B54"/>
    <w:rsid w:val="2F5D38AE"/>
    <w:rsid w:val="2F5D6F3E"/>
    <w:rsid w:val="2F5F42E6"/>
    <w:rsid w:val="2F603644"/>
    <w:rsid w:val="2F611A30"/>
    <w:rsid w:val="2F624B57"/>
    <w:rsid w:val="2F633134"/>
    <w:rsid w:val="2F6641B9"/>
    <w:rsid w:val="2F676281"/>
    <w:rsid w:val="2F68074A"/>
    <w:rsid w:val="2F680DFE"/>
    <w:rsid w:val="2F6953C2"/>
    <w:rsid w:val="2F6A001E"/>
    <w:rsid w:val="2F6A2714"/>
    <w:rsid w:val="2F6F7D2B"/>
    <w:rsid w:val="2F7013AD"/>
    <w:rsid w:val="2F73532D"/>
    <w:rsid w:val="2F7471DD"/>
    <w:rsid w:val="2F750D73"/>
    <w:rsid w:val="2F754C15"/>
    <w:rsid w:val="2F794705"/>
    <w:rsid w:val="2F807842"/>
    <w:rsid w:val="2F854E58"/>
    <w:rsid w:val="2F860BD0"/>
    <w:rsid w:val="2F884949"/>
    <w:rsid w:val="2F8A06C1"/>
    <w:rsid w:val="2F8B4A44"/>
    <w:rsid w:val="2F8D01B1"/>
    <w:rsid w:val="2F8F18E7"/>
    <w:rsid w:val="2F8F217B"/>
    <w:rsid w:val="2F904855"/>
    <w:rsid w:val="2F90798D"/>
    <w:rsid w:val="2F925D39"/>
    <w:rsid w:val="2F94153F"/>
    <w:rsid w:val="2F963509"/>
    <w:rsid w:val="2F964427"/>
    <w:rsid w:val="2F971030"/>
    <w:rsid w:val="2F973FE0"/>
    <w:rsid w:val="2F990904"/>
    <w:rsid w:val="2F9B467C"/>
    <w:rsid w:val="2F9C03F4"/>
    <w:rsid w:val="2F9E416C"/>
    <w:rsid w:val="2F9F1779"/>
    <w:rsid w:val="2FA00FFD"/>
    <w:rsid w:val="2FA162B7"/>
    <w:rsid w:val="2FA21EAE"/>
    <w:rsid w:val="2FA572A9"/>
    <w:rsid w:val="2FA71273"/>
    <w:rsid w:val="2FA72C81"/>
    <w:rsid w:val="2FA8323D"/>
    <w:rsid w:val="2FA953FC"/>
    <w:rsid w:val="2FAA2B11"/>
    <w:rsid w:val="2FAA48BF"/>
    <w:rsid w:val="2FAB0637"/>
    <w:rsid w:val="2FAC4ADB"/>
    <w:rsid w:val="2FAC6889"/>
    <w:rsid w:val="2FAD2601"/>
    <w:rsid w:val="2FAE7DDE"/>
    <w:rsid w:val="2FAF0127"/>
    <w:rsid w:val="2FAF1ED5"/>
    <w:rsid w:val="2FB41BE1"/>
    <w:rsid w:val="2FB43C50"/>
    <w:rsid w:val="2FB44542"/>
    <w:rsid w:val="2FBB4D1E"/>
    <w:rsid w:val="2FBC2844"/>
    <w:rsid w:val="2FBE10A5"/>
    <w:rsid w:val="2FC17E5A"/>
    <w:rsid w:val="2FC260AC"/>
    <w:rsid w:val="2FC35981"/>
    <w:rsid w:val="2FC42004"/>
    <w:rsid w:val="2FC534E2"/>
    <w:rsid w:val="2FC55B9D"/>
    <w:rsid w:val="2FC736C3"/>
    <w:rsid w:val="2FC80E79"/>
    <w:rsid w:val="2FCA31B3"/>
    <w:rsid w:val="2FCA4873"/>
    <w:rsid w:val="2FCA6D0F"/>
    <w:rsid w:val="2FCB7306"/>
    <w:rsid w:val="2FCD0CCE"/>
    <w:rsid w:val="2FCF2577"/>
    <w:rsid w:val="2FD065E6"/>
    <w:rsid w:val="2FD15087"/>
    <w:rsid w:val="2FD23117"/>
    <w:rsid w:val="2FD23E16"/>
    <w:rsid w:val="2FD302BA"/>
    <w:rsid w:val="2FD96870"/>
    <w:rsid w:val="2FDB236B"/>
    <w:rsid w:val="2FDC6A42"/>
    <w:rsid w:val="2FDE2829"/>
    <w:rsid w:val="2FE029D7"/>
    <w:rsid w:val="2FE23D01"/>
    <w:rsid w:val="2FE51D9B"/>
    <w:rsid w:val="2FE7539E"/>
    <w:rsid w:val="2FE778C1"/>
    <w:rsid w:val="2FE83639"/>
    <w:rsid w:val="2FED29FE"/>
    <w:rsid w:val="2FEE6EA1"/>
    <w:rsid w:val="2FF16A3F"/>
    <w:rsid w:val="2FF26266"/>
    <w:rsid w:val="2FF40230"/>
    <w:rsid w:val="2FF41FDE"/>
    <w:rsid w:val="2FF67B04"/>
    <w:rsid w:val="2FF7387C"/>
    <w:rsid w:val="2FF81A65"/>
    <w:rsid w:val="2FFB08DE"/>
    <w:rsid w:val="2FFB3CF2"/>
    <w:rsid w:val="2FFD5337"/>
    <w:rsid w:val="2FFF61F5"/>
    <w:rsid w:val="30000983"/>
    <w:rsid w:val="30006BD5"/>
    <w:rsid w:val="300466C5"/>
    <w:rsid w:val="300541EB"/>
    <w:rsid w:val="30077F63"/>
    <w:rsid w:val="30085A89"/>
    <w:rsid w:val="300A2BA4"/>
    <w:rsid w:val="300B0CA4"/>
    <w:rsid w:val="300C7328"/>
    <w:rsid w:val="300F506A"/>
    <w:rsid w:val="300F6E18"/>
    <w:rsid w:val="301306B6"/>
    <w:rsid w:val="30157C01"/>
    <w:rsid w:val="30180F16"/>
    <w:rsid w:val="30191A45"/>
    <w:rsid w:val="301B756B"/>
    <w:rsid w:val="301E705B"/>
    <w:rsid w:val="3025663B"/>
    <w:rsid w:val="3029612C"/>
    <w:rsid w:val="302E3742"/>
    <w:rsid w:val="302E54F0"/>
    <w:rsid w:val="302F1268"/>
    <w:rsid w:val="3030597F"/>
    <w:rsid w:val="303074BA"/>
    <w:rsid w:val="3034062C"/>
    <w:rsid w:val="303625F7"/>
    <w:rsid w:val="3038011D"/>
    <w:rsid w:val="30384C45"/>
    <w:rsid w:val="303B4BB3"/>
    <w:rsid w:val="303F227E"/>
    <w:rsid w:val="303F3688"/>
    <w:rsid w:val="303F76FD"/>
    <w:rsid w:val="30403475"/>
    <w:rsid w:val="30421B52"/>
    <w:rsid w:val="30430644"/>
    <w:rsid w:val="30435014"/>
    <w:rsid w:val="30474804"/>
    <w:rsid w:val="304940D8"/>
    <w:rsid w:val="30494906"/>
    <w:rsid w:val="304C5976"/>
    <w:rsid w:val="304E16EE"/>
    <w:rsid w:val="304E7940"/>
    <w:rsid w:val="304F36B8"/>
    <w:rsid w:val="3050190A"/>
    <w:rsid w:val="30515682"/>
    <w:rsid w:val="305331A8"/>
    <w:rsid w:val="30542A7D"/>
    <w:rsid w:val="3056190F"/>
    <w:rsid w:val="30575942"/>
    <w:rsid w:val="305807BF"/>
    <w:rsid w:val="30580BC9"/>
    <w:rsid w:val="3058472F"/>
    <w:rsid w:val="30590093"/>
    <w:rsid w:val="305A4537"/>
    <w:rsid w:val="305A62E5"/>
    <w:rsid w:val="305B6B64"/>
    <w:rsid w:val="305D4027"/>
    <w:rsid w:val="305D5DD5"/>
    <w:rsid w:val="30601421"/>
    <w:rsid w:val="306233EC"/>
    <w:rsid w:val="30640F12"/>
    <w:rsid w:val="306522CD"/>
    <w:rsid w:val="30654C8A"/>
    <w:rsid w:val="30670A02"/>
    <w:rsid w:val="30676C54"/>
    <w:rsid w:val="30696528"/>
    <w:rsid w:val="306B420B"/>
    <w:rsid w:val="30731155"/>
    <w:rsid w:val="3073435F"/>
    <w:rsid w:val="30742770"/>
    <w:rsid w:val="307750E9"/>
    <w:rsid w:val="3078777A"/>
    <w:rsid w:val="30797747"/>
    <w:rsid w:val="307A6987"/>
    <w:rsid w:val="307D6477"/>
    <w:rsid w:val="30813EA4"/>
    <w:rsid w:val="308415B4"/>
    <w:rsid w:val="30850E88"/>
    <w:rsid w:val="30874C00"/>
    <w:rsid w:val="308A4420"/>
    <w:rsid w:val="308B0A80"/>
    <w:rsid w:val="308C0468"/>
    <w:rsid w:val="30901D07"/>
    <w:rsid w:val="30907F59"/>
    <w:rsid w:val="30933B47"/>
    <w:rsid w:val="30937A49"/>
    <w:rsid w:val="3095556F"/>
    <w:rsid w:val="30963613"/>
    <w:rsid w:val="30976DA2"/>
    <w:rsid w:val="309C1495"/>
    <w:rsid w:val="309C68FD"/>
    <w:rsid w:val="309D08C8"/>
    <w:rsid w:val="30A113A9"/>
    <w:rsid w:val="30A21A3A"/>
    <w:rsid w:val="30A457B2"/>
    <w:rsid w:val="30A6152A"/>
    <w:rsid w:val="30A63CC6"/>
    <w:rsid w:val="30A734F4"/>
    <w:rsid w:val="30A92DC8"/>
    <w:rsid w:val="30AD0B0B"/>
    <w:rsid w:val="30AD0FC8"/>
    <w:rsid w:val="30AE38E8"/>
    <w:rsid w:val="30B005FB"/>
    <w:rsid w:val="30B11567"/>
    <w:rsid w:val="30B11C7D"/>
    <w:rsid w:val="30B21407"/>
    <w:rsid w:val="30B33C47"/>
    <w:rsid w:val="30B40C26"/>
    <w:rsid w:val="30B5176D"/>
    <w:rsid w:val="30B55C11"/>
    <w:rsid w:val="30B579BF"/>
    <w:rsid w:val="30BB2AFC"/>
    <w:rsid w:val="30BB3468"/>
    <w:rsid w:val="30BD5EAE"/>
    <w:rsid w:val="30BF439A"/>
    <w:rsid w:val="30C05955"/>
    <w:rsid w:val="30C11F27"/>
    <w:rsid w:val="30C3032E"/>
    <w:rsid w:val="30C32136"/>
    <w:rsid w:val="30C329C2"/>
    <w:rsid w:val="30C408DA"/>
    <w:rsid w:val="30C47C02"/>
    <w:rsid w:val="30C6397A"/>
    <w:rsid w:val="30C916BD"/>
    <w:rsid w:val="30C9346B"/>
    <w:rsid w:val="30C96BFD"/>
    <w:rsid w:val="30CB2D3F"/>
    <w:rsid w:val="30CB71E3"/>
    <w:rsid w:val="30D00355"/>
    <w:rsid w:val="30D065A7"/>
    <w:rsid w:val="30D20571"/>
    <w:rsid w:val="30D2231F"/>
    <w:rsid w:val="30D342E9"/>
    <w:rsid w:val="30D53BBD"/>
    <w:rsid w:val="30D64D73"/>
    <w:rsid w:val="30DA5678"/>
    <w:rsid w:val="30DC0DDE"/>
    <w:rsid w:val="30DD0CC4"/>
    <w:rsid w:val="30DE7118"/>
    <w:rsid w:val="30DF67EA"/>
    <w:rsid w:val="30E219DC"/>
    <w:rsid w:val="30E3373A"/>
    <w:rsid w:val="30E43E01"/>
    <w:rsid w:val="30E81B43"/>
    <w:rsid w:val="30E958BB"/>
    <w:rsid w:val="30EA0F6A"/>
    <w:rsid w:val="30EC48CC"/>
    <w:rsid w:val="30ED7159"/>
    <w:rsid w:val="30EE62A0"/>
    <w:rsid w:val="30EE78EB"/>
    <w:rsid w:val="30F26698"/>
    <w:rsid w:val="30F40012"/>
    <w:rsid w:val="30F46739"/>
    <w:rsid w:val="30F56A18"/>
    <w:rsid w:val="30F71D86"/>
    <w:rsid w:val="30F73B34"/>
    <w:rsid w:val="30F75AE9"/>
    <w:rsid w:val="30F77374"/>
    <w:rsid w:val="30F878AC"/>
    <w:rsid w:val="30F93D50"/>
    <w:rsid w:val="30FA3624"/>
    <w:rsid w:val="30FB552D"/>
    <w:rsid w:val="30FC4781"/>
    <w:rsid w:val="30FD3EF5"/>
    <w:rsid w:val="30FF4184"/>
    <w:rsid w:val="30FF50DE"/>
    <w:rsid w:val="310149B3"/>
    <w:rsid w:val="310224D9"/>
    <w:rsid w:val="31036154"/>
    <w:rsid w:val="310426F5"/>
    <w:rsid w:val="31083F93"/>
    <w:rsid w:val="310848F1"/>
    <w:rsid w:val="310E4D2C"/>
    <w:rsid w:val="3112096E"/>
    <w:rsid w:val="31126BC0"/>
    <w:rsid w:val="31130176"/>
    <w:rsid w:val="311679C1"/>
    <w:rsid w:val="31172428"/>
    <w:rsid w:val="311741D6"/>
    <w:rsid w:val="311C17EC"/>
    <w:rsid w:val="311E2ED7"/>
    <w:rsid w:val="311E5564"/>
    <w:rsid w:val="3123252F"/>
    <w:rsid w:val="31233560"/>
    <w:rsid w:val="3126064B"/>
    <w:rsid w:val="31264419"/>
    <w:rsid w:val="312712E8"/>
    <w:rsid w:val="312863E3"/>
    <w:rsid w:val="312959AF"/>
    <w:rsid w:val="312C4544"/>
    <w:rsid w:val="312D1C4B"/>
    <w:rsid w:val="312D57A8"/>
    <w:rsid w:val="312E1520"/>
    <w:rsid w:val="31336604"/>
    <w:rsid w:val="31342FDA"/>
    <w:rsid w:val="31350B00"/>
    <w:rsid w:val="3135465C"/>
    <w:rsid w:val="313649A0"/>
    <w:rsid w:val="31386C02"/>
    <w:rsid w:val="313A7EC4"/>
    <w:rsid w:val="313E7F05"/>
    <w:rsid w:val="313F3DA1"/>
    <w:rsid w:val="31442AF1"/>
    <w:rsid w:val="31452ECB"/>
    <w:rsid w:val="314825E1"/>
    <w:rsid w:val="31490108"/>
    <w:rsid w:val="314A2E16"/>
    <w:rsid w:val="314D409C"/>
    <w:rsid w:val="31532D34"/>
    <w:rsid w:val="31533EC8"/>
    <w:rsid w:val="31552F50"/>
    <w:rsid w:val="31556AAC"/>
    <w:rsid w:val="31560503"/>
    <w:rsid w:val="315619EE"/>
    <w:rsid w:val="315A40C3"/>
    <w:rsid w:val="315C42DF"/>
    <w:rsid w:val="315C449C"/>
    <w:rsid w:val="315F792B"/>
    <w:rsid w:val="316118F5"/>
    <w:rsid w:val="3163741B"/>
    <w:rsid w:val="31644E4D"/>
    <w:rsid w:val="31644F41"/>
    <w:rsid w:val="31653193"/>
    <w:rsid w:val="31662A68"/>
    <w:rsid w:val="3166515D"/>
    <w:rsid w:val="31666F0B"/>
    <w:rsid w:val="316A07AA"/>
    <w:rsid w:val="316B62D0"/>
    <w:rsid w:val="316D029A"/>
    <w:rsid w:val="316D2EE9"/>
    <w:rsid w:val="316F4012"/>
    <w:rsid w:val="316F645A"/>
    <w:rsid w:val="31723B02"/>
    <w:rsid w:val="31723B14"/>
    <w:rsid w:val="31727244"/>
    <w:rsid w:val="31741628"/>
    <w:rsid w:val="31745184"/>
    <w:rsid w:val="317563EE"/>
    <w:rsid w:val="31774C75"/>
    <w:rsid w:val="31796C3F"/>
    <w:rsid w:val="317A1902"/>
    <w:rsid w:val="317A4216"/>
    <w:rsid w:val="317B6345"/>
    <w:rsid w:val="31803897"/>
    <w:rsid w:val="318178A1"/>
    <w:rsid w:val="31832A8A"/>
    <w:rsid w:val="318528C9"/>
    <w:rsid w:val="3186135C"/>
    <w:rsid w:val="318850D4"/>
    <w:rsid w:val="31887D35"/>
    <w:rsid w:val="318956D7"/>
    <w:rsid w:val="31896DCB"/>
    <w:rsid w:val="318A02A8"/>
    <w:rsid w:val="318B0720"/>
    <w:rsid w:val="318B67D0"/>
    <w:rsid w:val="318D26EA"/>
    <w:rsid w:val="318D4498"/>
    <w:rsid w:val="31903F88"/>
    <w:rsid w:val="31911F3C"/>
    <w:rsid w:val="31943A79"/>
    <w:rsid w:val="319677F1"/>
    <w:rsid w:val="319706D9"/>
    <w:rsid w:val="31975317"/>
    <w:rsid w:val="319770C5"/>
    <w:rsid w:val="31992E3D"/>
    <w:rsid w:val="319A0963"/>
    <w:rsid w:val="319B007F"/>
    <w:rsid w:val="319B0D52"/>
    <w:rsid w:val="319B6BB5"/>
    <w:rsid w:val="319C67EC"/>
    <w:rsid w:val="31A0241D"/>
    <w:rsid w:val="31A11CF2"/>
    <w:rsid w:val="31A16195"/>
    <w:rsid w:val="31A31F0E"/>
    <w:rsid w:val="31A67592"/>
    <w:rsid w:val="31A87524"/>
    <w:rsid w:val="31AA0140"/>
    <w:rsid w:val="31AE34DE"/>
    <w:rsid w:val="31AF2660"/>
    <w:rsid w:val="31AF440F"/>
    <w:rsid w:val="31B25CAD"/>
    <w:rsid w:val="31B614E7"/>
    <w:rsid w:val="31B639EF"/>
    <w:rsid w:val="31B71C9E"/>
    <w:rsid w:val="31B77C2E"/>
    <w:rsid w:val="31B814AB"/>
    <w:rsid w:val="31B82709"/>
    <w:rsid w:val="31B859B9"/>
    <w:rsid w:val="31BD0FE6"/>
    <w:rsid w:val="31C14037"/>
    <w:rsid w:val="31CA5FF5"/>
    <w:rsid w:val="31CB6D6E"/>
    <w:rsid w:val="31CC3212"/>
    <w:rsid w:val="31CD0D39"/>
    <w:rsid w:val="31CF685F"/>
    <w:rsid w:val="31D05482"/>
    <w:rsid w:val="31D07039"/>
    <w:rsid w:val="31D36B71"/>
    <w:rsid w:val="31D40319"/>
    <w:rsid w:val="31D71BB7"/>
    <w:rsid w:val="31D73965"/>
    <w:rsid w:val="31D9148B"/>
    <w:rsid w:val="31DA24E5"/>
    <w:rsid w:val="31DE3900"/>
    <w:rsid w:val="31DE4CF4"/>
    <w:rsid w:val="31DE6AA2"/>
    <w:rsid w:val="31DF128E"/>
    <w:rsid w:val="31E22A36"/>
    <w:rsid w:val="31E7004C"/>
    <w:rsid w:val="31E84EAE"/>
    <w:rsid w:val="31EA1892"/>
    <w:rsid w:val="31EC7411"/>
    <w:rsid w:val="31EF4885"/>
    <w:rsid w:val="31EF5153"/>
    <w:rsid w:val="31F6028F"/>
    <w:rsid w:val="31F84007"/>
    <w:rsid w:val="31F91B2E"/>
    <w:rsid w:val="31FB3AF8"/>
    <w:rsid w:val="31FC33CC"/>
    <w:rsid w:val="31FD1A5A"/>
    <w:rsid w:val="31FF5ABB"/>
    <w:rsid w:val="3201091F"/>
    <w:rsid w:val="32024E86"/>
    <w:rsid w:val="320333A5"/>
    <w:rsid w:val="32075FF9"/>
    <w:rsid w:val="32095EE6"/>
    <w:rsid w:val="320A7897"/>
    <w:rsid w:val="320F4EAD"/>
    <w:rsid w:val="32110C25"/>
    <w:rsid w:val="321150C9"/>
    <w:rsid w:val="32116E77"/>
    <w:rsid w:val="32132BEF"/>
    <w:rsid w:val="32136ADD"/>
    <w:rsid w:val="321473D2"/>
    <w:rsid w:val="321626E0"/>
    <w:rsid w:val="3216623C"/>
    <w:rsid w:val="32171FB4"/>
    <w:rsid w:val="321921D0"/>
    <w:rsid w:val="32193F7E"/>
    <w:rsid w:val="321E1594"/>
    <w:rsid w:val="322070BA"/>
    <w:rsid w:val="32222E32"/>
    <w:rsid w:val="32253768"/>
    <w:rsid w:val="322546D1"/>
    <w:rsid w:val="322841C1"/>
    <w:rsid w:val="32292413"/>
    <w:rsid w:val="322A1CE7"/>
    <w:rsid w:val="322A618B"/>
    <w:rsid w:val="322C5F68"/>
    <w:rsid w:val="322F554F"/>
    <w:rsid w:val="322F7F9F"/>
    <w:rsid w:val="32310A01"/>
    <w:rsid w:val="32313075"/>
    <w:rsid w:val="32324188"/>
    <w:rsid w:val="32340FEC"/>
    <w:rsid w:val="32342B66"/>
    <w:rsid w:val="323448E6"/>
    <w:rsid w:val="32382656"/>
    <w:rsid w:val="3239017C"/>
    <w:rsid w:val="323A4620"/>
    <w:rsid w:val="323B3EF4"/>
    <w:rsid w:val="323C2E8C"/>
    <w:rsid w:val="323C5A5D"/>
    <w:rsid w:val="323D1A1A"/>
    <w:rsid w:val="32400B34"/>
    <w:rsid w:val="3240150B"/>
    <w:rsid w:val="3240775C"/>
    <w:rsid w:val="324619E1"/>
    <w:rsid w:val="324917E3"/>
    <w:rsid w:val="32495490"/>
    <w:rsid w:val="324A2389"/>
    <w:rsid w:val="324C5552"/>
    <w:rsid w:val="324C6101"/>
    <w:rsid w:val="324F79A0"/>
    <w:rsid w:val="32513718"/>
    <w:rsid w:val="32513C22"/>
    <w:rsid w:val="32543208"/>
    <w:rsid w:val="32544FB6"/>
    <w:rsid w:val="32560A85"/>
    <w:rsid w:val="325739D9"/>
    <w:rsid w:val="32577D64"/>
    <w:rsid w:val="325823B4"/>
    <w:rsid w:val="325B00F2"/>
    <w:rsid w:val="325B78A5"/>
    <w:rsid w:val="325D3E6B"/>
    <w:rsid w:val="325D57EE"/>
    <w:rsid w:val="325E5DFE"/>
    <w:rsid w:val="325F4087"/>
    <w:rsid w:val="3260395B"/>
    <w:rsid w:val="32625925"/>
    <w:rsid w:val="32633119"/>
    <w:rsid w:val="32641B63"/>
    <w:rsid w:val="32650F71"/>
    <w:rsid w:val="3267118D"/>
    <w:rsid w:val="32672F3B"/>
    <w:rsid w:val="32690A61"/>
    <w:rsid w:val="32695A0B"/>
    <w:rsid w:val="326966D7"/>
    <w:rsid w:val="326C2300"/>
    <w:rsid w:val="326E42CA"/>
    <w:rsid w:val="326F1DF0"/>
    <w:rsid w:val="327411B4"/>
    <w:rsid w:val="327613D0"/>
    <w:rsid w:val="327A0EC0"/>
    <w:rsid w:val="327A33B7"/>
    <w:rsid w:val="327A7C5E"/>
    <w:rsid w:val="327B2543"/>
    <w:rsid w:val="327C2226"/>
    <w:rsid w:val="327D1250"/>
    <w:rsid w:val="327D275F"/>
    <w:rsid w:val="327D450D"/>
    <w:rsid w:val="327D62BB"/>
    <w:rsid w:val="327E5FA2"/>
    <w:rsid w:val="32827D75"/>
    <w:rsid w:val="32877139"/>
    <w:rsid w:val="328947D0"/>
    <w:rsid w:val="328A09D8"/>
    <w:rsid w:val="328A7C8A"/>
    <w:rsid w:val="328E04C8"/>
    <w:rsid w:val="328E671A"/>
    <w:rsid w:val="32904240"/>
    <w:rsid w:val="329047D2"/>
    <w:rsid w:val="32906C44"/>
    <w:rsid w:val="32931F82"/>
    <w:rsid w:val="32934090"/>
    <w:rsid w:val="3293788C"/>
    <w:rsid w:val="32944C34"/>
    <w:rsid w:val="32951856"/>
    <w:rsid w:val="32960DA6"/>
    <w:rsid w:val="3298073B"/>
    <w:rsid w:val="329A50BF"/>
    <w:rsid w:val="329B2BE5"/>
    <w:rsid w:val="329D695D"/>
    <w:rsid w:val="329E6876"/>
    <w:rsid w:val="329F23BC"/>
    <w:rsid w:val="32A63768"/>
    <w:rsid w:val="32A63A63"/>
    <w:rsid w:val="32A73338"/>
    <w:rsid w:val="32A777DC"/>
    <w:rsid w:val="32AC3044"/>
    <w:rsid w:val="32B01391"/>
    <w:rsid w:val="32B07E7C"/>
    <w:rsid w:val="32B1065A"/>
    <w:rsid w:val="32B31CDC"/>
    <w:rsid w:val="32B617CD"/>
    <w:rsid w:val="32B67A1F"/>
    <w:rsid w:val="32B67CF1"/>
    <w:rsid w:val="32BA306B"/>
    <w:rsid w:val="32BB5035"/>
    <w:rsid w:val="32BF4133"/>
    <w:rsid w:val="32BF4B25"/>
    <w:rsid w:val="32C263C3"/>
    <w:rsid w:val="32C65EB4"/>
    <w:rsid w:val="32CA7F3B"/>
    <w:rsid w:val="32CB171C"/>
    <w:rsid w:val="32CB34CA"/>
    <w:rsid w:val="32CB4CCC"/>
    <w:rsid w:val="32CD0204"/>
    <w:rsid w:val="32CE4D68"/>
    <w:rsid w:val="32D00AE0"/>
    <w:rsid w:val="32D13BDA"/>
    <w:rsid w:val="32D3237F"/>
    <w:rsid w:val="32D560F7"/>
    <w:rsid w:val="32D57EA5"/>
    <w:rsid w:val="32D63C1D"/>
    <w:rsid w:val="32D81743"/>
    <w:rsid w:val="32D95FA1"/>
    <w:rsid w:val="32DA355A"/>
    <w:rsid w:val="32DC17A7"/>
    <w:rsid w:val="32DC3E61"/>
    <w:rsid w:val="32DC4D9C"/>
    <w:rsid w:val="32DC56D7"/>
    <w:rsid w:val="32DD31FD"/>
    <w:rsid w:val="32DE074E"/>
    <w:rsid w:val="32DF6F75"/>
    <w:rsid w:val="32E04BAD"/>
    <w:rsid w:val="32E12CEE"/>
    <w:rsid w:val="32E225C2"/>
    <w:rsid w:val="32E53E60"/>
    <w:rsid w:val="32E60304"/>
    <w:rsid w:val="32E60EA2"/>
    <w:rsid w:val="32EA3B58"/>
    <w:rsid w:val="32EB3B6C"/>
    <w:rsid w:val="32ED1692"/>
    <w:rsid w:val="32EE0F67"/>
    <w:rsid w:val="32EF3082"/>
    <w:rsid w:val="32F078B4"/>
    <w:rsid w:val="32F347CF"/>
    <w:rsid w:val="32F50547"/>
    <w:rsid w:val="32F72511"/>
    <w:rsid w:val="32FA3DAF"/>
    <w:rsid w:val="32FA542B"/>
    <w:rsid w:val="32FA5B5D"/>
    <w:rsid w:val="32FA790B"/>
    <w:rsid w:val="32FD564D"/>
    <w:rsid w:val="32FE389F"/>
    <w:rsid w:val="33022C64"/>
    <w:rsid w:val="33030EB6"/>
    <w:rsid w:val="330469DC"/>
    <w:rsid w:val="33062754"/>
    <w:rsid w:val="330662B0"/>
    <w:rsid w:val="330864CC"/>
    <w:rsid w:val="33092244"/>
    <w:rsid w:val="33095DA0"/>
    <w:rsid w:val="330B0743"/>
    <w:rsid w:val="330E1609"/>
    <w:rsid w:val="330E33B7"/>
    <w:rsid w:val="330F7979"/>
    <w:rsid w:val="3310712F"/>
    <w:rsid w:val="331434D9"/>
    <w:rsid w:val="33154745"/>
    <w:rsid w:val="33162750"/>
    <w:rsid w:val="33182B5B"/>
    <w:rsid w:val="33185FE3"/>
    <w:rsid w:val="331A61FF"/>
    <w:rsid w:val="331D7A9E"/>
    <w:rsid w:val="331D7FBC"/>
    <w:rsid w:val="3320203F"/>
    <w:rsid w:val="33206CE2"/>
    <w:rsid w:val="3321133C"/>
    <w:rsid w:val="332130EA"/>
    <w:rsid w:val="332350B4"/>
    <w:rsid w:val="33240E2C"/>
    <w:rsid w:val="33266952"/>
    <w:rsid w:val="3326769E"/>
    <w:rsid w:val="33271912"/>
    <w:rsid w:val="33274478"/>
    <w:rsid w:val="332901F1"/>
    <w:rsid w:val="33291F9F"/>
    <w:rsid w:val="33292712"/>
    <w:rsid w:val="33294694"/>
    <w:rsid w:val="332B3F69"/>
    <w:rsid w:val="332B7152"/>
    <w:rsid w:val="332D1A72"/>
    <w:rsid w:val="332D7CE1"/>
    <w:rsid w:val="3330157F"/>
    <w:rsid w:val="333015F2"/>
    <w:rsid w:val="3333106F"/>
    <w:rsid w:val="33354DE7"/>
    <w:rsid w:val="3337290D"/>
    <w:rsid w:val="33380434"/>
    <w:rsid w:val="33386686"/>
    <w:rsid w:val="333A41AC"/>
    <w:rsid w:val="333C6176"/>
    <w:rsid w:val="333F17C2"/>
    <w:rsid w:val="3341378C"/>
    <w:rsid w:val="3345781A"/>
    <w:rsid w:val="33473734"/>
    <w:rsid w:val="3348686B"/>
    <w:rsid w:val="33490893"/>
    <w:rsid w:val="3349717B"/>
    <w:rsid w:val="334B460B"/>
    <w:rsid w:val="334B6320"/>
    <w:rsid w:val="334C7BCC"/>
    <w:rsid w:val="334D2131"/>
    <w:rsid w:val="33506981"/>
    <w:rsid w:val="33515DAA"/>
    <w:rsid w:val="33527747"/>
    <w:rsid w:val="335334BF"/>
    <w:rsid w:val="33590AD6"/>
    <w:rsid w:val="335A241A"/>
    <w:rsid w:val="335C4122"/>
    <w:rsid w:val="335F1E64"/>
    <w:rsid w:val="33615BDC"/>
    <w:rsid w:val="336254B1"/>
    <w:rsid w:val="33633703"/>
    <w:rsid w:val="33635E53"/>
    <w:rsid w:val="33642B9D"/>
    <w:rsid w:val="336456CD"/>
    <w:rsid w:val="33662C95"/>
    <w:rsid w:val="336631F3"/>
    <w:rsid w:val="33685C64"/>
    <w:rsid w:val="336950B3"/>
    <w:rsid w:val="336A2CE3"/>
    <w:rsid w:val="336B45E5"/>
    <w:rsid w:val="336B6A5B"/>
    <w:rsid w:val="336C32D1"/>
    <w:rsid w:val="336E20A7"/>
    <w:rsid w:val="336E2F66"/>
    <w:rsid w:val="336F4CB0"/>
    <w:rsid w:val="33707BCD"/>
    <w:rsid w:val="33721B98"/>
    <w:rsid w:val="33731823"/>
    <w:rsid w:val="337551E4"/>
    <w:rsid w:val="33791178"/>
    <w:rsid w:val="33792F26"/>
    <w:rsid w:val="337C47C4"/>
    <w:rsid w:val="3380392C"/>
    <w:rsid w:val="3381002D"/>
    <w:rsid w:val="33813D35"/>
    <w:rsid w:val="3385493C"/>
    <w:rsid w:val="33865643"/>
    <w:rsid w:val="338813BB"/>
    <w:rsid w:val="33896EE1"/>
    <w:rsid w:val="338A1115"/>
    <w:rsid w:val="338A5133"/>
    <w:rsid w:val="338A642D"/>
    <w:rsid w:val="338D077F"/>
    <w:rsid w:val="338D4C23"/>
    <w:rsid w:val="33941B0E"/>
    <w:rsid w:val="33945845"/>
    <w:rsid w:val="339729D0"/>
    <w:rsid w:val="339733AC"/>
    <w:rsid w:val="33977850"/>
    <w:rsid w:val="339C4E66"/>
    <w:rsid w:val="339D5FE4"/>
    <w:rsid w:val="339E0BDF"/>
    <w:rsid w:val="339E473B"/>
    <w:rsid w:val="339F04B3"/>
    <w:rsid w:val="33A03224"/>
    <w:rsid w:val="33A04957"/>
    <w:rsid w:val="33A31D51"/>
    <w:rsid w:val="33A874A4"/>
    <w:rsid w:val="33A90982"/>
    <w:rsid w:val="33AE06F6"/>
    <w:rsid w:val="33AE6D1A"/>
    <w:rsid w:val="33B05E45"/>
    <w:rsid w:val="33B51A84"/>
    <w:rsid w:val="33B814AB"/>
    <w:rsid w:val="33B977C6"/>
    <w:rsid w:val="33BA709B"/>
    <w:rsid w:val="33C0263A"/>
    <w:rsid w:val="33C1667B"/>
    <w:rsid w:val="33C323F3"/>
    <w:rsid w:val="33C4261F"/>
    <w:rsid w:val="33C61EE3"/>
    <w:rsid w:val="33C80FA0"/>
    <w:rsid w:val="33CA3782"/>
    <w:rsid w:val="33CC7D90"/>
    <w:rsid w:val="33CD5020"/>
    <w:rsid w:val="33CE7DDD"/>
    <w:rsid w:val="33CF6FEA"/>
    <w:rsid w:val="33D463AE"/>
    <w:rsid w:val="33D70DA3"/>
    <w:rsid w:val="33D73968"/>
    <w:rsid w:val="33D934D4"/>
    <w:rsid w:val="33D939C5"/>
    <w:rsid w:val="33D97E69"/>
    <w:rsid w:val="33DB598F"/>
    <w:rsid w:val="33DC5263"/>
    <w:rsid w:val="33DD228D"/>
    <w:rsid w:val="33E04D53"/>
    <w:rsid w:val="33E22740"/>
    <w:rsid w:val="33E228C0"/>
    <w:rsid w:val="33E31DA0"/>
    <w:rsid w:val="33E32A95"/>
    <w:rsid w:val="33E60633"/>
    <w:rsid w:val="33E97AF5"/>
    <w:rsid w:val="33EB36F8"/>
    <w:rsid w:val="33EC194A"/>
    <w:rsid w:val="33F00D0E"/>
    <w:rsid w:val="33F20F2A"/>
    <w:rsid w:val="33F26834"/>
    <w:rsid w:val="33F3569D"/>
    <w:rsid w:val="33F46B2D"/>
    <w:rsid w:val="33F6144D"/>
    <w:rsid w:val="33F702EF"/>
    <w:rsid w:val="33F7209D"/>
    <w:rsid w:val="33F97BC3"/>
    <w:rsid w:val="33FB393B"/>
    <w:rsid w:val="33FE167D"/>
    <w:rsid w:val="33FE2497"/>
    <w:rsid w:val="33FE2F6A"/>
    <w:rsid w:val="33FE342B"/>
    <w:rsid w:val="33FE78CF"/>
    <w:rsid w:val="33FF7D4A"/>
    <w:rsid w:val="34000F51"/>
    <w:rsid w:val="340143F2"/>
    <w:rsid w:val="3402116D"/>
    <w:rsid w:val="340225C1"/>
    <w:rsid w:val="34036C94"/>
    <w:rsid w:val="3404613E"/>
    <w:rsid w:val="340622E0"/>
    <w:rsid w:val="34063BAE"/>
    <w:rsid w:val="340842AA"/>
    <w:rsid w:val="34086058"/>
    <w:rsid w:val="340B78F6"/>
    <w:rsid w:val="340C3D9A"/>
    <w:rsid w:val="340C5B48"/>
    <w:rsid w:val="340C6244"/>
    <w:rsid w:val="340D76D4"/>
    <w:rsid w:val="340D7B12"/>
    <w:rsid w:val="340E07E5"/>
    <w:rsid w:val="341113B0"/>
    <w:rsid w:val="34126ED7"/>
    <w:rsid w:val="341449FD"/>
    <w:rsid w:val="341847E7"/>
    <w:rsid w:val="34191465"/>
    <w:rsid w:val="341D2392"/>
    <w:rsid w:val="341E1D1F"/>
    <w:rsid w:val="342235BE"/>
    <w:rsid w:val="34235BF7"/>
    <w:rsid w:val="34237336"/>
    <w:rsid w:val="342745F5"/>
    <w:rsid w:val="34285A89"/>
    <w:rsid w:val="342866FA"/>
    <w:rsid w:val="342C4FCD"/>
    <w:rsid w:val="342D1A2F"/>
    <w:rsid w:val="342D2621"/>
    <w:rsid w:val="342F5CDB"/>
    <w:rsid w:val="34344BA9"/>
    <w:rsid w:val="3437693D"/>
    <w:rsid w:val="343926B5"/>
    <w:rsid w:val="343B759E"/>
    <w:rsid w:val="343C4C08"/>
    <w:rsid w:val="343D21A6"/>
    <w:rsid w:val="343E5F1E"/>
    <w:rsid w:val="343F6D1F"/>
    <w:rsid w:val="3441590F"/>
    <w:rsid w:val="3442156A"/>
    <w:rsid w:val="34453AAC"/>
    <w:rsid w:val="34474EC5"/>
    <w:rsid w:val="34476B80"/>
    <w:rsid w:val="34487319"/>
    <w:rsid w:val="344965DF"/>
    <w:rsid w:val="344A48C2"/>
    <w:rsid w:val="344D6161"/>
    <w:rsid w:val="344F1ED9"/>
    <w:rsid w:val="34515C51"/>
    <w:rsid w:val="345179FF"/>
    <w:rsid w:val="34533777"/>
    <w:rsid w:val="34557F8E"/>
    <w:rsid w:val="345614B9"/>
    <w:rsid w:val="34565511"/>
    <w:rsid w:val="345656C7"/>
    <w:rsid w:val="345B6AD0"/>
    <w:rsid w:val="345C1A8B"/>
    <w:rsid w:val="345E036E"/>
    <w:rsid w:val="34621455"/>
    <w:rsid w:val="346312E3"/>
    <w:rsid w:val="346408A6"/>
    <w:rsid w:val="346516FC"/>
    <w:rsid w:val="34661E18"/>
    <w:rsid w:val="34686752"/>
    <w:rsid w:val="3469433F"/>
    <w:rsid w:val="346A6D13"/>
    <w:rsid w:val="346E6803"/>
    <w:rsid w:val="346F4329"/>
    <w:rsid w:val="347100A1"/>
    <w:rsid w:val="3474193F"/>
    <w:rsid w:val="34756C72"/>
    <w:rsid w:val="34777DD3"/>
    <w:rsid w:val="347B4A7C"/>
    <w:rsid w:val="347B7A7A"/>
    <w:rsid w:val="347C107E"/>
    <w:rsid w:val="347D07F4"/>
    <w:rsid w:val="347D6A46"/>
    <w:rsid w:val="347E631A"/>
    <w:rsid w:val="347F27BE"/>
    <w:rsid w:val="34806536"/>
    <w:rsid w:val="34810E85"/>
    <w:rsid w:val="34825E0A"/>
    <w:rsid w:val="34847DD4"/>
    <w:rsid w:val="34873A5C"/>
    <w:rsid w:val="34875969"/>
    <w:rsid w:val="348800C5"/>
    <w:rsid w:val="34880F47"/>
    <w:rsid w:val="34896FA2"/>
    <w:rsid w:val="348A1163"/>
    <w:rsid w:val="348A2F11"/>
    <w:rsid w:val="348A4CBF"/>
    <w:rsid w:val="348E2A01"/>
    <w:rsid w:val="349074EA"/>
    <w:rsid w:val="34936269"/>
    <w:rsid w:val="34967B08"/>
    <w:rsid w:val="34983880"/>
    <w:rsid w:val="349868D2"/>
    <w:rsid w:val="34993154"/>
    <w:rsid w:val="349D49F2"/>
    <w:rsid w:val="349F69BC"/>
    <w:rsid w:val="34A00BFF"/>
    <w:rsid w:val="34A01250"/>
    <w:rsid w:val="34A301BF"/>
    <w:rsid w:val="34A50280"/>
    <w:rsid w:val="34A6722E"/>
    <w:rsid w:val="34A73AC3"/>
    <w:rsid w:val="34A87275"/>
    <w:rsid w:val="34AC0153"/>
    <w:rsid w:val="34AE6C82"/>
    <w:rsid w:val="34AF4725"/>
    <w:rsid w:val="34B25DD9"/>
    <w:rsid w:val="34B306BA"/>
    <w:rsid w:val="34B451A4"/>
    <w:rsid w:val="34B47F8E"/>
    <w:rsid w:val="34B60741"/>
    <w:rsid w:val="34B63D06"/>
    <w:rsid w:val="34BA37F6"/>
    <w:rsid w:val="34BA45C5"/>
    <w:rsid w:val="34BB131C"/>
    <w:rsid w:val="34BD6E42"/>
    <w:rsid w:val="34C05919"/>
    <w:rsid w:val="34C06933"/>
    <w:rsid w:val="34C226AB"/>
    <w:rsid w:val="34C603ED"/>
    <w:rsid w:val="34C851F1"/>
    <w:rsid w:val="34C93A39"/>
    <w:rsid w:val="34CA155F"/>
    <w:rsid w:val="34CC342B"/>
    <w:rsid w:val="34CC3529"/>
    <w:rsid w:val="34CE72A2"/>
    <w:rsid w:val="34D0301A"/>
    <w:rsid w:val="34D0497D"/>
    <w:rsid w:val="34D04DC8"/>
    <w:rsid w:val="34D16D92"/>
    <w:rsid w:val="34D443CD"/>
    <w:rsid w:val="34D523DE"/>
    <w:rsid w:val="34D55C1E"/>
    <w:rsid w:val="34D66156"/>
    <w:rsid w:val="34D7661B"/>
    <w:rsid w:val="34DA5C46"/>
    <w:rsid w:val="34DB21EC"/>
    <w:rsid w:val="34DF14AF"/>
    <w:rsid w:val="34DF500B"/>
    <w:rsid w:val="34E34E6F"/>
    <w:rsid w:val="34E72C04"/>
    <w:rsid w:val="34E95E89"/>
    <w:rsid w:val="34EE16F2"/>
    <w:rsid w:val="34EE34A0"/>
    <w:rsid w:val="34EF058C"/>
    <w:rsid w:val="34EF6160"/>
    <w:rsid w:val="34F00BCA"/>
    <w:rsid w:val="34F03F67"/>
    <w:rsid w:val="34F55208"/>
    <w:rsid w:val="34F565DC"/>
    <w:rsid w:val="34F62354"/>
    <w:rsid w:val="34F66698"/>
    <w:rsid w:val="34FA62E8"/>
    <w:rsid w:val="34FB4D63"/>
    <w:rsid w:val="34FF745B"/>
    <w:rsid w:val="35004795"/>
    <w:rsid w:val="35040F15"/>
    <w:rsid w:val="35041EEB"/>
    <w:rsid w:val="35042CC3"/>
    <w:rsid w:val="35061822"/>
    <w:rsid w:val="35076310"/>
    <w:rsid w:val="350902DA"/>
    <w:rsid w:val="350C348F"/>
    <w:rsid w:val="350E769E"/>
    <w:rsid w:val="350F0980"/>
    <w:rsid w:val="350F21D1"/>
    <w:rsid w:val="35103416"/>
    <w:rsid w:val="35106C46"/>
    <w:rsid w:val="35124938"/>
    <w:rsid w:val="35125815"/>
    <w:rsid w:val="35131158"/>
    <w:rsid w:val="35156C7E"/>
    <w:rsid w:val="35170C48"/>
    <w:rsid w:val="351729F7"/>
    <w:rsid w:val="351879DF"/>
    <w:rsid w:val="351A24E7"/>
    <w:rsid w:val="351D1843"/>
    <w:rsid w:val="351D1FD7"/>
    <w:rsid w:val="351D3D85"/>
    <w:rsid w:val="351F3659"/>
    <w:rsid w:val="35212D95"/>
    <w:rsid w:val="35215623"/>
    <w:rsid w:val="35234E2B"/>
    <w:rsid w:val="35240049"/>
    <w:rsid w:val="35246EC1"/>
    <w:rsid w:val="35260E8C"/>
    <w:rsid w:val="352769B2"/>
    <w:rsid w:val="352944D8"/>
    <w:rsid w:val="352B416D"/>
    <w:rsid w:val="352B79B7"/>
    <w:rsid w:val="35303AB8"/>
    <w:rsid w:val="35312FC5"/>
    <w:rsid w:val="35327830"/>
    <w:rsid w:val="35352E7D"/>
    <w:rsid w:val="353649AB"/>
    <w:rsid w:val="3537548D"/>
    <w:rsid w:val="35380BBF"/>
    <w:rsid w:val="3538471B"/>
    <w:rsid w:val="35386E11"/>
    <w:rsid w:val="353924AC"/>
    <w:rsid w:val="353A0493"/>
    <w:rsid w:val="353A66E5"/>
    <w:rsid w:val="353F3CFB"/>
    <w:rsid w:val="35411821"/>
    <w:rsid w:val="35492DCC"/>
    <w:rsid w:val="354B26A0"/>
    <w:rsid w:val="354B444E"/>
    <w:rsid w:val="354D6153"/>
    <w:rsid w:val="35571045"/>
    <w:rsid w:val="355A2F26"/>
    <w:rsid w:val="355A38F7"/>
    <w:rsid w:val="355A6D87"/>
    <w:rsid w:val="355B006D"/>
    <w:rsid w:val="355C665B"/>
    <w:rsid w:val="355D18A7"/>
    <w:rsid w:val="355E2983"/>
    <w:rsid w:val="35610116"/>
    <w:rsid w:val="35611EC4"/>
    <w:rsid w:val="35613C72"/>
    <w:rsid w:val="35646BA9"/>
    <w:rsid w:val="35675000"/>
    <w:rsid w:val="356A2173"/>
    <w:rsid w:val="356B689E"/>
    <w:rsid w:val="356C533B"/>
    <w:rsid w:val="357065AB"/>
    <w:rsid w:val="3574669E"/>
    <w:rsid w:val="35747E49"/>
    <w:rsid w:val="357563ED"/>
    <w:rsid w:val="3578720D"/>
    <w:rsid w:val="357A11D7"/>
    <w:rsid w:val="357A4D33"/>
    <w:rsid w:val="357C142E"/>
    <w:rsid w:val="357D4824"/>
    <w:rsid w:val="35804720"/>
    <w:rsid w:val="35812566"/>
    <w:rsid w:val="358160C2"/>
    <w:rsid w:val="35824CBB"/>
    <w:rsid w:val="35842080"/>
    <w:rsid w:val="358636D8"/>
    <w:rsid w:val="35863B26"/>
    <w:rsid w:val="358856A2"/>
    <w:rsid w:val="358931C8"/>
    <w:rsid w:val="358C3BA0"/>
    <w:rsid w:val="358C5FA8"/>
    <w:rsid w:val="358D5358"/>
    <w:rsid w:val="359027A9"/>
    <w:rsid w:val="35943253"/>
    <w:rsid w:val="35944047"/>
    <w:rsid w:val="35977693"/>
    <w:rsid w:val="359776DB"/>
    <w:rsid w:val="35991508"/>
    <w:rsid w:val="35995C10"/>
    <w:rsid w:val="359C2EFC"/>
    <w:rsid w:val="359D0A22"/>
    <w:rsid w:val="359F0C3E"/>
    <w:rsid w:val="35A12350"/>
    <w:rsid w:val="35A249CC"/>
    <w:rsid w:val="35A26B4B"/>
    <w:rsid w:val="35A52FD0"/>
    <w:rsid w:val="35A60CDC"/>
    <w:rsid w:val="35A632BF"/>
    <w:rsid w:val="35A65B28"/>
    <w:rsid w:val="35AA386B"/>
    <w:rsid w:val="35AF7A0E"/>
    <w:rsid w:val="35B2271F"/>
    <w:rsid w:val="35B2318A"/>
    <w:rsid w:val="35B46497"/>
    <w:rsid w:val="35B53FBD"/>
    <w:rsid w:val="35B618D0"/>
    <w:rsid w:val="35B65430"/>
    <w:rsid w:val="35B77D36"/>
    <w:rsid w:val="35B80D71"/>
    <w:rsid w:val="35B93AAE"/>
    <w:rsid w:val="35BA7826"/>
    <w:rsid w:val="35BC4AAE"/>
    <w:rsid w:val="35BC70FA"/>
    <w:rsid w:val="35BE10C4"/>
    <w:rsid w:val="35C0308E"/>
    <w:rsid w:val="35C12962"/>
    <w:rsid w:val="35C15DF1"/>
    <w:rsid w:val="35C30488"/>
    <w:rsid w:val="35C3492C"/>
    <w:rsid w:val="35C44201"/>
    <w:rsid w:val="35C44C2D"/>
    <w:rsid w:val="35C6441D"/>
    <w:rsid w:val="35C7722F"/>
    <w:rsid w:val="35C80195"/>
    <w:rsid w:val="35C91CF6"/>
    <w:rsid w:val="35C966CD"/>
    <w:rsid w:val="35CA4616"/>
    <w:rsid w:val="35CA5CBB"/>
    <w:rsid w:val="35CB1A33"/>
    <w:rsid w:val="35CD1307"/>
    <w:rsid w:val="35CD3496"/>
    <w:rsid w:val="35CD7559"/>
    <w:rsid w:val="35CD7920"/>
    <w:rsid w:val="35CE6E2D"/>
    <w:rsid w:val="35CF1523"/>
    <w:rsid w:val="35D408E8"/>
    <w:rsid w:val="35D54660"/>
    <w:rsid w:val="35D566EE"/>
    <w:rsid w:val="35D629F5"/>
    <w:rsid w:val="35D7547A"/>
    <w:rsid w:val="35D91DBF"/>
    <w:rsid w:val="35DA3A24"/>
    <w:rsid w:val="35DC016C"/>
    <w:rsid w:val="35DC154A"/>
    <w:rsid w:val="35E03756"/>
    <w:rsid w:val="35E0728C"/>
    <w:rsid w:val="35E11AE2"/>
    <w:rsid w:val="35E17740"/>
    <w:rsid w:val="35E46651"/>
    <w:rsid w:val="35E54AAC"/>
    <w:rsid w:val="35E84393"/>
    <w:rsid w:val="35F03248"/>
    <w:rsid w:val="35F25212"/>
    <w:rsid w:val="35F66AB0"/>
    <w:rsid w:val="35F920FC"/>
    <w:rsid w:val="35F965A0"/>
    <w:rsid w:val="35FC399A"/>
    <w:rsid w:val="35FE166F"/>
    <w:rsid w:val="35FE3BB6"/>
    <w:rsid w:val="35FE7713"/>
    <w:rsid w:val="36023281"/>
    <w:rsid w:val="36027A4F"/>
    <w:rsid w:val="360311CD"/>
    <w:rsid w:val="36051A9C"/>
    <w:rsid w:val="36054F45"/>
    <w:rsid w:val="36074A7F"/>
    <w:rsid w:val="36080591"/>
    <w:rsid w:val="3608233F"/>
    <w:rsid w:val="3609247B"/>
    <w:rsid w:val="360A60B7"/>
    <w:rsid w:val="360D3DFA"/>
    <w:rsid w:val="360F461D"/>
    <w:rsid w:val="36102A79"/>
    <w:rsid w:val="36121410"/>
    <w:rsid w:val="361442EE"/>
    <w:rsid w:val="36145188"/>
    <w:rsid w:val="3619230E"/>
    <w:rsid w:val="361A0E15"/>
    <w:rsid w:val="361A4E3E"/>
    <w:rsid w:val="361C403D"/>
    <w:rsid w:val="361C5DEB"/>
    <w:rsid w:val="361D6B92"/>
    <w:rsid w:val="361D7833"/>
    <w:rsid w:val="361E1B63"/>
    <w:rsid w:val="362058DB"/>
    <w:rsid w:val="362312EF"/>
    <w:rsid w:val="362353CB"/>
    <w:rsid w:val="36251143"/>
    <w:rsid w:val="36252EF1"/>
    <w:rsid w:val="36257395"/>
    <w:rsid w:val="36274EBB"/>
    <w:rsid w:val="36286772"/>
    <w:rsid w:val="36287095"/>
    <w:rsid w:val="362A0508"/>
    <w:rsid w:val="362A49AB"/>
    <w:rsid w:val="362B4280"/>
    <w:rsid w:val="362C24D2"/>
    <w:rsid w:val="362D6583"/>
    <w:rsid w:val="36323860"/>
    <w:rsid w:val="36344053"/>
    <w:rsid w:val="36372C24"/>
    <w:rsid w:val="363A5FB6"/>
    <w:rsid w:val="363B0967"/>
    <w:rsid w:val="363B2715"/>
    <w:rsid w:val="363C023B"/>
    <w:rsid w:val="363C34A7"/>
    <w:rsid w:val="363C648D"/>
    <w:rsid w:val="363C76C7"/>
    <w:rsid w:val="363E0457"/>
    <w:rsid w:val="36401D19"/>
    <w:rsid w:val="36405F7D"/>
    <w:rsid w:val="36454AF6"/>
    <w:rsid w:val="364A2958"/>
    <w:rsid w:val="364C4922"/>
    <w:rsid w:val="364D2448"/>
    <w:rsid w:val="3651018A"/>
    <w:rsid w:val="3652180C"/>
    <w:rsid w:val="365256CD"/>
    <w:rsid w:val="36527A5E"/>
    <w:rsid w:val="36533F02"/>
    <w:rsid w:val="36545584"/>
    <w:rsid w:val="365522C8"/>
    <w:rsid w:val="365612FD"/>
    <w:rsid w:val="365657A0"/>
    <w:rsid w:val="365700AF"/>
    <w:rsid w:val="36581519"/>
    <w:rsid w:val="365B2DB7"/>
    <w:rsid w:val="365B4B65"/>
    <w:rsid w:val="365B680B"/>
    <w:rsid w:val="365B6913"/>
    <w:rsid w:val="365B7EC0"/>
    <w:rsid w:val="365F7128"/>
    <w:rsid w:val="36607CD1"/>
    <w:rsid w:val="36624145"/>
    <w:rsid w:val="36625EF3"/>
    <w:rsid w:val="366262B2"/>
    <w:rsid w:val="36631C6B"/>
    <w:rsid w:val="36664FD3"/>
    <w:rsid w:val="36680730"/>
    <w:rsid w:val="366B1087"/>
    <w:rsid w:val="366C17B2"/>
    <w:rsid w:val="366D1C16"/>
    <w:rsid w:val="366D65E0"/>
    <w:rsid w:val="366D6646"/>
    <w:rsid w:val="366F03B3"/>
    <w:rsid w:val="366F210B"/>
    <w:rsid w:val="36721EAF"/>
    <w:rsid w:val="36743E79"/>
    <w:rsid w:val="36750FE8"/>
    <w:rsid w:val="3679323D"/>
    <w:rsid w:val="367B48D9"/>
    <w:rsid w:val="367C4ADB"/>
    <w:rsid w:val="367D2D2D"/>
    <w:rsid w:val="367F49CB"/>
    <w:rsid w:val="3680281D"/>
    <w:rsid w:val="36806379"/>
    <w:rsid w:val="3682026F"/>
    <w:rsid w:val="36820344"/>
    <w:rsid w:val="3682306B"/>
    <w:rsid w:val="36825861"/>
    <w:rsid w:val="368340BC"/>
    <w:rsid w:val="3685055C"/>
    <w:rsid w:val="36851BE2"/>
    <w:rsid w:val="36853774"/>
    <w:rsid w:val="36857E34"/>
    <w:rsid w:val="368816D2"/>
    <w:rsid w:val="368C042F"/>
    <w:rsid w:val="368F2A60"/>
    <w:rsid w:val="369167D9"/>
    <w:rsid w:val="36922B60"/>
    <w:rsid w:val="36923549"/>
    <w:rsid w:val="369342FF"/>
    <w:rsid w:val="36965B9D"/>
    <w:rsid w:val="3699743B"/>
    <w:rsid w:val="369E2CA4"/>
    <w:rsid w:val="36A22794"/>
    <w:rsid w:val="36A238B1"/>
    <w:rsid w:val="36A4650C"/>
    <w:rsid w:val="36A53F64"/>
    <w:rsid w:val="36A91D74"/>
    <w:rsid w:val="36AA33F6"/>
    <w:rsid w:val="36AA457D"/>
    <w:rsid w:val="36AA5AEC"/>
    <w:rsid w:val="36AE1139"/>
    <w:rsid w:val="36B0048B"/>
    <w:rsid w:val="36B01084"/>
    <w:rsid w:val="36B04123"/>
    <w:rsid w:val="36B2214A"/>
    <w:rsid w:val="36B349A1"/>
    <w:rsid w:val="36B75FBF"/>
    <w:rsid w:val="36B96023"/>
    <w:rsid w:val="36B97ADD"/>
    <w:rsid w:val="36BB1AA7"/>
    <w:rsid w:val="36BC5DCD"/>
    <w:rsid w:val="36BD081C"/>
    <w:rsid w:val="36BD0C45"/>
    <w:rsid w:val="36BD137C"/>
    <w:rsid w:val="36BD372F"/>
    <w:rsid w:val="36BD75CE"/>
    <w:rsid w:val="36BE50F4"/>
    <w:rsid w:val="36BF3346"/>
    <w:rsid w:val="36C02C1A"/>
    <w:rsid w:val="36C05BDE"/>
    <w:rsid w:val="36C159C1"/>
    <w:rsid w:val="36C24BE4"/>
    <w:rsid w:val="36C3270A"/>
    <w:rsid w:val="36C4095C"/>
    <w:rsid w:val="36C53FD8"/>
    <w:rsid w:val="36C6128E"/>
    <w:rsid w:val="36C73FA8"/>
    <w:rsid w:val="36C95800"/>
    <w:rsid w:val="36CA1CEB"/>
    <w:rsid w:val="36CF7301"/>
    <w:rsid w:val="36CF788A"/>
    <w:rsid w:val="36D16BD5"/>
    <w:rsid w:val="36D30B9F"/>
    <w:rsid w:val="36D3294D"/>
    <w:rsid w:val="36D36DF1"/>
    <w:rsid w:val="36D41257"/>
    <w:rsid w:val="36D641EB"/>
    <w:rsid w:val="36D70BE6"/>
    <w:rsid w:val="36D84407"/>
    <w:rsid w:val="36DB3EF8"/>
    <w:rsid w:val="36DD1A1E"/>
    <w:rsid w:val="36E0150E"/>
    <w:rsid w:val="36E0339C"/>
    <w:rsid w:val="36E42DAC"/>
    <w:rsid w:val="36E46B3D"/>
    <w:rsid w:val="36E508D2"/>
    <w:rsid w:val="36E560FC"/>
    <w:rsid w:val="36E6103A"/>
    <w:rsid w:val="36E7464B"/>
    <w:rsid w:val="36EA7C97"/>
    <w:rsid w:val="36EC7EB3"/>
    <w:rsid w:val="36EE3C2B"/>
    <w:rsid w:val="36EE7787"/>
    <w:rsid w:val="36EF34FF"/>
    <w:rsid w:val="36F40B16"/>
    <w:rsid w:val="36F54FB9"/>
    <w:rsid w:val="36F62AE0"/>
    <w:rsid w:val="36F70DDA"/>
    <w:rsid w:val="36F81D0E"/>
    <w:rsid w:val="36F957DC"/>
    <w:rsid w:val="36FB00F6"/>
    <w:rsid w:val="36FB1EA4"/>
    <w:rsid w:val="36FB3C6A"/>
    <w:rsid w:val="36FC6348"/>
    <w:rsid w:val="36FD5C1C"/>
    <w:rsid w:val="36FE457C"/>
    <w:rsid w:val="36FF1994"/>
    <w:rsid w:val="37017CD3"/>
    <w:rsid w:val="37021484"/>
    <w:rsid w:val="37025991"/>
    <w:rsid w:val="370276D6"/>
    <w:rsid w:val="37092113"/>
    <w:rsid w:val="370D2240"/>
    <w:rsid w:val="37133692"/>
    <w:rsid w:val="37164F30"/>
    <w:rsid w:val="37184804"/>
    <w:rsid w:val="37186FBD"/>
    <w:rsid w:val="37193F4D"/>
    <w:rsid w:val="371C0492"/>
    <w:rsid w:val="371D1E1A"/>
    <w:rsid w:val="371D62BE"/>
    <w:rsid w:val="3720190B"/>
    <w:rsid w:val="372132F2"/>
    <w:rsid w:val="37227431"/>
    <w:rsid w:val="37256F21"/>
    <w:rsid w:val="372604E8"/>
    <w:rsid w:val="372633C5"/>
    <w:rsid w:val="37270EEB"/>
    <w:rsid w:val="37272C99"/>
    <w:rsid w:val="3727713D"/>
    <w:rsid w:val="3729223C"/>
    <w:rsid w:val="372B2789"/>
    <w:rsid w:val="372C6477"/>
    <w:rsid w:val="372E04CB"/>
    <w:rsid w:val="37305FF2"/>
    <w:rsid w:val="37307DA0"/>
    <w:rsid w:val="3733277B"/>
    <w:rsid w:val="37377380"/>
    <w:rsid w:val="373830F8"/>
    <w:rsid w:val="373A29CC"/>
    <w:rsid w:val="373D070E"/>
    <w:rsid w:val="373D426B"/>
    <w:rsid w:val="373F4487"/>
    <w:rsid w:val="37403D5B"/>
    <w:rsid w:val="37405B09"/>
    <w:rsid w:val="37422E24"/>
    <w:rsid w:val="37424565"/>
    <w:rsid w:val="37425D25"/>
    <w:rsid w:val="374309BB"/>
    <w:rsid w:val="37441A9D"/>
    <w:rsid w:val="374455F9"/>
    <w:rsid w:val="374675C3"/>
    <w:rsid w:val="37490E61"/>
    <w:rsid w:val="37492C0F"/>
    <w:rsid w:val="374970B3"/>
    <w:rsid w:val="374A7131"/>
    <w:rsid w:val="374B2E2B"/>
    <w:rsid w:val="374B4BD9"/>
    <w:rsid w:val="374B6987"/>
    <w:rsid w:val="37500111"/>
    <w:rsid w:val="37515F68"/>
    <w:rsid w:val="37517D16"/>
    <w:rsid w:val="375241BA"/>
    <w:rsid w:val="37543CF6"/>
    <w:rsid w:val="37555A58"/>
    <w:rsid w:val="375569A6"/>
    <w:rsid w:val="37557806"/>
    <w:rsid w:val="375730C7"/>
    <w:rsid w:val="375A4E1C"/>
    <w:rsid w:val="375D2B5F"/>
    <w:rsid w:val="375D490D"/>
    <w:rsid w:val="375D66BB"/>
    <w:rsid w:val="375F2433"/>
    <w:rsid w:val="37661A13"/>
    <w:rsid w:val="376637C1"/>
    <w:rsid w:val="376677AF"/>
    <w:rsid w:val="37695060"/>
    <w:rsid w:val="376B0DD8"/>
    <w:rsid w:val="376B702A"/>
    <w:rsid w:val="376C32F5"/>
    <w:rsid w:val="376C68FE"/>
    <w:rsid w:val="376D2DA2"/>
    <w:rsid w:val="37702892"/>
    <w:rsid w:val="37704A11"/>
    <w:rsid w:val="377063EE"/>
    <w:rsid w:val="37750A9A"/>
    <w:rsid w:val="37751C56"/>
    <w:rsid w:val="37753A04"/>
    <w:rsid w:val="377573F3"/>
    <w:rsid w:val="37757EA8"/>
    <w:rsid w:val="37781747"/>
    <w:rsid w:val="37797999"/>
    <w:rsid w:val="377C1237"/>
    <w:rsid w:val="377F0D27"/>
    <w:rsid w:val="377F22DE"/>
    <w:rsid w:val="377F48CB"/>
    <w:rsid w:val="378123A9"/>
    <w:rsid w:val="37847DD8"/>
    <w:rsid w:val="37861808"/>
    <w:rsid w:val="378620B5"/>
    <w:rsid w:val="378679C0"/>
    <w:rsid w:val="37887BDC"/>
    <w:rsid w:val="378A6A48"/>
    <w:rsid w:val="37906A90"/>
    <w:rsid w:val="379320DC"/>
    <w:rsid w:val="3796672C"/>
    <w:rsid w:val="37985945"/>
    <w:rsid w:val="379A44EB"/>
    <w:rsid w:val="379A790F"/>
    <w:rsid w:val="379B110E"/>
    <w:rsid w:val="379C0110"/>
    <w:rsid w:val="379C3687"/>
    <w:rsid w:val="379E73FF"/>
    <w:rsid w:val="37A147F9"/>
    <w:rsid w:val="37A367C3"/>
    <w:rsid w:val="37A4078E"/>
    <w:rsid w:val="37A442EA"/>
    <w:rsid w:val="37A70F4F"/>
    <w:rsid w:val="37A75B88"/>
    <w:rsid w:val="37A83DDA"/>
    <w:rsid w:val="37A97B52"/>
    <w:rsid w:val="37AD7642"/>
    <w:rsid w:val="37AE6F16"/>
    <w:rsid w:val="37AF2B92"/>
    <w:rsid w:val="37B35C54"/>
    <w:rsid w:val="37B81B43"/>
    <w:rsid w:val="37BC5AD7"/>
    <w:rsid w:val="37BD7E4E"/>
    <w:rsid w:val="37BF1123"/>
    <w:rsid w:val="37C329C2"/>
    <w:rsid w:val="37C43DED"/>
    <w:rsid w:val="37C4673A"/>
    <w:rsid w:val="37C4786E"/>
    <w:rsid w:val="37C52EEE"/>
    <w:rsid w:val="37C83782"/>
    <w:rsid w:val="37C8447C"/>
    <w:rsid w:val="37C8622A"/>
    <w:rsid w:val="37CD3411"/>
    <w:rsid w:val="37CD4314"/>
    <w:rsid w:val="37CE75B8"/>
    <w:rsid w:val="37D2180A"/>
    <w:rsid w:val="37D526F5"/>
    <w:rsid w:val="37D56B99"/>
    <w:rsid w:val="37D90437"/>
    <w:rsid w:val="37D9329D"/>
    <w:rsid w:val="37DA41AF"/>
    <w:rsid w:val="37DC7A31"/>
    <w:rsid w:val="37DE5A4E"/>
    <w:rsid w:val="37DF3574"/>
    <w:rsid w:val="37E00298"/>
    <w:rsid w:val="37E34E12"/>
    <w:rsid w:val="37E4576F"/>
    <w:rsid w:val="37E61F73"/>
    <w:rsid w:val="37E74B44"/>
    <w:rsid w:val="37E82428"/>
    <w:rsid w:val="37EA189A"/>
    <w:rsid w:val="37EB3CC7"/>
    <w:rsid w:val="37ED7275"/>
    <w:rsid w:val="37EE37B7"/>
    <w:rsid w:val="37EF7C5B"/>
    <w:rsid w:val="37F012DD"/>
    <w:rsid w:val="37F25055"/>
    <w:rsid w:val="37F82C3D"/>
    <w:rsid w:val="37F92887"/>
    <w:rsid w:val="37FA215C"/>
    <w:rsid w:val="37FE0ED7"/>
    <w:rsid w:val="3801173C"/>
    <w:rsid w:val="3805159F"/>
    <w:rsid w:val="38080D1C"/>
    <w:rsid w:val="380B25BB"/>
    <w:rsid w:val="380D1E8F"/>
    <w:rsid w:val="380F124C"/>
    <w:rsid w:val="3810372D"/>
    <w:rsid w:val="381274A5"/>
    <w:rsid w:val="38127B00"/>
    <w:rsid w:val="38156481"/>
    <w:rsid w:val="38194E02"/>
    <w:rsid w:val="381A062E"/>
    <w:rsid w:val="381B35D9"/>
    <w:rsid w:val="381C20D2"/>
    <w:rsid w:val="381C47C8"/>
    <w:rsid w:val="381C6576"/>
    <w:rsid w:val="381E22EE"/>
    <w:rsid w:val="381F5317"/>
    <w:rsid w:val="38204F78"/>
    <w:rsid w:val="38212BEC"/>
    <w:rsid w:val="38230122"/>
    <w:rsid w:val="38233460"/>
    <w:rsid w:val="38242728"/>
    <w:rsid w:val="3825542A"/>
    <w:rsid w:val="382611A3"/>
    <w:rsid w:val="38262F51"/>
    <w:rsid w:val="382673F4"/>
    <w:rsid w:val="382A2710"/>
    <w:rsid w:val="382A7217"/>
    <w:rsid w:val="382B67B9"/>
    <w:rsid w:val="382B6BE8"/>
    <w:rsid w:val="382D6F6A"/>
    <w:rsid w:val="382E757C"/>
    <w:rsid w:val="38305B7D"/>
    <w:rsid w:val="38347F37"/>
    <w:rsid w:val="3836675E"/>
    <w:rsid w:val="3838311F"/>
    <w:rsid w:val="38397128"/>
    <w:rsid w:val="383C4522"/>
    <w:rsid w:val="383D7701"/>
    <w:rsid w:val="383E473E"/>
    <w:rsid w:val="3841574F"/>
    <w:rsid w:val="38455ACD"/>
    <w:rsid w:val="38471845"/>
    <w:rsid w:val="38481119"/>
    <w:rsid w:val="384855BD"/>
    <w:rsid w:val="384A35C1"/>
    <w:rsid w:val="384B29B7"/>
    <w:rsid w:val="3851621F"/>
    <w:rsid w:val="38523D46"/>
    <w:rsid w:val="38591578"/>
    <w:rsid w:val="38593326"/>
    <w:rsid w:val="385B709E"/>
    <w:rsid w:val="385C4BC4"/>
    <w:rsid w:val="385E093C"/>
    <w:rsid w:val="385E50AD"/>
    <w:rsid w:val="385E7CBB"/>
    <w:rsid w:val="3862042D"/>
    <w:rsid w:val="386677F1"/>
    <w:rsid w:val="386817BB"/>
    <w:rsid w:val="38683569"/>
    <w:rsid w:val="386A5533"/>
    <w:rsid w:val="386D5023"/>
    <w:rsid w:val="386D6DD1"/>
    <w:rsid w:val="386E0476"/>
    <w:rsid w:val="386E5BFC"/>
    <w:rsid w:val="386F2B4A"/>
    <w:rsid w:val="38710670"/>
    <w:rsid w:val="387210AA"/>
    <w:rsid w:val="387463B2"/>
    <w:rsid w:val="387544FD"/>
    <w:rsid w:val="387633CB"/>
    <w:rsid w:val="38771F9B"/>
    <w:rsid w:val="387737AC"/>
    <w:rsid w:val="38786749"/>
    <w:rsid w:val="38787C50"/>
    <w:rsid w:val="38797524"/>
    <w:rsid w:val="387B329C"/>
    <w:rsid w:val="387F3FB0"/>
    <w:rsid w:val="388008B3"/>
    <w:rsid w:val="38806B05"/>
    <w:rsid w:val="388230F8"/>
    <w:rsid w:val="388365F5"/>
    <w:rsid w:val="38841563"/>
    <w:rsid w:val="3885411B"/>
    <w:rsid w:val="38871C41"/>
    <w:rsid w:val="38887767"/>
    <w:rsid w:val="38891C8D"/>
    <w:rsid w:val="388A1731"/>
    <w:rsid w:val="388A7983"/>
    <w:rsid w:val="388C36FB"/>
    <w:rsid w:val="388D1222"/>
    <w:rsid w:val="388E7474"/>
    <w:rsid w:val="38912AC0"/>
    <w:rsid w:val="389775B3"/>
    <w:rsid w:val="389C1E13"/>
    <w:rsid w:val="389C77EA"/>
    <w:rsid w:val="38A02997"/>
    <w:rsid w:val="38A02D03"/>
    <w:rsid w:val="38A04AB1"/>
    <w:rsid w:val="38A104D8"/>
    <w:rsid w:val="38A10829"/>
    <w:rsid w:val="38A12951"/>
    <w:rsid w:val="38A162C6"/>
    <w:rsid w:val="38A65E3F"/>
    <w:rsid w:val="38AA20B7"/>
    <w:rsid w:val="38AA3B82"/>
    <w:rsid w:val="38AC24A4"/>
    <w:rsid w:val="38AC78FA"/>
    <w:rsid w:val="38AD71CE"/>
    <w:rsid w:val="38AF2F46"/>
    <w:rsid w:val="38AF73EA"/>
    <w:rsid w:val="38B13162"/>
    <w:rsid w:val="38B149AB"/>
    <w:rsid w:val="38B25ACF"/>
    <w:rsid w:val="38B302F9"/>
    <w:rsid w:val="38B30C88"/>
    <w:rsid w:val="38B90269"/>
    <w:rsid w:val="38B9208D"/>
    <w:rsid w:val="38BA1632"/>
    <w:rsid w:val="38BB18EB"/>
    <w:rsid w:val="38BB5D8F"/>
    <w:rsid w:val="38BE762D"/>
    <w:rsid w:val="38C05153"/>
    <w:rsid w:val="38C20ECB"/>
    <w:rsid w:val="38C2711D"/>
    <w:rsid w:val="38C32C0C"/>
    <w:rsid w:val="38C40EC5"/>
    <w:rsid w:val="38C509BB"/>
    <w:rsid w:val="38C529E3"/>
    <w:rsid w:val="38C56C0D"/>
    <w:rsid w:val="38C70290"/>
    <w:rsid w:val="38C74734"/>
    <w:rsid w:val="38C84008"/>
    <w:rsid w:val="38CC72F2"/>
    <w:rsid w:val="38CC7F9C"/>
    <w:rsid w:val="38CE11C6"/>
    <w:rsid w:val="38CE3DF5"/>
    <w:rsid w:val="38CF2BC1"/>
    <w:rsid w:val="38D0668B"/>
    <w:rsid w:val="38D34E86"/>
    <w:rsid w:val="38D366C1"/>
    <w:rsid w:val="38D459D1"/>
    <w:rsid w:val="38D5710E"/>
    <w:rsid w:val="38D7229A"/>
    <w:rsid w:val="38DD7AB3"/>
    <w:rsid w:val="38DE1A7D"/>
    <w:rsid w:val="38DE55D9"/>
    <w:rsid w:val="38E452E6"/>
    <w:rsid w:val="38E54BBA"/>
    <w:rsid w:val="38E56968"/>
    <w:rsid w:val="38E76B84"/>
    <w:rsid w:val="38E8071F"/>
    <w:rsid w:val="38EB1CBE"/>
    <w:rsid w:val="38EC5E17"/>
    <w:rsid w:val="38EC5F48"/>
    <w:rsid w:val="38EC7CF6"/>
    <w:rsid w:val="38ED3A6E"/>
    <w:rsid w:val="38EE6FF6"/>
    <w:rsid w:val="38EF3C8A"/>
    <w:rsid w:val="38EF3FAD"/>
    <w:rsid w:val="38F02E41"/>
    <w:rsid w:val="38F0305B"/>
    <w:rsid w:val="38F117B0"/>
    <w:rsid w:val="38F12CD3"/>
    <w:rsid w:val="38F1355F"/>
    <w:rsid w:val="38F4304F"/>
    <w:rsid w:val="38F94775"/>
    <w:rsid w:val="38FE5445"/>
    <w:rsid w:val="38FE5C7B"/>
    <w:rsid w:val="38FE7A29"/>
    <w:rsid w:val="38FF14A6"/>
    <w:rsid w:val="39013DC6"/>
    <w:rsid w:val="39065067"/>
    <w:rsid w:val="39084005"/>
    <w:rsid w:val="390908A8"/>
    <w:rsid w:val="39094D4C"/>
    <w:rsid w:val="390A63CE"/>
    <w:rsid w:val="390C2146"/>
    <w:rsid w:val="390D48A5"/>
    <w:rsid w:val="3914549F"/>
    <w:rsid w:val="39151168"/>
    <w:rsid w:val="39184F8F"/>
    <w:rsid w:val="391D25A6"/>
    <w:rsid w:val="391F67E8"/>
    <w:rsid w:val="39205BF2"/>
    <w:rsid w:val="3922196A"/>
    <w:rsid w:val="392576AC"/>
    <w:rsid w:val="392971ED"/>
    <w:rsid w:val="392A3342"/>
    <w:rsid w:val="392B4CC2"/>
    <w:rsid w:val="392C0A3B"/>
    <w:rsid w:val="392C27E9"/>
    <w:rsid w:val="392D6CD8"/>
    <w:rsid w:val="392E030F"/>
    <w:rsid w:val="392E6561"/>
    <w:rsid w:val="393002D4"/>
    <w:rsid w:val="39325651"/>
    <w:rsid w:val="39382F3B"/>
    <w:rsid w:val="393A3F57"/>
    <w:rsid w:val="393E610A"/>
    <w:rsid w:val="393F251C"/>
    <w:rsid w:val="394538AA"/>
    <w:rsid w:val="394A2C6F"/>
    <w:rsid w:val="394C4C39"/>
    <w:rsid w:val="394E0C8C"/>
    <w:rsid w:val="39504CED"/>
    <w:rsid w:val="39551A87"/>
    <w:rsid w:val="39553AED"/>
    <w:rsid w:val="3958538C"/>
    <w:rsid w:val="39592390"/>
    <w:rsid w:val="395A1104"/>
    <w:rsid w:val="395A55A8"/>
    <w:rsid w:val="395A7356"/>
    <w:rsid w:val="395B4E7C"/>
    <w:rsid w:val="395D0BF4"/>
    <w:rsid w:val="395D29A2"/>
    <w:rsid w:val="395D30AF"/>
    <w:rsid w:val="395F2BBE"/>
    <w:rsid w:val="39620592"/>
    <w:rsid w:val="396401D4"/>
    <w:rsid w:val="39641F82"/>
    <w:rsid w:val="39643D30"/>
    <w:rsid w:val="39665995"/>
    <w:rsid w:val="39685F9B"/>
    <w:rsid w:val="39695894"/>
    <w:rsid w:val="396D6DE6"/>
    <w:rsid w:val="396F26D5"/>
    <w:rsid w:val="39702098"/>
    <w:rsid w:val="3973154E"/>
    <w:rsid w:val="39732C58"/>
    <w:rsid w:val="39736669"/>
    <w:rsid w:val="39766A08"/>
    <w:rsid w:val="397877DC"/>
    <w:rsid w:val="397A13EA"/>
    <w:rsid w:val="397A17A6"/>
    <w:rsid w:val="397A3554"/>
    <w:rsid w:val="397A79F8"/>
    <w:rsid w:val="397B72CC"/>
    <w:rsid w:val="397C551E"/>
    <w:rsid w:val="39820561"/>
    <w:rsid w:val="39861EF9"/>
    <w:rsid w:val="39873EC3"/>
    <w:rsid w:val="39893797"/>
    <w:rsid w:val="398A0EDF"/>
    <w:rsid w:val="398B39B3"/>
    <w:rsid w:val="398B5761"/>
    <w:rsid w:val="398E6FFF"/>
    <w:rsid w:val="39902D77"/>
    <w:rsid w:val="39972358"/>
    <w:rsid w:val="399D5494"/>
    <w:rsid w:val="399F120C"/>
    <w:rsid w:val="39A16D33"/>
    <w:rsid w:val="39A24859"/>
    <w:rsid w:val="39A551A2"/>
    <w:rsid w:val="39A6259B"/>
    <w:rsid w:val="39A9208B"/>
    <w:rsid w:val="39A93E39"/>
    <w:rsid w:val="39A95BE7"/>
    <w:rsid w:val="39B12CEE"/>
    <w:rsid w:val="39B20F40"/>
    <w:rsid w:val="39B34CB8"/>
    <w:rsid w:val="39B5256A"/>
    <w:rsid w:val="39B5458C"/>
    <w:rsid w:val="39B60304"/>
    <w:rsid w:val="39B61F0A"/>
    <w:rsid w:val="39B8199B"/>
    <w:rsid w:val="39B90520"/>
    <w:rsid w:val="39BA3CAC"/>
    <w:rsid w:val="39BA4298"/>
    <w:rsid w:val="39BB513C"/>
    <w:rsid w:val="39BC1DBE"/>
    <w:rsid w:val="39BD1693"/>
    <w:rsid w:val="39BD262D"/>
    <w:rsid w:val="39C11183"/>
    <w:rsid w:val="39C12F31"/>
    <w:rsid w:val="39C24EFB"/>
    <w:rsid w:val="39C42A79"/>
    <w:rsid w:val="39C62C3D"/>
    <w:rsid w:val="39C66799"/>
    <w:rsid w:val="39C92311"/>
    <w:rsid w:val="39C96289"/>
    <w:rsid w:val="39CB0253"/>
    <w:rsid w:val="39CB75EB"/>
    <w:rsid w:val="39CC367A"/>
    <w:rsid w:val="39CD3FCC"/>
    <w:rsid w:val="39CD5D7A"/>
    <w:rsid w:val="39CE1AF2"/>
    <w:rsid w:val="39CE38A0"/>
    <w:rsid w:val="39D0586A"/>
    <w:rsid w:val="39D10AA3"/>
    <w:rsid w:val="39D23390"/>
    <w:rsid w:val="39D2513E"/>
    <w:rsid w:val="39D54C2E"/>
    <w:rsid w:val="39D569DC"/>
    <w:rsid w:val="39D63BC2"/>
    <w:rsid w:val="39D864CC"/>
    <w:rsid w:val="39D91E06"/>
    <w:rsid w:val="39D92970"/>
    <w:rsid w:val="39DA0497"/>
    <w:rsid w:val="39DA5780"/>
    <w:rsid w:val="39DC420F"/>
    <w:rsid w:val="39DC7D6B"/>
    <w:rsid w:val="39DE0F38"/>
    <w:rsid w:val="39E15381"/>
    <w:rsid w:val="39E41315"/>
    <w:rsid w:val="39E42618"/>
    <w:rsid w:val="39E46F19"/>
    <w:rsid w:val="39E52F7A"/>
    <w:rsid w:val="39ED1F78"/>
    <w:rsid w:val="39EE5CF0"/>
    <w:rsid w:val="39EF3F42"/>
    <w:rsid w:val="39EF402C"/>
    <w:rsid w:val="39F31088"/>
    <w:rsid w:val="39F3395E"/>
    <w:rsid w:val="39FA02E8"/>
    <w:rsid w:val="39FA4695"/>
    <w:rsid w:val="39FC21BB"/>
    <w:rsid w:val="39FF3A59"/>
    <w:rsid w:val="3A0224A2"/>
    <w:rsid w:val="3A03179B"/>
    <w:rsid w:val="3A0379ED"/>
    <w:rsid w:val="3A06128C"/>
    <w:rsid w:val="3A06303A"/>
    <w:rsid w:val="3A065319"/>
    <w:rsid w:val="3A0B68A2"/>
    <w:rsid w:val="3A0D261A"/>
    <w:rsid w:val="3A10210A"/>
    <w:rsid w:val="3A105C66"/>
    <w:rsid w:val="3A1273C6"/>
    <w:rsid w:val="3A1353A0"/>
    <w:rsid w:val="3A1439A9"/>
    <w:rsid w:val="3A145757"/>
    <w:rsid w:val="3A175247"/>
    <w:rsid w:val="3A190FBF"/>
    <w:rsid w:val="3A1A0893"/>
    <w:rsid w:val="3A1C4143"/>
    <w:rsid w:val="3A1C460B"/>
    <w:rsid w:val="3A1C5C7B"/>
    <w:rsid w:val="3A1C6B42"/>
    <w:rsid w:val="3A1F5EA9"/>
    <w:rsid w:val="3A20166F"/>
    <w:rsid w:val="3A215A2B"/>
    <w:rsid w:val="3A2160C5"/>
    <w:rsid w:val="3A231E3E"/>
    <w:rsid w:val="3A23599A"/>
    <w:rsid w:val="3A235E98"/>
    <w:rsid w:val="3A26548A"/>
    <w:rsid w:val="3A267238"/>
    <w:rsid w:val="3A295737"/>
    <w:rsid w:val="3A2A31CC"/>
    <w:rsid w:val="3A2B484E"/>
    <w:rsid w:val="3A2B6F44"/>
    <w:rsid w:val="3A2D05C6"/>
    <w:rsid w:val="3A2E2404"/>
    <w:rsid w:val="3A3000B7"/>
    <w:rsid w:val="3A307ED5"/>
    <w:rsid w:val="3A322D0B"/>
    <w:rsid w:val="3A323E2F"/>
    <w:rsid w:val="3A325BDD"/>
    <w:rsid w:val="3A331955"/>
    <w:rsid w:val="3A35391F"/>
    <w:rsid w:val="3A3556CD"/>
    <w:rsid w:val="3A3A0F35"/>
    <w:rsid w:val="3A3B7187"/>
    <w:rsid w:val="3A3C0436"/>
    <w:rsid w:val="3A3C0EF2"/>
    <w:rsid w:val="3A3D4C3C"/>
    <w:rsid w:val="3A3D5DAF"/>
    <w:rsid w:val="3A3E27D3"/>
    <w:rsid w:val="3A3E4582"/>
    <w:rsid w:val="3A452A06"/>
    <w:rsid w:val="3A483652"/>
    <w:rsid w:val="3A4A561C"/>
    <w:rsid w:val="3A4B6C9E"/>
    <w:rsid w:val="3A4F43BB"/>
    <w:rsid w:val="3A4F49E1"/>
    <w:rsid w:val="3A4F4F44"/>
    <w:rsid w:val="3A4F5F39"/>
    <w:rsid w:val="3A5026FF"/>
    <w:rsid w:val="3A52627F"/>
    <w:rsid w:val="3A540249"/>
    <w:rsid w:val="3A563FC1"/>
    <w:rsid w:val="3A571AE7"/>
    <w:rsid w:val="3A575643"/>
    <w:rsid w:val="3A577D39"/>
    <w:rsid w:val="3A581796"/>
    <w:rsid w:val="3A59760D"/>
    <w:rsid w:val="3A5C534F"/>
    <w:rsid w:val="3A5C70FE"/>
    <w:rsid w:val="3A5E69D2"/>
    <w:rsid w:val="3A5F17F2"/>
    <w:rsid w:val="3A60099C"/>
    <w:rsid w:val="3A601A2D"/>
    <w:rsid w:val="3A6366DE"/>
    <w:rsid w:val="3A653731"/>
    <w:rsid w:val="3A654204"/>
    <w:rsid w:val="3A655FB2"/>
    <w:rsid w:val="3A663AD8"/>
    <w:rsid w:val="3A695377"/>
    <w:rsid w:val="3A6A7A6C"/>
    <w:rsid w:val="3A6E55C5"/>
    <w:rsid w:val="3A716B25"/>
    <w:rsid w:val="3A72247D"/>
    <w:rsid w:val="3A7330AB"/>
    <w:rsid w:val="3A740F13"/>
    <w:rsid w:val="3A7A7584"/>
    <w:rsid w:val="3A7B3A28"/>
    <w:rsid w:val="3A7B57D6"/>
    <w:rsid w:val="3A7F2556"/>
    <w:rsid w:val="3A7F6446"/>
    <w:rsid w:val="3A816B64"/>
    <w:rsid w:val="3A824DB6"/>
    <w:rsid w:val="3A8532BF"/>
    <w:rsid w:val="3A862A8C"/>
    <w:rsid w:val="3A865F28"/>
    <w:rsid w:val="3A86719B"/>
    <w:rsid w:val="3A872856"/>
    <w:rsid w:val="3A881CA1"/>
    <w:rsid w:val="3A886068"/>
    <w:rsid w:val="3A8A34CC"/>
    <w:rsid w:val="3A8A77C7"/>
    <w:rsid w:val="3A8B68DC"/>
    <w:rsid w:val="3A8C23C1"/>
    <w:rsid w:val="3A8D72B7"/>
    <w:rsid w:val="3A8E0B03"/>
    <w:rsid w:val="3A916DA7"/>
    <w:rsid w:val="3A92642B"/>
    <w:rsid w:val="3A940645"/>
    <w:rsid w:val="3A95616C"/>
    <w:rsid w:val="3A971EE4"/>
    <w:rsid w:val="3A976675"/>
    <w:rsid w:val="3A992100"/>
    <w:rsid w:val="3A9B19D4"/>
    <w:rsid w:val="3A9B5E78"/>
    <w:rsid w:val="3A9B7C26"/>
    <w:rsid w:val="3A9C399E"/>
    <w:rsid w:val="3A9D19CF"/>
    <w:rsid w:val="3A9F42EF"/>
    <w:rsid w:val="3AA35841"/>
    <w:rsid w:val="3AA6651D"/>
    <w:rsid w:val="3AA73FEF"/>
    <w:rsid w:val="3AAA7E69"/>
    <w:rsid w:val="3AB05060"/>
    <w:rsid w:val="3AB111F7"/>
    <w:rsid w:val="3AB17449"/>
    <w:rsid w:val="3AB57C56"/>
    <w:rsid w:val="3AB83AF8"/>
    <w:rsid w:val="3AB865D7"/>
    <w:rsid w:val="3ABB4753"/>
    <w:rsid w:val="3AC448FF"/>
    <w:rsid w:val="3AC722A5"/>
    <w:rsid w:val="3AC83A8C"/>
    <w:rsid w:val="3ACC5871"/>
    <w:rsid w:val="3ACE7FFB"/>
    <w:rsid w:val="3ACF5B21"/>
    <w:rsid w:val="3ACF78CF"/>
    <w:rsid w:val="3AD0311D"/>
    <w:rsid w:val="3AD1189A"/>
    <w:rsid w:val="3AD31145"/>
    <w:rsid w:val="3AD554FB"/>
    <w:rsid w:val="3AD62CBE"/>
    <w:rsid w:val="3AD65709"/>
    <w:rsid w:val="3AD76784"/>
    <w:rsid w:val="3AD82C28"/>
    <w:rsid w:val="3AD924FC"/>
    <w:rsid w:val="3ADB2718"/>
    <w:rsid w:val="3ADD023E"/>
    <w:rsid w:val="3ADD1FEC"/>
    <w:rsid w:val="3ADE7B13"/>
    <w:rsid w:val="3AE01ADD"/>
    <w:rsid w:val="3AE113B1"/>
    <w:rsid w:val="3AE16BE9"/>
    <w:rsid w:val="3AE25855"/>
    <w:rsid w:val="3AE27603"/>
    <w:rsid w:val="3AE50EA1"/>
    <w:rsid w:val="3AE56270"/>
    <w:rsid w:val="3AE570F3"/>
    <w:rsid w:val="3AE8273F"/>
    <w:rsid w:val="3AE96BE3"/>
    <w:rsid w:val="3AEF1D20"/>
    <w:rsid w:val="3AEF7F72"/>
    <w:rsid w:val="3AF01E94"/>
    <w:rsid w:val="3AF70BD4"/>
    <w:rsid w:val="3AFC5754"/>
    <w:rsid w:val="3AFD443D"/>
    <w:rsid w:val="3AFE62BC"/>
    <w:rsid w:val="3AFE72FD"/>
    <w:rsid w:val="3AFF762B"/>
    <w:rsid w:val="3B005CDB"/>
    <w:rsid w:val="3B007A89"/>
    <w:rsid w:val="3B021A53"/>
    <w:rsid w:val="3B043A1D"/>
    <w:rsid w:val="3B0747DD"/>
    <w:rsid w:val="3B082DE1"/>
    <w:rsid w:val="3B0A4DAB"/>
    <w:rsid w:val="3B0A6B5A"/>
    <w:rsid w:val="3B0D21A6"/>
    <w:rsid w:val="3B0F2E9F"/>
    <w:rsid w:val="3B11613A"/>
    <w:rsid w:val="3B117EE8"/>
    <w:rsid w:val="3B131EB2"/>
    <w:rsid w:val="3B133C60"/>
    <w:rsid w:val="3B164422"/>
    <w:rsid w:val="3B1758B2"/>
    <w:rsid w:val="3B186D50"/>
    <w:rsid w:val="3B193F35"/>
    <w:rsid w:val="3B1D063B"/>
    <w:rsid w:val="3B1D4ADF"/>
    <w:rsid w:val="3B1E2BB4"/>
    <w:rsid w:val="3B201ED9"/>
    <w:rsid w:val="3B20637D"/>
    <w:rsid w:val="3B213A78"/>
    <w:rsid w:val="3B225C51"/>
    <w:rsid w:val="3B252A87"/>
    <w:rsid w:val="3B253993"/>
    <w:rsid w:val="3B255741"/>
    <w:rsid w:val="3B273268"/>
    <w:rsid w:val="3B286FE0"/>
    <w:rsid w:val="3B293484"/>
    <w:rsid w:val="3B294136"/>
    <w:rsid w:val="3B2C6AD0"/>
    <w:rsid w:val="3B2D45F6"/>
    <w:rsid w:val="3B2E42F3"/>
    <w:rsid w:val="3B312338"/>
    <w:rsid w:val="3B332FCA"/>
    <w:rsid w:val="3B334164"/>
    <w:rsid w:val="3B334302"/>
    <w:rsid w:val="3B343BD6"/>
    <w:rsid w:val="3B3678E8"/>
    <w:rsid w:val="3B3763D1"/>
    <w:rsid w:val="3B392F9B"/>
    <w:rsid w:val="3B3D6F2F"/>
    <w:rsid w:val="3B4018FD"/>
    <w:rsid w:val="3B402A4C"/>
    <w:rsid w:val="3B404329"/>
    <w:rsid w:val="3B424B80"/>
    <w:rsid w:val="3B442489"/>
    <w:rsid w:val="3B47390A"/>
    <w:rsid w:val="3B486D89"/>
    <w:rsid w:val="3B4972B1"/>
    <w:rsid w:val="3B4C7B1B"/>
    <w:rsid w:val="3B4E2EEA"/>
    <w:rsid w:val="3B4F24D7"/>
    <w:rsid w:val="3B5129DA"/>
    <w:rsid w:val="3B53405D"/>
    <w:rsid w:val="3B561D9F"/>
    <w:rsid w:val="3B581673"/>
    <w:rsid w:val="3B585B17"/>
    <w:rsid w:val="3B5953EB"/>
    <w:rsid w:val="3B596D41"/>
    <w:rsid w:val="3B5A188F"/>
    <w:rsid w:val="3B5A363D"/>
    <w:rsid w:val="3B5B73B5"/>
    <w:rsid w:val="3B5D4EDB"/>
    <w:rsid w:val="3B5F40A8"/>
    <w:rsid w:val="3B6049CB"/>
    <w:rsid w:val="3B60677A"/>
    <w:rsid w:val="3B620744"/>
    <w:rsid w:val="3B626996"/>
    <w:rsid w:val="3B64270E"/>
    <w:rsid w:val="3B6444BC"/>
    <w:rsid w:val="3B64626A"/>
    <w:rsid w:val="3B651FE2"/>
    <w:rsid w:val="3B652544"/>
    <w:rsid w:val="3B6538D6"/>
    <w:rsid w:val="3B677B08"/>
    <w:rsid w:val="3B683486"/>
    <w:rsid w:val="3B691AD2"/>
    <w:rsid w:val="3B6A75F8"/>
    <w:rsid w:val="3B6F121C"/>
    <w:rsid w:val="3B712735"/>
    <w:rsid w:val="3B732951"/>
    <w:rsid w:val="3B7364AD"/>
    <w:rsid w:val="3B750477"/>
    <w:rsid w:val="3B7507E7"/>
    <w:rsid w:val="3B762441"/>
    <w:rsid w:val="3B787F67"/>
    <w:rsid w:val="3B7906D0"/>
    <w:rsid w:val="3B794BCF"/>
    <w:rsid w:val="3B7A3CDF"/>
    <w:rsid w:val="3B7A518E"/>
    <w:rsid w:val="3B7B1805"/>
    <w:rsid w:val="3B7C7A57"/>
    <w:rsid w:val="3B7D2875"/>
    <w:rsid w:val="3B7E3B9C"/>
    <w:rsid w:val="3B800BCA"/>
    <w:rsid w:val="3B815279"/>
    <w:rsid w:val="3B817AC6"/>
    <w:rsid w:val="3B824942"/>
    <w:rsid w:val="3B824C26"/>
    <w:rsid w:val="3B833691"/>
    <w:rsid w:val="3B862684"/>
    <w:rsid w:val="3B8701AA"/>
    <w:rsid w:val="3B892174"/>
    <w:rsid w:val="3B895CD0"/>
    <w:rsid w:val="3B8B7C9A"/>
    <w:rsid w:val="3B8C57C0"/>
    <w:rsid w:val="3B8C756F"/>
    <w:rsid w:val="3B8E778B"/>
    <w:rsid w:val="3B926F37"/>
    <w:rsid w:val="3B934DA1"/>
    <w:rsid w:val="3B950B19"/>
    <w:rsid w:val="3B950F6C"/>
    <w:rsid w:val="3B9528C7"/>
    <w:rsid w:val="3B964177"/>
    <w:rsid w:val="3B96663F"/>
    <w:rsid w:val="3B9A6B59"/>
    <w:rsid w:val="3B9A72FA"/>
    <w:rsid w:val="3B9D28E2"/>
    <w:rsid w:val="3B9D352A"/>
    <w:rsid w:val="3BA0301A"/>
    <w:rsid w:val="3BA067DD"/>
    <w:rsid w:val="3BA174BE"/>
    <w:rsid w:val="3BA26D92"/>
    <w:rsid w:val="3BA64AD4"/>
    <w:rsid w:val="3BA6683D"/>
    <w:rsid w:val="3BA743A8"/>
    <w:rsid w:val="3BA90120"/>
    <w:rsid w:val="3BA96372"/>
    <w:rsid w:val="3BAD3B3F"/>
    <w:rsid w:val="3BAE1209"/>
    <w:rsid w:val="3BAE1BDB"/>
    <w:rsid w:val="3BB05953"/>
    <w:rsid w:val="3BB11759"/>
    <w:rsid w:val="3BB16FD5"/>
    <w:rsid w:val="3BB30F9F"/>
    <w:rsid w:val="3BB50D07"/>
    <w:rsid w:val="3BB56AC5"/>
    <w:rsid w:val="3BB73B0E"/>
    <w:rsid w:val="3BB84807"/>
    <w:rsid w:val="3BBA40DC"/>
    <w:rsid w:val="3BBC42F8"/>
    <w:rsid w:val="3BBD1E1E"/>
    <w:rsid w:val="3BBF16F2"/>
    <w:rsid w:val="3BC378ED"/>
    <w:rsid w:val="3BC44F5A"/>
    <w:rsid w:val="3BC57F44"/>
    <w:rsid w:val="3BC62A80"/>
    <w:rsid w:val="3BC767F9"/>
    <w:rsid w:val="3BC9431F"/>
    <w:rsid w:val="3BCB1706"/>
    <w:rsid w:val="3BCC3E0F"/>
    <w:rsid w:val="3BCC554C"/>
    <w:rsid w:val="3BD01B51"/>
    <w:rsid w:val="3BD056AD"/>
    <w:rsid w:val="3BD10001"/>
    <w:rsid w:val="3BD14FA8"/>
    <w:rsid w:val="3BD17677"/>
    <w:rsid w:val="3BD333EF"/>
    <w:rsid w:val="3BD50F16"/>
    <w:rsid w:val="3BD641DA"/>
    <w:rsid w:val="3BD827B4"/>
    <w:rsid w:val="3BDB4052"/>
    <w:rsid w:val="3BDC04F6"/>
    <w:rsid w:val="3BDC1195"/>
    <w:rsid w:val="3BDC601B"/>
    <w:rsid w:val="3BDC6C72"/>
    <w:rsid w:val="3BDD7DCA"/>
    <w:rsid w:val="3BDF3B42"/>
    <w:rsid w:val="3BE455FD"/>
    <w:rsid w:val="3BE61375"/>
    <w:rsid w:val="3BE83FF7"/>
    <w:rsid w:val="3BE850ED"/>
    <w:rsid w:val="3BE857AA"/>
    <w:rsid w:val="3BE949C1"/>
    <w:rsid w:val="3BF0327E"/>
    <w:rsid w:val="3BF375EE"/>
    <w:rsid w:val="3BF5780A"/>
    <w:rsid w:val="3BF75330"/>
    <w:rsid w:val="3BF918BD"/>
    <w:rsid w:val="3BFA097C"/>
    <w:rsid w:val="3BFC2946"/>
    <w:rsid w:val="3BFD114C"/>
    <w:rsid w:val="3BFF1CA5"/>
    <w:rsid w:val="3C027831"/>
    <w:rsid w:val="3C041233"/>
    <w:rsid w:val="3C0435A9"/>
    <w:rsid w:val="3C047258"/>
    <w:rsid w:val="3C047A4D"/>
    <w:rsid w:val="3C067321"/>
    <w:rsid w:val="3C076441"/>
    <w:rsid w:val="3C096E11"/>
    <w:rsid w:val="3C0B4937"/>
    <w:rsid w:val="3C0D677A"/>
    <w:rsid w:val="3C0E2679"/>
    <w:rsid w:val="3C0F1725"/>
    <w:rsid w:val="3C1128A9"/>
    <w:rsid w:val="3C114E96"/>
    <w:rsid w:val="3C12216A"/>
    <w:rsid w:val="3C131A3E"/>
    <w:rsid w:val="3C16714E"/>
    <w:rsid w:val="3C1934F8"/>
    <w:rsid w:val="3C19534E"/>
    <w:rsid w:val="3C1F03E3"/>
    <w:rsid w:val="3C2105FF"/>
    <w:rsid w:val="3C2123AD"/>
    <w:rsid w:val="3C237ED3"/>
    <w:rsid w:val="3C243C4B"/>
    <w:rsid w:val="3C2520AD"/>
    <w:rsid w:val="3C2679C3"/>
    <w:rsid w:val="3C2974B3"/>
    <w:rsid w:val="3C2A5B4A"/>
    <w:rsid w:val="3C2B6D87"/>
    <w:rsid w:val="3C2D0D52"/>
    <w:rsid w:val="3C2D2B00"/>
    <w:rsid w:val="3C2E0626"/>
    <w:rsid w:val="3C2F6E1E"/>
    <w:rsid w:val="3C300842"/>
    <w:rsid w:val="3C3025F0"/>
    <w:rsid w:val="3C333E8E"/>
    <w:rsid w:val="3C3519B4"/>
    <w:rsid w:val="3C355E58"/>
    <w:rsid w:val="3C3A521C"/>
    <w:rsid w:val="3C3A6FCB"/>
    <w:rsid w:val="3C3E2F5F"/>
    <w:rsid w:val="3C3E7033"/>
    <w:rsid w:val="3C3F2833"/>
    <w:rsid w:val="3C41419B"/>
    <w:rsid w:val="3C4147FD"/>
    <w:rsid w:val="3C432323"/>
    <w:rsid w:val="3C4542ED"/>
    <w:rsid w:val="3C495460"/>
    <w:rsid w:val="3C4A1903"/>
    <w:rsid w:val="3C4B4188"/>
    <w:rsid w:val="3C4B567C"/>
    <w:rsid w:val="3C4C11FB"/>
    <w:rsid w:val="3C4D11B0"/>
    <w:rsid w:val="3C4D6CFE"/>
    <w:rsid w:val="3C4E0CC8"/>
    <w:rsid w:val="3C4F64BA"/>
    <w:rsid w:val="3C501977"/>
    <w:rsid w:val="3C502C92"/>
    <w:rsid w:val="3C5067EE"/>
    <w:rsid w:val="3C522566"/>
    <w:rsid w:val="3C544530"/>
    <w:rsid w:val="3C575DCE"/>
    <w:rsid w:val="3C5B6911"/>
    <w:rsid w:val="3C5C33E5"/>
    <w:rsid w:val="3C5F2ED5"/>
    <w:rsid w:val="3C5F6A31"/>
    <w:rsid w:val="3C6109FB"/>
    <w:rsid w:val="3C634475"/>
    <w:rsid w:val="3C643EE8"/>
    <w:rsid w:val="3C6504EB"/>
    <w:rsid w:val="3C660019"/>
    <w:rsid w:val="3C6602A5"/>
    <w:rsid w:val="3C683B38"/>
    <w:rsid w:val="3C684B2B"/>
    <w:rsid w:val="3C6A3835"/>
    <w:rsid w:val="3C6A3D54"/>
    <w:rsid w:val="3C706E90"/>
    <w:rsid w:val="3C743A7B"/>
    <w:rsid w:val="3C746980"/>
    <w:rsid w:val="3C756255"/>
    <w:rsid w:val="3C7659A0"/>
    <w:rsid w:val="3C767DD4"/>
    <w:rsid w:val="3C77021F"/>
    <w:rsid w:val="3C771FCD"/>
    <w:rsid w:val="3C780BA6"/>
    <w:rsid w:val="3C780E2B"/>
    <w:rsid w:val="3C7A664A"/>
    <w:rsid w:val="3C7B738B"/>
    <w:rsid w:val="3C7C5C4A"/>
    <w:rsid w:val="3C7C75E3"/>
    <w:rsid w:val="3C7F0E81"/>
    <w:rsid w:val="3C801EE3"/>
    <w:rsid w:val="3C805325"/>
    <w:rsid w:val="3C84224D"/>
    <w:rsid w:val="3C8446EA"/>
    <w:rsid w:val="3C85293C"/>
    <w:rsid w:val="3C8A1D00"/>
    <w:rsid w:val="3C8A7F52"/>
    <w:rsid w:val="3C8D17F0"/>
    <w:rsid w:val="3C8E128B"/>
    <w:rsid w:val="3C8F37BA"/>
    <w:rsid w:val="3C8F7316"/>
    <w:rsid w:val="3C9012E0"/>
    <w:rsid w:val="3C914279"/>
    <w:rsid w:val="3C920BB5"/>
    <w:rsid w:val="3C92391B"/>
    <w:rsid w:val="3C925059"/>
    <w:rsid w:val="3C936268"/>
    <w:rsid w:val="3C936DD0"/>
    <w:rsid w:val="3C9568F7"/>
    <w:rsid w:val="3C9708C1"/>
    <w:rsid w:val="3C983CE2"/>
    <w:rsid w:val="3C9A5CBB"/>
    <w:rsid w:val="3C9B215F"/>
    <w:rsid w:val="3C9B3F0D"/>
    <w:rsid w:val="3C9C7C85"/>
    <w:rsid w:val="3C9E39FD"/>
    <w:rsid w:val="3CA1529C"/>
    <w:rsid w:val="3CA408E8"/>
    <w:rsid w:val="3CA41047"/>
    <w:rsid w:val="3CA50A47"/>
    <w:rsid w:val="3CA52FDE"/>
    <w:rsid w:val="3CA56B3A"/>
    <w:rsid w:val="3CA72347"/>
    <w:rsid w:val="3CA803D8"/>
    <w:rsid w:val="3CAB7EC8"/>
    <w:rsid w:val="3CAD1E92"/>
    <w:rsid w:val="3CB17D77"/>
    <w:rsid w:val="3CB3794A"/>
    <w:rsid w:val="3CB66F99"/>
    <w:rsid w:val="3CB7686D"/>
    <w:rsid w:val="3CBC3E83"/>
    <w:rsid w:val="3CBE19AA"/>
    <w:rsid w:val="3CBF1A5E"/>
    <w:rsid w:val="3CC01BC6"/>
    <w:rsid w:val="3CC35212"/>
    <w:rsid w:val="3CC64D02"/>
    <w:rsid w:val="3CC727DB"/>
    <w:rsid w:val="3CC72DC1"/>
    <w:rsid w:val="3CC80A7A"/>
    <w:rsid w:val="3CC86CCC"/>
    <w:rsid w:val="3CCA47F2"/>
    <w:rsid w:val="3CCD7E3F"/>
    <w:rsid w:val="3CCF005B"/>
    <w:rsid w:val="3CD04D51"/>
    <w:rsid w:val="3CD1792F"/>
    <w:rsid w:val="3CD20860"/>
    <w:rsid w:val="3CD25303"/>
    <w:rsid w:val="3CD25455"/>
    <w:rsid w:val="3CD411CD"/>
    <w:rsid w:val="3CD613E9"/>
    <w:rsid w:val="3CD72A6B"/>
    <w:rsid w:val="3CD76F0F"/>
    <w:rsid w:val="3CD92C87"/>
    <w:rsid w:val="3CD94A35"/>
    <w:rsid w:val="3CDA245A"/>
    <w:rsid w:val="3CDB69FF"/>
    <w:rsid w:val="3CDC4526"/>
    <w:rsid w:val="3CDE029E"/>
    <w:rsid w:val="3CDE204C"/>
    <w:rsid w:val="3CDE2A4C"/>
    <w:rsid w:val="3CDE51A7"/>
    <w:rsid w:val="3CE04016"/>
    <w:rsid w:val="3CE8111C"/>
    <w:rsid w:val="3CE82ECA"/>
    <w:rsid w:val="3CE84C78"/>
    <w:rsid w:val="3CEA09F1"/>
    <w:rsid w:val="3CED6733"/>
    <w:rsid w:val="3CEF24AB"/>
    <w:rsid w:val="3CF25AF7"/>
    <w:rsid w:val="3CF278A5"/>
    <w:rsid w:val="3CF655E7"/>
    <w:rsid w:val="3CF86FAC"/>
    <w:rsid w:val="3CF96E86"/>
    <w:rsid w:val="3CFE449C"/>
    <w:rsid w:val="3D001AC2"/>
    <w:rsid w:val="3D0221DE"/>
    <w:rsid w:val="3D037D04"/>
    <w:rsid w:val="3D053A7C"/>
    <w:rsid w:val="3D0644FF"/>
    <w:rsid w:val="3D073351"/>
    <w:rsid w:val="3D0A1093"/>
    <w:rsid w:val="3D0A5745"/>
    <w:rsid w:val="3D0D2931"/>
    <w:rsid w:val="3D0E0B83"/>
    <w:rsid w:val="3D121CF5"/>
    <w:rsid w:val="3D124BBA"/>
    <w:rsid w:val="3D124D94"/>
    <w:rsid w:val="3D133A91"/>
    <w:rsid w:val="3D136199"/>
    <w:rsid w:val="3D176A7A"/>
    <w:rsid w:val="3D17730C"/>
    <w:rsid w:val="3D1B32A0"/>
    <w:rsid w:val="3D1C4922"/>
    <w:rsid w:val="3D1E06B7"/>
    <w:rsid w:val="3D1E504B"/>
    <w:rsid w:val="3D2008B6"/>
    <w:rsid w:val="3D202664"/>
    <w:rsid w:val="3D20796B"/>
    <w:rsid w:val="3D232155"/>
    <w:rsid w:val="3D235CB1"/>
    <w:rsid w:val="3D251A29"/>
    <w:rsid w:val="3D26209C"/>
    <w:rsid w:val="3D2739F3"/>
    <w:rsid w:val="3D2832C7"/>
    <w:rsid w:val="3D2C1009"/>
    <w:rsid w:val="3D2F4655"/>
    <w:rsid w:val="3D2F72AD"/>
    <w:rsid w:val="3D307712"/>
    <w:rsid w:val="3D314871"/>
    <w:rsid w:val="3D324146"/>
    <w:rsid w:val="3D344362"/>
    <w:rsid w:val="3D346110"/>
    <w:rsid w:val="3D362BD2"/>
    <w:rsid w:val="3D385C00"/>
    <w:rsid w:val="3D3879AE"/>
    <w:rsid w:val="3D3B4234"/>
    <w:rsid w:val="3D3B56F0"/>
    <w:rsid w:val="3D3B749E"/>
    <w:rsid w:val="3D3C45F6"/>
    <w:rsid w:val="3D3F4383"/>
    <w:rsid w:val="3D4437C0"/>
    <w:rsid w:val="3D4520CB"/>
    <w:rsid w:val="3D486584"/>
    <w:rsid w:val="3D491BBB"/>
    <w:rsid w:val="3D4A76E1"/>
    <w:rsid w:val="3D4B2926"/>
    <w:rsid w:val="3D4C5207"/>
    <w:rsid w:val="3D4E0F7F"/>
    <w:rsid w:val="3D4F4CF8"/>
    <w:rsid w:val="3D503812"/>
    <w:rsid w:val="3D51281E"/>
    <w:rsid w:val="3D5642D8"/>
    <w:rsid w:val="3D566086"/>
    <w:rsid w:val="3D567E34"/>
    <w:rsid w:val="3D581DFE"/>
    <w:rsid w:val="3D583BAC"/>
    <w:rsid w:val="3D597924"/>
    <w:rsid w:val="3D5D11C3"/>
    <w:rsid w:val="3D5D7415"/>
    <w:rsid w:val="3D606F05"/>
    <w:rsid w:val="3D622C7D"/>
    <w:rsid w:val="3D6267D9"/>
    <w:rsid w:val="3D672041"/>
    <w:rsid w:val="3D6821B5"/>
    <w:rsid w:val="3D6942C8"/>
    <w:rsid w:val="3D6C441C"/>
    <w:rsid w:val="3D6F0EF6"/>
    <w:rsid w:val="3D6F23BB"/>
    <w:rsid w:val="3D6F71B7"/>
    <w:rsid w:val="3D744BD0"/>
    <w:rsid w:val="3D7604D6"/>
    <w:rsid w:val="3D762284"/>
    <w:rsid w:val="3D770C0B"/>
    <w:rsid w:val="3D783084"/>
    <w:rsid w:val="3D78424E"/>
    <w:rsid w:val="3D7D3613"/>
    <w:rsid w:val="3D7F382F"/>
    <w:rsid w:val="3D8175A7"/>
    <w:rsid w:val="3D841332"/>
    <w:rsid w:val="3D853546"/>
    <w:rsid w:val="3D85696B"/>
    <w:rsid w:val="3D872B79"/>
    <w:rsid w:val="3D883E24"/>
    <w:rsid w:val="3D891FB8"/>
    <w:rsid w:val="3D8C1249"/>
    <w:rsid w:val="3D8C49FE"/>
    <w:rsid w:val="3D8F3128"/>
    <w:rsid w:val="3D8F3346"/>
    <w:rsid w:val="3D901223"/>
    <w:rsid w:val="3D913562"/>
    <w:rsid w:val="3D915310"/>
    <w:rsid w:val="3D932E36"/>
    <w:rsid w:val="3D934BE4"/>
    <w:rsid w:val="3D96528E"/>
    <w:rsid w:val="3D994F8E"/>
    <w:rsid w:val="3D9B1CEB"/>
    <w:rsid w:val="3D9B7F3D"/>
    <w:rsid w:val="3D9D3B42"/>
    <w:rsid w:val="3D9F5C7F"/>
    <w:rsid w:val="3DA212CB"/>
    <w:rsid w:val="3DA60DBB"/>
    <w:rsid w:val="3DAA3342"/>
    <w:rsid w:val="3DAE1A1E"/>
    <w:rsid w:val="3DAE4B7A"/>
    <w:rsid w:val="3DAE5EC2"/>
    <w:rsid w:val="3DAE72B9"/>
    <w:rsid w:val="3DAE7C70"/>
    <w:rsid w:val="3DB01D85"/>
    <w:rsid w:val="3DB1150E"/>
    <w:rsid w:val="3DB50FFF"/>
    <w:rsid w:val="3DB57251"/>
    <w:rsid w:val="3DB80AEF"/>
    <w:rsid w:val="3DBA03C3"/>
    <w:rsid w:val="3DBA22D5"/>
    <w:rsid w:val="3DBA5973"/>
    <w:rsid w:val="3DBA7065"/>
    <w:rsid w:val="3DBC65D0"/>
    <w:rsid w:val="3DBD4357"/>
    <w:rsid w:val="3DBD6105"/>
    <w:rsid w:val="3DBD7EB3"/>
    <w:rsid w:val="3DC079A3"/>
    <w:rsid w:val="3DC41242"/>
    <w:rsid w:val="3DC65F34"/>
    <w:rsid w:val="3DC70D32"/>
    <w:rsid w:val="3DC92CFC"/>
    <w:rsid w:val="3DC96858"/>
    <w:rsid w:val="3DCC00F6"/>
    <w:rsid w:val="3DCC33BB"/>
    <w:rsid w:val="3DCD0690"/>
    <w:rsid w:val="3DCE3E6E"/>
    <w:rsid w:val="3DD1418B"/>
    <w:rsid w:val="3DD338C1"/>
    <w:rsid w:val="3DD35929"/>
    <w:rsid w:val="3DD435C1"/>
    <w:rsid w:val="3DD516A1"/>
    <w:rsid w:val="3DD60F75"/>
    <w:rsid w:val="3DD671C7"/>
    <w:rsid w:val="3DDA0A65"/>
    <w:rsid w:val="3DDB658B"/>
    <w:rsid w:val="3DDB7122"/>
    <w:rsid w:val="3DDC2833"/>
    <w:rsid w:val="3DDC7912"/>
    <w:rsid w:val="3DDF607B"/>
    <w:rsid w:val="3DE10046"/>
    <w:rsid w:val="3DE11DF4"/>
    <w:rsid w:val="3DE15BC8"/>
    <w:rsid w:val="3DE23DBE"/>
    <w:rsid w:val="3DE3451B"/>
    <w:rsid w:val="3DE360A4"/>
    <w:rsid w:val="3DE6565C"/>
    <w:rsid w:val="3DEB2C72"/>
    <w:rsid w:val="3DEB4A20"/>
    <w:rsid w:val="3DEC0798"/>
    <w:rsid w:val="3DEC2546"/>
    <w:rsid w:val="3DED69EA"/>
    <w:rsid w:val="3DEE62BF"/>
    <w:rsid w:val="3DF00B18"/>
    <w:rsid w:val="3DF02037"/>
    <w:rsid w:val="3DF02630"/>
    <w:rsid w:val="3DF31B27"/>
    <w:rsid w:val="3DF633C5"/>
    <w:rsid w:val="3DFA2EB5"/>
    <w:rsid w:val="3DFD24EF"/>
    <w:rsid w:val="3DFD29A6"/>
    <w:rsid w:val="3DFD6502"/>
    <w:rsid w:val="3E027FBC"/>
    <w:rsid w:val="3E043D34"/>
    <w:rsid w:val="3E043F4D"/>
    <w:rsid w:val="3E067CFD"/>
    <w:rsid w:val="3E0755D2"/>
    <w:rsid w:val="3E126451"/>
    <w:rsid w:val="3E1279E1"/>
    <w:rsid w:val="3E1321C9"/>
    <w:rsid w:val="3E166A19"/>
    <w:rsid w:val="3E167806"/>
    <w:rsid w:val="3E171CB9"/>
    <w:rsid w:val="3E176DB4"/>
    <w:rsid w:val="3E1A3557"/>
    <w:rsid w:val="3E1D4DF6"/>
    <w:rsid w:val="3E1E23AE"/>
    <w:rsid w:val="3E1F0B6E"/>
    <w:rsid w:val="3E1F291C"/>
    <w:rsid w:val="3E1F46CA"/>
    <w:rsid w:val="3E2241BA"/>
    <w:rsid w:val="3E23065E"/>
    <w:rsid w:val="3E241CE0"/>
    <w:rsid w:val="3E27138C"/>
    <w:rsid w:val="3E294791"/>
    <w:rsid w:val="3E2B12C1"/>
    <w:rsid w:val="3E2E0DB1"/>
    <w:rsid w:val="3E30082B"/>
    <w:rsid w:val="3E3363C7"/>
    <w:rsid w:val="3E353902"/>
    <w:rsid w:val="3E38578C"/>
    <w:rsid w:val="3E3B7D9F"/>
    <w:rsid w:val="3E3C050B"/>
    <w:rsid w:val="3E3C2C4E"/>
    <w:rsid w:val="3E3D2DA2"/>
    <w:rsid w:val="3E3D3671"/>
    <w:rsid w:val="3E3F5445"/>
    <w:rsid w:val="3E412892"/>
    <w:rsid w:val="3E416033"/>
    <w:rsid w:val="3E442382"/>
    <w:rsid w:val="3E477D61"/>
    <w:rsid w:val="3E4A3B11"/>
    <w:rsid w:val="3E4B54BF"/>
    <w:rsid w:val="3E4B6B5E"/>
    <w:rsid w:val="3E4D7489"/>
    <w:rsid w:val="3E4E4FAF"/>
    <w:rsid w:val="3E4E5DFF"/>
    <w:rsid w:val="3E5039D8"/>
    <w:rsid w:val="3E524E74"/>
    <w:rsid w:val="3E530817"/>
    <w:rsid w:val="3E552EF9"/>
    <w:rsid w:val="3E5720B6"/>
    <w:rsid w:val="3E594080"/>
    <w:rsid w:val="3E5A3954"/>
    <w:rsid w:val="3E611186"/>
    <w:rsid w:val="3E636CAD"/>
    <w:rsid w:val="3E6447D3"/>
    <w:rsid w:val="3E66054B"/>
    <w:rsid w:val="3E661BC6"/>
    <w:rsid w:val="3E6842C3"/>
    <w:rsid w:val="3E6A4C0F"/>
    <w:rsid w:val="3E6C6F78"/>
    <w:rsid w:val="3E6D18D9"/>
    <w:rsid w:val="3E6D3687"/>
    <w:rsid w:val="3E6D7B2B"/>
    <w:rsid w:val="3E6E552A"/>
    <w:rsid w:val="3E6F38A3"/>
    <w:rsid w:val="3E703177"/>
    <w:rsid w:val="3E704F26"/>
    <w:rsid w:val="3E74082A"/>
    <w:rsid w:val="3E74795D"/>
    <w:rsid w:val="3E770C93"/>
    <w:rsid w:val="3E780F05"/>
    <w:rsid w:val="3E79027E"/>
    <w:rsid w:val="3E7A2248"/>
    <w:rsid w:val="3E7C7D6E"/>
    <w:rsid w:val="3E7F7135"/>
    <w:rsid w:val="3E805321"/>
    <w:rsid w:val="3E80785E"/>
    <w:rsid w:val="3E8100FE"/>
    <w:rsid w:val="3E812EC2"/>
    <w:rsid w:val="3E833CA2"/>
    <w:rsid w:val="3E834C59"/>
    <w:rsid w:val="3E8544BD"/>
    <w:rsid w:val="3E86299B"/>
    <w:rsid w:val="3E886713"/>
    <w:rsid w:val="3E892A4D"/>
    <w:rsid w:val="3E894239"/>
    <w:rsid w:val="3E8B7FB1"/>
    <w:rsid w:val="3E8D5AD7"/>
    <w:rsid w:val="3E8E0DB5"/>
    <w:rsid w:val="3E8E480F"/>
    <w:rsid w:val="3E8F1850"/>
    <w:rsid w:val="3E9055C8"/>
    <w:rsid w:val="3E907376"/>
    <w:rsid w:val="3E9227A6"/>
    <w:rsid w:val="3E94330A"/>
    <w:rsid w:val="3E9450B8"/>
    <w:rsid w:val="3E952BDE"/>
    <w:rsid w:val="3E970704"/>
    <w:rsid w:val="3E974CE9"/>
    <w:rsid w:val="3E9926CE"/>
    <w:rsid w:val="3E9C323A"/>
    <w:rsid w:val="3E9C3F6D"/>
    <w:rsid w:val="3E9E5234"/>
    <w:rsid w:val="3EA329E8"/>
    <w:rsid w:val="3EA42E21"/>
    <w:rsid w:val="3EA51073"/>
    <w:rsid w:val="3EA572C5"/>
    <w:rsid w:val="3EA6303D"/>
    <w:rsid w:val="3EA66B99"/>
    <w:rsid w:val="3EA73EF2"/>
    <w:rsid w:val="3EA836D8"/>
    <w:rsid w:val="3EA8452D"/>
    <w:rsid w:val="3EAA48DB"/>
    <w:rsid w:val="3EAB0654"/>
    <w:rsid w:val="3EAB2402"/>
    <w:rsid w:val="3EAB5BFB"/>
    <w:rsid w:val="3EAD43CC"/>
    <w:rsid w:val="3EAD617A"/>
    <w:rsid w:val="3EB05C6A"/>
    <w:rsid w:val="3EB07A18"/>
    <w:rsid w:val="3EB15E8D"/>
    <w:rsid w:val="3EB219E2"/>
    <w:rsid w:val="3EB2553E"/>
    <w:rsid w:val="3EB63280"/>
    <w:rsid w:val="3EB76FF8"/>
    <w:rsid w:val="3EB92D70"/>
    <w:rsid w:val="3EB968CD"/>
    <w:rsid w:val="3EBB671F"/>
    <w:rsid w:val="3EBC016B"/>
    <w:rsid w:val="3EBC460F"/>
    <w:rsid w:val="3EBC67D0"/>
    <w:rsid w:val="3EBE3D08"/>
    <w:rsid w:val="3EC27CA4"/>
    <w:rsid w:val="3EC3774B"/>
    <w:rsid w:val="3EC55271"/>
    <w:rsid w:val="3EC90A0B"/>
    <w:rsid w:val="3EC922C8"/>
    <w:rsid w:val="3ECB4852"/>
    <w:rsid w:val="3ECB6600"/>
    <w:rsid w:val="3ECC7CBE"/>
    <w:rsid w:val="3ECD4BB0"/>
    <w:rsid w:val="3ECD64F8"/>
    <w:rsid w:val="3ECE4058"/>
    <w:rsid w:val="3ECF4342"/>
    <w:rsid w:val="3ED43706"/>
    <w:rsid w:val="3ED74FA5"/>
    <w:rsid w:val="3ED96F6F"/>
    <w:rsid w:val="3EDA0523"/>
    <w:rsid w:val="3EDA6843"/>
    <w:rsid w:val="3EDB4A95"/>
    <w:rsid w:val="3EDB5211"/>
    <w:rsid w:val="3EDC25BB"/>
    <w:rsid w:val="3EDC644D"/>
    <w:rsid w:val="3EDE27D7"/>
    <w:rsid w:val="3EE6168C"/>
    <w:rsid w:val="3EE651E8"/>
    <w:rsid w:val="3EE74737"/>
    <w:rsid w:val="3EE9440D"/>
    <w:rsid w:val="3EE96F6F"/>
    <w:rsid w:val="3EEB0A50"/>
    <w:rsid w:val="3EEB24E4"/>
    <w:rsid w:val="3EED6576"/>
    <w:rsid w:val="3EF1250A"/>
    <w:rsid w:val="3EF26282"/>
    <w:rsid w:val="3EF47905"/>
    <w:rsid w:val="3EF631B5"/>
    <w:rsid w:val="3EF63C30"/>
    <w:rsid w:val="3EF67B21"/>
    <w:rsid w:val="3EF97E8B"/>
    <w:rsid w:val="3EFC7793"/>
    <w:rsid w:val="3EFE4C27"/>
    <w:rsid w:val="3F0044FB"/>
    <w:rsid w:val="3F033FEC"/>
    <w:rsid w:val="3F051B12"/>
    <w:rsid w:val="3F0538C0"/>
    <w:rsid w:val="3F087854"/>
    <w:rsid w:val="3F092439"/>
    <w:rsid w:val="3F0A537A"/>
    <w:rsid w:val="3F0A5AC5"/>
    <w:rsid w:val="3F0D4B51"/>
    <w:rsid w:val="3F0D6C18"/>
    <w:rsid w:val="3F0F473E"/>
    <w:rsid w:val="3F0F62AB"/>
    <w:rsid w:val="3F106254"/>
    <w:rsid w:val="3F1104B7"/>
    <w:rsid w:val="3F125FDD"/>
    <w:rsid w:val="3F161F71"/>
    <w:rsid w:val="3F185CE9"/>
    <w:rsid w:val="3F19736B"/>
    <w:rsid w:val="3F1B1335"/>
    <w:rsid w:val="3F1C08AF"/>
    <w:rsid w:val="3F1C4E43"/>
    <w:rsid w:val="3F1E1210"/>
    <w:rsid w:val="3F1E31CF"/>
    <w:rsid w:val="3F20694C"/>
    <w:rsid w:val="3F220916"/>
    <w:rsid w:val="3F224832"/>
    <w:rsid w:val="3F2521B4"/>
    <w:rsid w:val="3F253F62"/>
    <w:rsid w:val="3F261A88"/>
    <w:rsid w:val="3F28411B"/>
    <w:rsid w:val="3F2C6878"/>
    <w:rsid w:val="3F2D2542"/>
    <w:rsid w:val="3F2D41E9"/>
    <w:rsid w:val="3F2D72BA"/>
    <w:rsid w:val="3F375A43"/>
    <w:rsid w:val="3F381EE7"/>
    <w:rsid w:val="3F397A0D"/>
    <w:rsid w:val="3F3C6758"/>
    <w:rsid w:val="3F3D74FE"/>
    <w:rsid w:val="3F3E5024"/>
    <w:rsid w:val="3F402B4A"/>
    <w:rsid w:val="3F406FEE"/>
    <w:rsid w:val="3F454604"/>
    <w:rsid w:val="3F47212A"/>
    <w:rsid w:val="3F4A7D79"/>
    <w:rsid w:val="3F4C14EF"/>
    <w:rsid w:val="3F4C5993"/>
    <w:rsid w:val="3F4C7741"/>
    <w:rsid w:val="3F4D34B9"/>
    <w:rsid w:val="3F577E93"/>
    <w:rsid w:val="3F5B7984"/>
    <w:rsid w:val="3F5C7F8B"/>
    <w:rsid w:val="3F5E0662"/>
    <w:rsid w:val="3F5F2988"/>
    <w:rsid w:val="3F623749"/>
    <w:rsid w:val="3F6525B0"/>
    <w:rsid w:val="3F6569EE"/>
    <w:rsid w:val="3F666DF4"/>
    <w:rsid w:val="3F6727CC"/>
    <w:rsid w:val="3F6A7BC7"/>
    <w:rsid w:val="3F6C393F"/>
    <w:rsid w:val="3F6C7DE3"/>
    <w:rsid w:val="3F732F1F"/>
    <w:rsid w:val="3F755459"/>
    <w:rsid w:val="3F760C61"/>
    <w:rsid w:val="3F786788"/>
    <w:rsid w:val="3F79605C"/>
    <w:rsid w:val="3F7B1DD4"/>
    <w:rsid w:val="3F7C7A81"/>
    <w:rsid w:val="3F7F7B16"/>
    <w:rsid w:val="3F80563C"/>
    <w:rsid w:val="3F824E8C"/>
    <w:rsid w:val="3F827606"/>
    <w:rsid w:val="3F83631C"/>
    <w:rsid w:val="3F84512C"/>
    <w:rsid w:val="3F864C9D"/>
    <w:rsid w:val="3F89361E"/>
    <w:rsid w:val="3F8A0269"/>
    <w:rsid w:val="3F8E5FAB"/>
    <w:rsid w:val="3F8F762D"/>
    <w:rsid w:val="3F9115F7"/>
    <w:rsid w:val="3F9133A5"/>
    <w:rsid w:val="3F91350E"/>
    <w:rsid w:val="3F917849"/>
    <w:rsid w:val="3F93711E"/>
    <w:rsid w:val="3F9410E8"/>
    <w:rsid w:val="3F942E96"/>
    <w:rsid w:val="3F977363"/>
    <w:rsid w:val="3F9D1D4A"/>
    <w:rsid w:val="3FA0183A"/>
    <w:rsid w:val="3FA23805"/>
    <w:rsid w:val="3FA23CAA"/>
    <w:rsid w:val="3FA330D9"/>
    <w:rsid w:val="3FA42363"/>
    <w:rsid w:val="3FA56E51"/>
    <w:rsid w:val="3FA96941"/>
    <w:rsid w:val="3FAA090B"/>
    <w:rsid w:val="3FAB6C69"/>
    <w:rsid w:val="3FAC00F9"/>
    <w:rsid w:val="3FAC01DF"/>
    <w:rsid w:val="3FAC4ACF"/>
    <w:rsid w:val="3FAC6431"/>
    <w:rsid w:val="3FAD4598"/>
    <w:rsid w:val="3FAE1CFD"/>
    <w:rsid w:val="3FAE21A9"/>
    <w:rsid w:val="3FB5178A"/>
    <w:rsid w:val="3FB6105E"/>
    <w:rsid w:val="3FB84DD6"/>
    <w:rsid w:val="3FB85357"/>
    <w:rsid w:val="3FBB48C6"/>
    <w:rsid w:val="3FC1012F"/>
    <w:rsid w:val="3FC217B1"/>
    <w:rsid w:val="3FC45758"/>
    <w:rsid w:val="3FC67920"/>
    <w:rsid w:val="3FC7326B"/>
    <w:rsid w:val="3FCA3682"/>
    <w:rsid w:val="3FCA4B09"/>
    <w:rsid w:val="3FCB250F"/>
    <w:rsid w:val="3FCC262F"/>
    <w:rsid w:val="3FCE45FA"/>
    <w:rsid w:val="3FD00372"/>
    <w:rsid w:val="3FD339BE"/>
    <w:rsid w:val="3FD414E4"/>
    <w:rsid w:val="3FD605C8"/>
    <w:rsid w:val="3FD61700"/>
    <w:rsid w:val="3FD634AE"/>
    <w:rsid w:val="3FD87226"/>
    <w:rsid w:val="3FDF4418"/>
    <w:rsid w:val="3FE0432D"/>
    <w:rsid w:val="3FE1257F"/>
    <w:rsid w:val="3FE200A5"/>
    <w:rsid w:val="3FE43E1D"/>
    <w:rsid w:val="3FE536F1"/>
    <w:rsid w:val="3FE72BAA"/>
    <w:rsid w:val="3FE77469"/>
    <w:rsid w:val="3FE9009B"/>
    <w:rsid w:val="3FE931E1"/>
    <w:rsid w:val="3FED6A1C"/>
    <w:rsid w:val="3FEE6A4A"/>
    <w:rsid w:val="3FF00B39"/>
    <w:rsid w:val="3FF04570"/>
    <w:rsid w:val="3FF27E13"/>
    <w:rsid w:val="3FF33483"/>
    <w:rsid w:val="3FF446DB"/>
    <w:rsid w:val="3FF451AE"/>
    <w:rsid w:val="3FF8001C"/>
    <w:rsid w:val="3FFA0F4B"/>
    <w:rsid w:val="3FFA53EF"/>
    <w:rsid w:val="3FFB2F15"/>
    <w:rsid w:val="3FFD0A3B"/>
    <w:rsid w:val="4000052B"/>
    <w:rsid w:val="40026051"/>
    <w:rsid w:val="400302E9"/>
    <w:rsid w:val="40054E8D"/>
    <w:rsid w:val="400718BA"/>
    <w:rsid w:val="400B75FC"/>
    <w:rsid w:val="400C0C7E"/>
    <w:rsid w:val="400E0E9A"/>
    <w:rsid w:val="400E49F6"/>
    <w:rsid w:val="400E5D55"/>
    <w:rsid w:val="4010076E"/>
    <w:rsid w:val="40113834"/>
    <w:rsid w:val="401144E6"/>
    <w:rsid w:val="4013025E"/>
    <w:rsid w:val="40153FD6"/>
    <w:rsid w:val="40185875"/>
    <w:rsid w:val="401B160F"/>
    <w:rsid w:val="401B7113"/>
    <w:rsid w:val="401D2E8B"/>
    <w:rsid w:val="401F30A7"/>
    <w:rsid w:val="4020574A"/>
    <w:rsid w:val="402204A1"/>
    <w:rsid w:val="40223FF0"/>
    <w:rsid w:val="402258C4"/>
    <w:rsid w:val="402406BD"/>
    <w:rsid w:val="40292246"/>
    <w:rsid w:val="402B37FA"/>
    <w:rsid w:val="402C709C"/>
    <w:rsid w:val="402E5098"/>
    <w:rsid w:val="402F047D"/>
    <w:rsid w:val="40306C60"/>
    <w:rsid w:val="40330901"/>
    <w:rsid w:val="403326AF"/>
    <w:rsid w:val="4033445D"/>
    <w:rsid w:val="40384169"/>
    <w:rsid w:val="40385F17"/>
    <w:rsid w:val="403C77B5"/>
    <w:rsid w:val="403D2007"/>
    <w:rsid w:val="403D352D"/>
    <w:rsid w:val="40420B44"/>
    <w:rsid w:val="404228F2"/>
    <w:rsid w:val="4042650E"/>
    <w:rsid w:val="404548AB"/>
    <w:rsid w:val="40457F18"/>
    <w:rsid w:val="404605CF"/>
    <w:rsid w:val="40464190"/>
    <w:rsid w:val="40481A68"/>
    <w:rsid w:val="40490124"/>
    <w:rsid w:val="40494B17"/>
    <w:rsid w:val="404A7B4F"/>
    <w:rsid w:val="404B79F8"/>
    <w:rsid w:val="404D6B1C"/>
    <w:rsid w:val="404E74E8"/>
    <w:rsid w:val="405007AA"/>
    <w:rsid w:val="405041B1"/>
    <w:rsid w:val="405360A4"/>
    <w:rsid w:val="405415CD"/>
    <w:rsid w:val="40550982"/>
    <w:rsid w:val="40580367"/>
    <w:rsid w:val="405A40DF"/>
    <w:rsid w:val="405C7E57"/>
    <w:rsid w:val="405F16F6"/>
    <w:rsid w:val="40624D42"/>
    <w:rsid w:val="406250BB"/>
    <w:rsid w:val="406311E6"/>
    <w:rsid w:val="40640ABA"/>
    <w:rsid w:val="406867FC"/>
    <w:rsid w:val="406B1E48"/>
    <w:rsid w:val="406B3BF6"/>
    <w:rsid w:val="406B52E0"/>
    <w:rsid w:val="406D3E12"/>
    <w:rsid w:val="40703903"/>
    <w:rsid w:val="40714F85"/>
    <w:rsid w:val="407451A1"/>
    <w:rsid w:val="40754634"/>
    <w:rsid w:val="40754A75"/>
    <w:rsid w:val="40763B8D"/>
    <w:rsid w:val="4077259B"/>
    <w:rsid w:val="407A6407"/>
    <w:rsid w:val="407C1B75"/>
    <w:rsid w:val="407C22A8"/>
    <w:rsid w:val="407F76A2"/>
    <w:rsid w:val="40826EFA"/>
    <w:rsid w:val="408353E4"/>
    <w:rsid w:val="40836138"/>
    <w:rsid w:val="40864ED4"/>
    <w:rsid w:val="40866C82"/>
    <w:rsid w:val="40880C4C"/>
    <w:rsid w:val="408A49C4"/>
    <w:rsid w:val="408D0011"/>
    <w:rsid w:val="408E02E9"/>
    <w:rsid w:val="408E3D89"/>
    <w:rsid w:val="408F1FDB"/>
    <w:rsid w:val="40907B01"/>
    <w:rsid w:val="40923879"/>
    <w:rsid w:val="40953369"/>
    <w:rsid w:val="40955117"/>
    <w:rsid w:val="40956EC5"/>
    <w:rsid w:val="40972C3D"/>
    <w:rsid w:val="409A375D"/>
    <w:rsid w:val="409A44DC"/>
    <w:rsid w:val="409B27E0"/>
    <w:rsid w:val="409C0254"/>
    <w:rsid w:val="409E6A5C"/>
    <w:rsid w:val="409F1AF2"/>
    <w:rsid w:val="409F7D44"/>
    <w:rsid w:val="40A11127"/>
    <w:rsid w:val="40A21F9F"/>
    <w:rsid w:val="40A62E81"/>
    <w:rsid w:val="40A63482"/>
    <w:rsid w:val="40A86BF9"/>
    <w:rsid w:val="40AA0BC3"/>
    <w:rsid w:val="40AB0E11"/>
    <w:rsid w:val="40AB493B"/>
    <w:rsid w:val="40AC0E30"/>
    <w:rsid w:val="40AC1191"/>
    <w:rsid w:val="40AE5488"/>
    <w:rsid w:val="40AE7F87"/>
    <w:rsid w:val="40B3559D"/>
    <w:rsid w:val="40B41A41"/>
    <w:rsid w:val="40B90E06"/>
    <w:rsid w:val="40BA4B7E"/>
    <w:rsid w:val="40BC4452"/>
    <w:rsid w:val="40BE466E"/>
    <w:rsid w:val="40C357E1"/>
    <w:rsid w:val="40C41559"/>
    <w:rsid w:val="40C61775"/>
    <w:rsid w:val="40C63523"/>
    <w:rsid w:val="40C813CB"/>
    <w:rsid w:val="40CB0B39"/>
    <w:rsid w:val="40CB6D8B"/>
    <w:rsid w:val="40CE124B"/>
    <w:rsid w:val="40CE33F2"/>
    <w:rsid w:val="40CF0629"/>
    <w:rsid w:val="40CF1B6E"/>
    <w:rsid w:val="40D21EC7"/>
    <w:rsid w:val="40D76533"/>
    <w:rsid w:val="40D83FA5"/>
    <w:rsid w:val="40D961FE"/>
    <w:rsid w:val="40D96E1C"/>
    <w:rsid w:val="40DA0D7C"/>
    <w:rsid w:val="40DB55F1"/>
    <w:rsid w:val="40DC0304"/>
    <w:rsid w:val="40DE261A"/>
    <w:rsid w:val="40E045E4"/>
    <w:rsid w:val="40E13EB9"/>
    <w:rsid w:val="40E37C31"/>
    <w:rsid w:val="40E65973"/>
    <w:rsid w:val="40E85247"/>
    <w:rsid w:val="40E90FBF"/>
    <w:rsid w:val="40ED0AAF"/>
    <w:rsid w:val="40F005A0"/>
    <w:rsid w:val="40F0234E"/>
    <w:rsid w:val="40F10EA7"/>
    <w:rsid w:val="40F112A6"/>
    <w:rsid w:val="40F53911"/>
    <w:rsid w:val="40F63E08"/>
    <w:rsid w:val="40F938F8"/>
    <w:rsid w:val="40FA4F7A"/>
    <w:rsid w:val="40FB4B2A"/>
    <w:rsid w:val="40FC0CF2"/>
    <w:rsid w:val="40FD201B"/>
    <w:rsid w:val="40FD2D47"/>
    <w:rsid w:val="40FE2CBD"/>
    <w:rsid w:val="410127AD"/>
    <w:rsid w:val="41016309"/>
    <w:rsid w:val="410650D7"/>
    <w:rsid w:val="41087697"/>
    <w:rsid w:val="410A78B3"/>
    <w:rsid w:val="410D73A4"/>
    <w:rsid w:val="410F6C78"/>
    <w:rsid w:val="41100491"/>
    <w:rsid w:val="411053AE"/>
    <w:rsid w:val="4112035A"/>
    <w:rsid w:val="411218A9"/>
    <w:rsid w:val="411249BA"/>
    <w:rsid w:val="41157A47"/>
    <w:rsid w:val="41160006"/>
    <w:rsid w:val="41166258"/>
    <w:rsid w:val="41173DE9"/>
    <w:rsid w:val="41186C23"/>
    <w:rsid w:val="4119704F"/>
    <w:rsid w:val="411A73CB"/>
    <w:rsid w:val="411B561D"/>
    <w:rsid w:val="411E6EBB"/>
    <w:rsid w:val="411F0144"/>
    <w:rsid w:val="4120702C"/>
    <w:rsid w:val="412070D7"/>
    <w:rsid w:val="41232723"/>
    <w:rsid w:val="41257D97"/>
    <w:rsid w:val="412F18D6"/>
    <w:rsid w:val="413019F7"/>
    <w:rsid w:val="41314E40"/>
    <w:rsid w:val="41354204"/>
    <w:rsid w:val="41362456"/>
    <w:rsid w:val="41376733"/>
    <w:rsid w:val="41377F7D"/>
    <w:rsid w:val="41384420"/>
    <w:rsid w:val="41390199"/>
    <w:rsid w:val="413C37E5"/>
    <w:rsid w:val="413D2339"/>
    <w:rsid w:val="413D6362"/>
    <w:rsid w:val="413E6D3C"/>
    <w:rsid w:val="41431BE3"/>
    <w:rsid w:val="41436921"/>
    <w:rsid w:val="414803DC"/>
    <w:rsid w:val="414A4154"/>
    <w:rsid w:val="414B6845"/>
    <w:rsid w:val="414D59F2"/>
    <w:rsid w:val="414F176A"/>
    <w:rsid w:val="41553654"/>
    <w:rsid w:val="415B1A09"/>
    <w:rsid w:val="415C5608"/>
    <w:rsid w:val="415D3E87"/>
    <w:rsid w:val="415D5C35"/>
    <w:rsid w:val="415E19AD"/>
    <w:rsid w:val="415F13B8"/>
    <w:rsid w:val="41601281"/>
    <w:rsid w:val="416074D3"/>
    <w:rsid w:val="4162324B"/>
    <w:rsid w:val="41636FC4"/>
    <w:rsid w:val="41650F8E"/>
    <w:rsid w:val="41654AEA"/>
    <w:rsid w:val="41677B4A"/>
    <w:rsid w:val="416A7C0C"/>
    <w:rsid w:val="416B2C90"/>
    <w:rsid w:val="416E29A7"/>
    <w:rsid w:val="41720FB5"/>
    <w:rsid w:val="41727207"/>
    <w:rsid w:val="41746A12"/>
    <w:rsid w:val="417662C5"/>
    <w:rsid w:val="41766CF7"/>
    <w:rsid w:val="41780CC1"/>
    <w:rsid w:val="41790595"/>
    <w:rsid w:val="417967E7"/>
    <w:rsid w:val="417B02E7"/>
    <w:rsid w:val="417B0A02"/>
    <w:rsid w:val="417D0085"/>
    <w:rsid w:val="417E3DFD"/>
    <w:rsid w:val="417E40F4"/>
    <w:rsid w:val="41807B75"/>
    <w:rsid w:val="4184506D"/>
    <w:rsid w:val="41847666"/>
    <w:rsid w:val="418530D3"/>
    <w:rsid w:val="41872CB2"/>
    <w:rsid w:val="418C651A"/>
    <w:rsid w:val="418D4040"/>
    <w:rsid w:val="418F7DB9"/>
    <w:rsid w:val="41913B31"/>
    <w:rsid w:val="41923405"/>
    <w:rsid w:val="41961147"/>
    <w:rsid w:val="41970A1B"/>
    <w:rsid w:val="4197447E"/>
    <w:rsid w:val="41974AB0"/>
    <w:rsid w:val="41984EBF"/>
    <w:rsid w:val="41990C37"/>
    <w:rsid w:val="419A5FCE"/>
    <w:rsid w:val="419B050B"/>
    <w:rsid w:val="419C2A9B"/>
    <w:rsid w:val="419D4283"/>
    <w:rsid w:val="41A031F1"/>
    <w:rsid w:val="41A1063B"/>
    <w:rsid w:val="41A21154"/>
    <w:rsid w:val="41A575DC"/>
    <w:rsid w:val="41A73354"/>
    <w:rsid w:val="41A970CC"/>
    <w:rsid w:val="41AA2E44"/>
    <w:rsid w:val="41AC096A"/>
    <w:rsid w:val="41AC2719"/>
    <w:rsid w:val="41AE6491"/>
    <w:rsid w:val="41AF3FB7"/>
    <w:rsid w:val="41B25AE9"/>
    <w:rsid w:val="41B63597"/>
    <w:rsid w:val="41B966C1"/>
    <w:rsid w:val="41BB295C"/>
    <w:rsid w:val="41BD7202"/>
    <w:rsid w:val="41C00D17"/>
    <w:rsid w:val="41C140AF"/>
    <w:rsid w:val="41C23B21"/>
    <w:rsid w:val="41C23CEA"/>
    <w:rsid w:val="41C31810"/>
    <w:rsid w:val="41C77552"/>
    <w:rsid w:val="41C9151C"/>
    <w:rsid w:val="41CA2B9F"/>
    <w:rsid w:val="41CC06C6"/>
    <w:rsid w:val="41CF6E2D"/>
    <w:rsid w:val="41D103D1"/>
    <w:rsid w:val="41D43A1D"/>
    <w:rsid w:val="41D57EC1"/>
    <w:rsid w:val="41D61543"/>
    <w:rsid w:val="41D67795"/>
    <w:rsid w:val="41D81894"/>
    <w:rsid w:val="41D8350E"/>
    <w:rsid w:val="41D86042"/>
    <w:rsid w:val="41D91034"/>
    <w:rsid w:val="41DE664A"/>
    <w:rsid w:val="41E023C2"/>
    <w:rsid w:val="41E53E7C"/>
    <w:rsid w:val="41EA3241"/>
    <w:rsid w:val="41EA4FEF"/>
    <w:rsid w:val="41EA74E6"/>
    <w:rsid w:val="41EB4E51"/>
    <w:rsid w:val="41EE2D31"/>
    <w:rsid w:val="41EF130C"/>
    <w:rsid w:val="41F05FA3"/>
    <w:rsid w:val="41F1637D"/>
    <w:rsid w:val="41F30347"/>
    <w:rsid w:val="41F36599"/>
    <w:rsid w:val="41F45E6E"/>
    <w:rsid w:val="41F52311"/>
    <w:rsid w:val="41F67393"/>
    <w:rsid w:val="41F8770C"/>
    <w:rsid w:val="41FB36A0"/>
    <w:rsid w:val="42002A64"/>
    <w:rsid w:val="4200449D"/>
    <w:rsid w:val="42004812"/>
    <w:rsid w:val="420057D5"/>
    <w:rsid w:val="420460B1"/>
    <w:rsid w:val="42075BA1"/>
    <w:rsid w:val="420C31B7"/>
    <w:rsid w:val="420D7370"/>
    <w:rsid w:val="42116A20"/>
    <w:rsid w:val="421309EA"/>
    <w:rsid w:val="42132798"/>
    <w:rsid w:val="4214206C"/>
    <w:rsid w:val="42154762"/>
    <w:rsid w:val="4218129D"/>
    <w:rsid w:val="42187DAE"/>
    <w:rsid w:val="421A1C49"/>
    <w:rsid w:val="421B33FA"/>
    <w:rsid w:val="421D7172"/>
    <w:rsid w:val="421F113C"/>
    <w:rsid w:val="42204EB5"/>
    <w:rsid w:val="42206C63"/>
    <w:rsid w:val="4222225B"/>
    <w:rsid w:val="422229DB"/>
    <w:rsid w:val="42224789"/>
    <w:rsid w:val="422449A5"/>
    <w:rsid w:val="422644F3"/>
    <w:rsid w:val="42282191"/>
    <w:rsid w:val="4228524C"/>
    <w:rsid w:val="42293D69"/>
    <w:rsid w:val="42295B17"/>
    <w:rsid w:val="422B0E54"/>
    <w:rsid w:val="422E5823"/>
    <w:rsid w:val="422E6094"/>
    <w:rsid w:val="422F6EA6"/>
    <w:rsid w:val="42332E3A"/>
    <w:rsid w:val="42341F06"/>
    <w:rsid w:val="4235270E"/>
    <w:rsid w:val="42360234"/>
    <w:rsid w:val="423746D8"/>
    <w:rsid w:val="423A3BCC"/>
    <w:rsid w:val="423B584A"/>
    <w:rsid w:val="423C1CEE"/>
    <w:rsid w:val="423D5A66"/>
    <w:rsid w:val="423D7183"/>
    <w:rsid w:val="423D7815"/>
    <w:rsid w:val="423F17DF"/>
    <w:rsid w:val="423F533B"/>
    <w:rsid w:val="42421521"/>
    <w:rsid w:val="42470693"/>
    <w:rsid w:val="424961B9"/>
    <w:rsid w:val="424D3EFC"/>
    <w:rsid w:val="424E57D2"/>
    <w:rsid w:val="424F289A"/>
    <w:rsid w:val="425012F6"/>
    <w:rsid w:val="4255690C"/>
    <w:rsid w:val="42562465"/>
    <w:rsid w:val="4259608C"/>
    <w:rsid w:val="425A03C6"/>
    <w:rsid w:val="425A2175"/>
    <w:rsid w:val="425B4043"/>
    <w:rsid w:val="425C1690"/>
    <w:rsid w:val="425F282E"/>
    <w:rsid w:val="426052B1"/>
    <w:rsid w:val="42624F84"/>
    <w:rsid w:val="42641245"/>
    <w:rsid w:val="42642FF3"/>
    <w:rsid w:val="42660B19"/>
    <w:rsid w:val="4267663F"/>
    <w:rsid w:val="426949EF"/>
    <w:rsid w:val="426D74C6"/>
    <w:rsid w:val="426F57D7"/>
    <w:rsid w:val="427174BE"/>
    <w:rsid w:val="42732AEB"/>
    <w:rsid w:val="42750829"/>
    <w:rsid w:val="42756FAE"/>
    <w:rsid w:val="42772D26"/>
    <w:rsid w:val="42773149"/>
    <w:rsid w:val="42784CF1"/>
    <w:rsid w:val="427A2817"/>
    <w:rsid w:val="427C033D"/>
    <w:rsid w:val="427D5E63"/>
    <w:rsid w:val="427E301C"/>
    <w:rsid w:val="427F7E2D"/>
    <w:rsid w:val="42813BA5"/>
    <w:rsid w:val="428216CB"/>
    <w:rsid w:val="428222C6"/>
    <w:rsid w:val="42827D14"/>
    <w:rsid w:val="42846FB4"/>
    <w:rsid w:val="428471F1"/>
    <w:rsid w:val="42864D18"/>
    <w:rsid w:val="42876CE2"/>
    <w:rsid w:val="4288138C"/>
    <w:rsid w:val="428840CE"/>
    <w:rsid w:val="42893E17"/>
    <w:rsid w:val="42894808"/>
    <w:rsid w:val="428D1681"/>
    <w:rsid w:val="428F2423"/>
    <w:rsid w:val="42932094"/>
    <w:rsid w:val="4293471F"/>
    <w:rsid w:val="42975177"/>
    <w:rsid w:val="42976F25"/>
    <w:rsid w:val="429A4C67"/>
    <w:rsid w:val="429B3182"/>
    <w:rsid w:val="429D6505"/>
    <w:rsid w:val="42A04F26"/>
    <w:rsid w:val="42A41642"/>
    <w:rsid w:val="42A47894"/>
    <w:rsid w:val="42A6360C"/>
    <w:rsid w:val="42AB6E74"/>
    <w:rsid w:val="42B20202"/>
    <w:rsid w:val="42B23D5F"/>
    <w:rsid w:val="42B26C49"/>
    <w:rsid w:val="42B44D7F"/>
    <w:rsid w:val="42B6748E"/>
    <w:rsid w:val="42BA2C13"/>
    <w:rsid w:val="42BB4D48"/>
    <w:rsid w:val="42BC106E"/>
    <w:rsid w:val="42BC4BDD"/>
    <w:rsid w:val="42BD10CE"/>
    <w:rsid w:val="42BF022A"/>
    <w:rsid w:val="42BF231A"/>
    <w:rsid w:val="42BF6138"/>
    <w:rsid w:val="42C10446"/>
    <w:rsid w:val="42C13FA2"/>
    <w:rsid w:val="42C23C83"/>
    <w:rsid w:val="42C52AB7"/>
    <w:rsid w:val="42C6780A"/>
    <w:rsid w:val="42C772B7"/>
    <w:rsid w:val="42C83582"/>
    <w:rsid w:val="42C972FA"/>
    <w:rsid w:val="42CD2946"/>
    <w:rsid w:val="42CD4EE6"/>
    <w:rsid w:val="42CE66BF"/>
    <w:rsid w:val="42D00689"/>
    <w:rsid w:val="42D149FA"/>
    <w:rsid w:val="42D25EFA"/>
    <w:rsid w:val="42D40179"/>
    <w:rsid w:val="42D71A17"/>
    <w:rsid w:val="42D726B6"/>
    <w:rsid w:val="42D737C5"/>
    <w:rsid w:val="42D96731"/>
    <w:rsid w:val="42D96FE8"/>
    <w:rsid w:val="42DA5063"/>
    <w:rsid w:val="42DC527F"/>
    <w:rsid w:val="42DE3386"/>
    <w:rsid w:val="42DE4B54"/>
    <w:rsid w:val="42DF08CC"/>
    <w:rsid w:val="42E14644"/>
    <w:rsid w:val="42E45EE2"/>
    <w:rsid w:val="42E4608D"/>
    <w:rsid w:val="42E479A3"/>
    <w:rsid w:val="42E60348"/>
    <w:rsid w:val="42E63B0D"/>
    <w:rsid w:val="42E67EAC"/>
    <w:rsid w:val="42E83C24"/>
    <w:rsid w:val="42E934F8"/>
    <w:rsid w:val="42EB101F"/>
    <w:rsid w:val="42EB54C2"/>
    <w:rsid w:val="42EE327C"/>
    <w:rsid w:val="42F02AD9"/>
    <w:rsid w:val="42F02F65"/>
    <w:rsid w:val="42F205FF"/>
    <w:rsid w:val="42F26851"/>
    <w:rsid w:val="42F36125"/>
    <w:rsid w:val="42F56341"/>
    <w:rsid w:val="42F75C15"/>
    <w:rsid w:val="42FE0D52"/>
    <w:rsid w:val="42FE2BA4"/>
    <w:rsid w:val="43016A94"/>
    <w:rsid w:val="430378E0"/>
    <w:rsid w:val="43056584"/>
    <w:rsid w:val="4307403B"/>
    <w:rsid w:val="43090AF7"/>
    <w:rsid w:val="43097E84"/>
    <w:rsid w:val="430D368B"/>
    <w:rsid w:val="430D5439"/>
    <w:rsid w:val="430F2F5F"/>
    <w:rsid w:val="430F5A1A"/>
    <w:rsid w:val="43100A85"/>
    <w:rsid w:val="43120CA1"/>
    <w:rsid w:val="43171E14"/>
    <w:rsid w:val="43184E58"/>
    <w:rsid w:val="431A39DA"/>
    <w:rsid w:val="431B4E6A"/>
    <w:rsid w:val="431E31A2"/>
    <w:rsid w:val="431E7646"/>
    <w:rsid w:val="43210EE4"/>
    <w:rsid w:val="4322608A"/>
    <w:rsid w:val="43231BEC"/>
    <w:rsid w:val="43245818"/>
    <w:rsid w:val="43245B1A"/>
    <w:rsid w:val="432804C5"/>
    <w:rsid w:val="43282273"/>
    <w:rsid w:val="432F1853"/>
    <w:rsid w:val="432F476F"/>
    <w:rsid w:val="432F53AF"/>
    <w:rsid w:val="43305BFF"/>
    <w:rsid w:val="4331708F"/>
    <w:rsid w:val="43324E9F"/>
    <w:rsid w:val="43326C4D"/>
    <w:rsid w:val="43355A10"/>
    <w:rsid w:val="43361A71"/>
    <w:rsid w:val="43364990"/>
    <w:rsid w:val="433A4A4F"/>
    <w:rsid w:val="433A6FE6"/>
    <w:rsid w:val="433A711E"/>
    <w:rsid w:val="433C6DA3"/>
    <w:rsid w:val="433C7ACC"/>
    <w:rsid w:val="433E3844"/>
    <w:rsid w:val="433F136A"/>
    <w:rsid w:val="43413334"/>
    <w:rsid w:val="434370AD"/>
    <w:rsid w:val="43470585"/>
    <w:rsid w:val="4348021F"/>
    <w:rsid w:val="43480868"/>
    <w:rsid w:val="43486471"/>
    <w:rsid w:val="434B5F61"/>
    <w:rsid w:val="434C134D"/>
    <w:rsid w:val="434F1188"/>
    <w:rsid w:val="43503578"/>
    <w:rsid w:val="4350713C"/>
    <w:rsid w:val="43524F0A"/>
    <w:rsid w:val="43543068"/>
    <w:rsid w:val="43544E16"/>
    <w:rsid w:val="43574906"/>
    <w:rsid w:val="4358397B"/>
    <w:rsid w:val="4359067E"/>
    <w:rsid w:val="435B129C"/>
    <w:rsid w:val="435B611E"/>
    <w:rsid w:val="435B61A4"/>
    <w:rsid w:val="435C016E"/>
    <w:rsid w:val="436037BB"/>
    <w:rsid w:val="43604CDE"/>
    <w:rsid w:val="43626E75"/>
    <w:rsid w:val="4363365F"/>
    <w:rsid w:val="436337CE"/>
    <w:rsid w:val="4365416E"/>
    <w:rsid w:val="436559F6"/>
    <w:rsid w:val="436653E0"/>
    <w:rsid w:val="43670FED"/>
    <w:rsid w:val="4368206F"/>
    <w:rsid w:val="43686B13"/>
    <w:rsid w:val="436C03B1"/>
    <w:rsid w:val="436D237B"/>
    <w:rsid w:val="436D5ED7"/>
    <w:rsid w:val="436E5EB8"/>
    <w:rsid w:val="43727ED2"/>
    <w:rsid w:val="43732496"/>
    <w:rsid w:val="43741014"/>
    <w:rsid w:val="43747266"/>
    <w:rsid w:val="43754D8C"/>
    <w:rsid w:val="43776D56"/>
    <w:rsid w:val="437B6846"/>
    <w:rsid w:val="437C606C"/>
    <w:rsid w:val="437C611B"/>
    <w:rsid w:val="437E00E5"/>
    <w:rsid w:val="437E6C9A"/>
    <w:rsid w:val="438019FA"/>
    <w:rsid w:val="438229C9"/>
    <w:rsid w:val="438356FB"/>
    <w:rsid w:val="438445D5"/>
    <w:rsid w:val="438507B2"/>
    <w:rsid w:val="43853221"/>
    <w:rsid w:val="43865B08"/>
    <w:rsid w:val="43866B0E"/>
    <w:rsid w:val="43866F99"/>
    <w:rsid w:val="438A0837"/>
    <w:rsid w:val="438A6A89"/>
    <w:rsid w:val="438C45B0"/>
    <w:rsid w:val="438D657A"/>
    <w:rsid w:val="438F22F2"/>
    <w:rsid w:val="438F40A0"/>
    <w:rsid w:val="43916900"/>
    <w:rsid w:val="43922586"/>
    <w:rsid w:val="43963680"/>
    <w:rsid w:val="43990281"/>
    <w:rsid w:val="439B6897"/>
    <w:rsid w:val="439D4A0F"/>
    <w:rsid w:val="439D589E"/>
    <w:rsid w:val="439F142D"/>
    <w:rsid w:val="439F5E7B"/>
    <w:rsid w:val="43A01E09"/>
    <w:rsid w:val="43A146DB"/>
    <w:rsid w:val="43A15B81"/>
    <w:rsid w:val="43A35D9D"/>
    <w:rsid w:val="43A37B4B"/>
    <w:rsid w:val="43A538C3"/>
    <w:rsid w:val="43A56F13"/>
    <w:rsid w:val="43A63197"/>
    <w:rsid w:val="43A75B2F"/>
    <w:rsid w:val="43A7763B"/>
    <w:rsid w:val="43A833B4"/>
    <w:rsid w:val="43AA28A5"/>
    <w:rsid w:val="43AA2C88"/>
    <w:rsid w:val="43AF029E"/>
    <w:rsid w:val="43B1062C"/>
    <w:rsid w:val="43B27D8E"/>
    <w:rsid w:val="43B34232"/>
    <w:rsid w:val="43B43B06"/>
    <w:rsid w:val="43B50336"/>
    <w:rsid w:val="43B57BE6"/>
    <w:rsid w:val="43B602FD"/>
    <w:rsid w:val="43B6787E"/>
    <w:rsid w:val="43B81849"/>
    <w:rsid w:val="43B90147"/>
    <w:rsid w:val="43BA6ADE"/>
    <w:rsid w:val="43BB5638"/>
    <w:rsid w:val="43BD0C0D"/>
    <w:rsid w:val="43C26223"/>
    <w:rsid w:val="43C4431A"/>
    <w:rsid w:val="43C53F65"/>
    <w:rsid w:val="43C65928"/>
    <w:rsid w:val="43C73122"/>
    <w:rsid w:val="43C74C18"/>
    <w:rsid w:val="43C94233"/>
    <w:rsid w:val="43C95804"/>
    <w:rsid w:val="43CE261E"/>
    <w:rsid w:val="43CF26EE"/>
    <w:rsid w:val="43D22A59"/>
    <w:rsid w:val="43D441A9"/>
    <w:rsid w:val="43D45F57"/>
    <w:rsid w:val="43D616B4"/>
    <w:rsid w:val="43D733FF"/>
    <w:rsid w:val="43D804C6"/>
    <w:rsid w:val="43D85A47"/>
    <w:rsid w:val="43D917BF"/>
    <w:rsid w:val="43D95944"/>
    <w:rsid w:val="43DA67B6"/>
    <w:rsid w:val="43DB72E5"/>
    <w:rsid w:val="43E048FB"/>
    <w:rsid w:val="43E15EC3"/>
    <w:rsid w:val="43E64B8E"/>
    <w:rsid w:val="43E75C8A"/>
    <w:rsid w:val="43E77A38"/>
    <w:rsid w:val="43E9091A"/>
    <w:rsid w:val="43E94875"/>
    <w:rsid w:val="43EA577A"/>
    <w:rsid w:val="43EA7528"/>
    <w:rsid w:val="43EC32A0"/>
    <w:rsid w:val="43EC504E"/>
    <w:rsid w:val="43EE1643"/>
    <w:rsid w:val="43F16B09"/>
    <w:rsid w:val="43F32881"/>
    <w:rsid w:val="43F3462F"/>
    <w:rsid w:val="43F61721"/>
    <w:rsid w:val="43F6411F"/>
    <w:rsid w:val="43F9776B"/>
    <w:rsid w:val="44000AFA"/>
    <w:rsid w:val="44022AC4"/>
    <w:rsid w:val="44036973"/>
    <w:rsid w:val="44055BE3"/>
    <w:rsid w:val="440700DA"/>
    <w:rsid w:val="440920A4"/>
    <w:rsid w:val="440B5E1C"/>
    <w:rsid w:val="440C3942"/>
    <w:rsid w:val="440C56F0"/>
    <w:rsid w:val="4412597C"/>
    <w:rsid w:val="441278C2"/>
    <w:rsid w:val="44185E43"/>
    <w:rsid w:val="441923B7"/>
    <w:rsid w:val="441A7E0D"/>
    <w:rsid w:val="441B5933"/>
    <w:rsid w:val="441E75A6"/>
    <w:rsid w:val="441F5424"/>
    <w:rsid w:val="44223166"/>
    <w:rsid w:val="44226CC2"/>
    <w:rsid w:val="442567B2"/>
    <w:rsid w:val="4426307E"/>
    <w:rsid w:val="442671C8"/>
    <w:rsid w:val="4427252A"/>
    <w:rsid w:val="442742D8"/>
    <w:rsid w:val="44283229"/>
    <w:rsid w:val="44292740"/>
    <w:rsid w:val="442A3DC9"/>
    <w:rsid w:val="442A5B77"/>
    <w:rsid w:val="443133A9"/>
    <w:rsid w:val="44356402"/>
    <w:rsid w:val="44364C69"/>
    <w:rsid w:val="4439400C"/>
    <w:rsid w:val="443A16C8"/>
    <w:rsid w:val="443B2D10"/>
    <w:rsid w:val="443C4228"/>
    <w:rsid w:val="443D1D4E"/>
    <w:rsid w:val="444046A4"/>
    <w:rsid w:val="4440539A"/>
    <w:rsid w:val="44405EE8"/>
    <w:rsid w:val="44407D6F"/>
    <w:rsid w:val="4441183E"/>
    <w:rsid w:val="44417BB4"/>
    <w:rsid w:val="44420818"/>
    <w:rsid w:val="444255B6"/>
    <w:rsid w:val="44440F87"/>
    <w:rsid w:val="44450C02"/>
    <w:rsid w:val="44472BCC"/>
    <w:rsid w:val="444A6219"/>
    <w:rsid w:val="444C01E3"/>
    <w:rsid w:val="444C3D3F"/>
    <w:rsid w:val="444E5D09"/>
    <w:rsid w:val="444E7AE4"/>
    <w:rsid w:val="44507CD3"/>
    <w:rsid w:val="4453331F"/>
    <w:rsid w:val="44550B05"/>
    <w:rsid w:val="445552E9"/>
    <w:rsid w:val="44597CC1"/>
    <w:rsid w:val="445A645C"/>
    <w:rsid w:val="445D419E"/>
    <w:rsid w:val="445F1CC4"/>
    <w:rsid w:val="445F4788"/>
    <w:rsid w:val="44603D2F"/>
    <w:rsid w:val="4461414D"/>
    <w:rsid w:val="446606E4"/>
    <w:rsid w:val="446612A5"/>
    <w:rsid w:val="44670B79"/>
    <w:rsid w:val="44682E92"/>
    <w:rsid w:val="4469003D"/>
    <w:rsid w:val="44691B4C"/>
    <w:rsid w:val="446B0669"/>
    <w:rsid w:val="446C618F"/>
    <w:rsid w:val="446E0159"/>
    <w:rsid w:val="446E1F07"/>
    <w:rsid w:val="446F7A2D"/>
    <w:rsid w:val="447357CF"/>
    <w:rsid w:val="4475773A"/>
    <w:rsid w:val="44775260"/>
    <w:rsid w:val="44780FD8"/>
    <w:rsid w:val="44784B34"/>
    <w:rsid w:val="447A4D50"/>
    <w:rsid w:val="447B4624"/>
    <w:rsid w:val="447B7530"/>
    <w:rsid w:val="447C2876"/>
    <w:rsid w:val="447E329C"/>
    <w:rsid w:val="447F2366"/>
    <w:rsid w:val="447F4114"/>
    <w:rsid w:val="448403C5"/>
    <w:rsid w:val="44846FEE"/>
    <w:rsid w:val="44862AF6"/>
    <w:rsid w:val="4487121B"/>
    <w:rsid w:val="44890AEF"/>
    <w:rsid w:val="448B0D0B"/>
    <w:rsid w:val="448B5125"/>
    <w:rsid w:val="448C3B74"/>
    <w:rsid w:val="448D347A"/>
    <w:rsid w:val="448E07FB"/>
    <w:rsid w:val="449060D6"/>
    <w:rsid w:val="44906321"/>
    <w:rsid w:val="44913E48"/>
    <w:rsid w:val="44937BC0"/>
    <w:rsid w:val="44953938"/>
    <w:rsid w:val="449556E6"/>
    <w:rsid w:val="44986F84"/>
    <w:rsid w:val="449C15EE"/>
    <w:rsid w:val="449C6A74"/>
    <w:rsid w:val="449D27EC"/>
    <w:rsid w:val="449E5880"/>
    <w:rsid w:val="449F0313"/>
    <w:rsid w:val="44A1052F"/>
    <w:rsid w:val="44A14E43"/>
    <w:rsid w:val="44A57770"/>
    <w:rsid w:val="44A65B45"/>
    <w:rsid w:val="44A92F3F"/>
    <w:rsid w:val="44A973E3"/>
    <w:rsid w:val="44AB18FE"/>
    <w:rsid w:val="44AC2A30"/>
    <w:rsid w:val="44AF2776"/>
    <w:rsid w:val="44B02520"/>
    <w:rsid w:val="44B02B9F"/>
    <w:rsid w:val="44B26298"/>
    <w:rsid w:val="44B33DBE"/>
    <w:rsid w:val="44B55D88"/>
    <w:rsid w:val="44B81331"/>
    <w:rsid w:val="44B951CC"/>
    <w:rsid w:val="44BA15F0"/>
    <w:rsid w:val="44BE2E8F"/>
    <w:rsid w:val="44C164DB"/>
    <w:rsid w:val="44C47D79"/>
    <w:rsid w:val="44C53935"/>
    <w:rsid w:val="44C67F95"/>
    <w:rsid w:val="44C71617"/>
    <w:rsid w:val="44C769AA"/>
    <w:rsid w:val="44C77996"/>
    <w:rsid w:val="44C85ABB"/>
    <w:rsid w:val="44C95D05"/>
    <w:rsid w:val="44CD14E0"/>
    <w:rsid w:val="44CD4C98"/>
    <w:rsid w:val="44CE6128"/>
    <w:rsid w:val="44D02BC2"/>
    <w:rsid w:val="44D22496"/>
    <w:rsid w:val="44D34460"/>
    <w:rsid w:val="44D3620E"/>
    <w:rsid w:val="44D6034B"/>
    <w:rsid w:val="44D77AAC"/>
    <w:rsid w:val="44D96B69"/>
    <w:rsid w:val="44DC1567"/>
    <w:rsid w:val="44DD1585"/>
    <w:rsid w:val="44E13032"/>
    <w:rsid w:val="44E16B7D"/>
    <w:rsid w:val="44E605DA"/>
    <w:rsid w:val="44E64193"/>
    <w:rsid w:val="44E82E6F"/>
    <w:rsid w:val="44ED4282"/>
    <w:rsid w:val="44EE129A"/>
    <w:rsid w:val="44EE4DF6"/>
    <w:rsid w:val="44F20B0B"/>
    <w:rsid w:val="44F22B38"/>
    <w:rsid w:val="44F56185"/>
    <w:rsid w:val="44FA19ED"/>
    <w:rsid w:val="44FA379B"/>
    <w:rsid w:val="44FC4B6A"/>
    <w:rsid w:val="44FC5765"/>
    <w:rsid w:val="44FC7513"/>
    <w:rsid w:val="44FD256F"/>
    <w:rsid w:val="44FD328B"/>
    <w:rsid w:val="44FF5255"/>
    <w:rsid w:val="45053531"/>
    <w:rsid w:val="45063999"/>
    <w:rsid w:val="450B1E4C"/>
    <w:rsid w:val="450B4626"/>
    <w:rsid w:val="450C1E73"/>
    <w:rsid w:val="450D34CE"/>
    <w:rsid w:val="45105EDB"/>
    <w:rsid w:val="45124F88"/>
    <w:rsid w:val="45140D01"/>
    <w:rsid w:val="451505D5"/>
    <w:rsid w:val="45154A79"/>
    <w:rsid w:val="45156827"/>
    <w:rsid w:val="45165569"/>
    <w:rsid w:val="4517491E"/>
    <w:rsid w:val="451900C5"/>
    <w:rsid w:val="451906CE"/>
    <w:rsid w:val="451C50E6"/>
    <w:rsid w:val="451C5E07"/>
    <w:rsid w:val="451C7BB5"/>
    <w:rsid w:val="45213227"/>
    <w:rsid w:val="45216F7A"/>
    <w:rsid w:val="45232CF2"/>
    <w:rsid w:val="452627E2"/>
    <w:rsid w:val="45264590"/>
    <w:rsid w:val="45275151"/>
    <w:rsid w:val="452972BD"/>
    <w:rsid w:val="452B1BA6"/>
    <w:rsid w:val="452B604A"/>
    <w:rsid w:val="452C63A7"/>
    <w:rsid w:val="452D1DC2"/>
    <w:rsid w:val="452D591E"/>
    <w:rsid w:val="452E5F4C"/>
    <w:rsid w:val="45302A8A"/>
    <w:rsid w:val="45303661"/>
    <w:rsid w:val="45343151"/>
    <w:rsid w:val="45350C77"/>
    <w:rsid w:val="45366A52"/>
    <w:rsid w:val="453942C3"/>
    <w:rsid w:val="453A7A27"/>
    <w:rsid w:val="453C0257"/>
    <w:rsid w:val="453C2005"/>
    <w:rsid w:val="453C76F4"/>
    <w:rsid w:val="453E6323"/>
    <w:rsid w:val="453F38A4"/>
    <w:rsid w:val="4541644A"/>
    <w:rsid w:val="454324B8"/>
    <w:rsid w:val="45451A45"/>
    <w:rsid w:val="454525F0"/>
    <w:rsid w:val="45462E84"/>
    <w:rsid w:val="454A74FC"/>
    <w:rsid w:val="455235D7"/>
    <w:rsid w:val="455530C7"/>
    <w:rsid w:val="45561319"/>
    <w:rsid w:val="45576175"/>
    <w:rsid w:val="455946D1"/>
    <w:rsid w:val="455B692F"/>
    <w:rsid w:val="455C6204"/>
    <w:rsid w:val="455D74E7"/>
    <w:rsid w:val="455E20DB"/>
    <w:rsid w:val="455F6E02"/>
    <w:rsid w:val="45603F46"/>
    <w:rsid w:val="45605CF4"/>
    <w:rsid w:val="45610A0B"/>
    <w:rsid w:val="45612018"/>
    <w:rsid w:val="45637592"/>
    <w:rsid w:val="456719A5"/>
    <w:rsid w:val="456926CF"/>
    <w:rsid w:val="456A0921"/>
    <w:rsid w:val="456B28EB"/>
    <w:rsid w:val="456F4189"/>
    <w:rsid w:val="4571013B"/>
    <w:rsid w:val="45736708"/>
    <w:rsid w:val="45740849"/>
    <w:rsid w:val="4574354D"/>
    <w:rsid w:val="4577303D"/>
    <w:rsid w:val="45777DC6"/>
    <w:rsid w:val="457873F2"/>
    <w:rsid w:val="45796DB6"/>
    <w:rsid w:val="457A48DC"/>
    <w:rsid w:val="457B2B2E"/>
    <w:rsid w:val="457B46C5"/>
    <w:rsid w:val="457E261E"/>
    <w:rsid w:val="457E43CC"/>
    <w:rsid w:val="457F0FBD"/>
    <w:rsid w:val="45800144"/>
    <w:rsid w:val="45833790"/>
    <w:rsid w:val="45857508"/>
    <w:rsid w:val="458946E9"/>
    <w:rsid w:val="458978F8"/>
    <w:rsid w:val="458A0FC3"/>
    <w:rsid w:val="458A34FF"/>
    <w:rsid w:val="458B6AE9"/>
    <w:rsid w:val="458F482B"/>
    <w:rsid w:val="458F65D9"/>
    <w:rsid w:val="459040FF"/>
    <w:rsid w:val="45905EAD"/>
    <w:rsid w:val="45915D55"/>
    <w:rsid w:val="45927E77"/>
    <w:rsid w:val="459736E0"/>
    <w:rsid w:val="4597548E"/>
    <w:rsid w:val="45983D4E"/>
    <w:rsid w:val="459862B3"/>
    <w:rsid w:val="459B4F7E"/>
    <w:rsid w:val="459B6D2C"/>
    <w:rsid w:val="459F4BEF"/>
    <w:rsid w:val="45A277A9"/>
    <w:rsid w:val="45A32084"/>
    <w:rsid w:val="45A47C0E"/>
    <w:rsid w:val="45A73923"/>
    <w:rsid w:val="45A81449"/>
    <w:rsid w:val="45AA3F79"/>
    <w:rsid w:val="45AA51C1"/>
    <w:rsid w:val="45AB6B4A"/>
    <w:rsid w:val="45AC718B"/>
    <w:rsid w:val="45AD2F03"/>
    <w:rsid w:val="45B222C8"/>
    <w:rsid w:val="45B66C00"/>
    <w:rsid w:val="45B778DE"/>
    <w:rsid w:val="45BA6077"/>
    <w:rsid w:val="45BE6EBE"/>
    <w:rsid w:val="45BF0F43"/>
    <w:rsid w:val="45C02C36"/>
    <w:rsid w:val="45C10D0F"/>
    <w:rsid w:val="45C10D70"/>
    <w:rsid w:val="45C36283"/>
    <w:rsid w:val="45C44B20"/>
    <w:rsid w:val="45C5024D"/>
    <w:rsid w:val="45C51FFB"/>
    <w:rsid w:val="45C63752"/>
    <w:rsid w:val="45C6620A"/>
    <w:rsid w:val="45C81AEB"/>
    <w:rsid w:val="45CC4344"/>
    <w:rsid w:val="45CD0EAF"/>
    <w:rsid w:val="45CF69D6"/>
    <w:rsid w:val="45D109A0"/>
    <w:rsid w:val="45D3296A"/>
    <w:rsid w:val="45D40490"/>
    <w:rsid w:val="45D4223E"/>
    <w:rsid w:val="45D471E6"/>
    <w:rsid w:val="45D53524"/>
    <w:rsid w:val="45D64208"/>
    <w:rsid w:val="45D65FB6"/>
    <w:rsid w:val="45D71D2E"/>
    <w:rsid w:val="45D93CF8"/>
    <w:rsid w:val="45D95AA6"/>
    <w:rsid w:val="45D96965"/>
    <w:rsid w:val="45D97854"/>
    <w:rsid w:val="45DA76D1"/>
    <w:rsid w:val="45DC10F2"/>
    <w:rsid w:val="45E2644E"/>
    <w:rsid w:val="45E32481"/>
    <w:rsid w:val="45E529EA"/>
    <w:rsid w:val="45E5444B"/>
    <w:rsid w:val="45E561F9"/>
    <w:rsid w:val="45E76415"/>
    <w:rsid w:val="45EC3A2B"/>
    <w:rsid w:val="45EC7588"/>
    <w:rsid w:val="45EE77A4"/>
    <w:rsid w:val="45EF0839"/>
    <w:rsid w:val="45F20916"/>
    <w:rsid w:val="45F4468E"/>
    <w:rsid w:val="45F4643C"/>
    <w:rsid w:val="45F5651F"/>
    <w:rsid w:val="45F60406"/>
    <w:rsid w:val="45F621B4"/>
    <w:rsid w:val="45F65CF5"/>
    <w:rsid w:val="45F823D0"/>
    <w:rsid w:val="45FB3C6E"/>
    <w:rsid w:val="46004D27"/>
    <w:rsid w:val="460074D7"/>
    <w:rsid w:val="46040D75"/>
    <w:rsid w:val="460743C1"/>
    <w:rsid w:val="46077B38"/>
    <w:rsid w:val="46077DF2"/>
    <w:rsid w:val="460C7C2A"/>
    <w:rsid w:val="460E39A2"/>
    <w:rsid w:val="46121910"/>
    <w:rsid w:val="461262A5"/>
    <w:rsid w:val="46142726"/>
    <w:rsid w:val="46160AA8"/>
    <w:rsid w:val="46170428"/>
    <w:rsid w:val="4618037D"/>
    <w:rsid w:val="46184820"/>
    <w:rsid w:val="461865CE"/>
    <w:rsid w:val="46192347"/>
    <w:rsid w:val="461B60BF"/>
    <w:rsid w:val="461D3BE5"/>
    <w:rsid w:val="461E170B"/>
    <w:rsid w:val="461E5281"/>
    <w:rsid w:val="461E795D"/>
    <w:rsid w:val="46205483"/>
    <w:rsid w:val="46207231"/>
    <w:rsid w:val="46250A0C"/>
    <w:rsid w:val="46250CEB"/>
    <w:rsid w:val="46252A99"/>
    <w:rsid w:val="462777BA"/>
    <w:rsid w:val="46284338"/>
    <w:rsid w:val="462907DC"/>
    <w:rsid w:val="462D194E"/>
    <w:rsid w:val="462D421F"/>
    <w:rsid w:val="462E5DF2"/>
    <w:rsid w:val="4631143E"/>
    <w:rsid w:val="46342CDD"/>
    <w:rsid w:val="46380A1F"/>
    <w:rsid w:val="463B36AE"/>
    <w:rsid w:val="463B7EBE"/>
    <w:rsid w:val="463D37A1"/>
    <w:rsid w:val="463D6035"/>
    <w:rsid w:val="463F1DAD"/>
    <w:rsid w:val="46401681"/>
    <w:rsid w:val="4642364B"/>
    <w:rsid w:val="4644098E"/>
    <w:rsid w:val="464473C4"/>
    <w:rsid w:val="46476EB4"/>
    <w:rsid w:val="4647719D"/>
    <w:rsid w:val="46492C2C"/>
    <w:rsid w:val="46496788"/>
    <w:rsid w:val="464B77C6"/>
    <w:rsid w:val="464C44CA"/>
    <w:rsid w:val="464E1FF0"/>
    <w:rsid w:val="464F237E"/>
    <w:rsid w:val="464F7B16"/>
    <w:rsid w:val="46505219"/>
    <w:rsid w:val="465313B5"/>
    <w:rsid w:val="46531B4F"/>
    <w:rsid w:val="46537607"/>
    <w:rsid w:val="46560EA5"/>
    <w:rsid w:val="46560F3C"/>
    <w:rsid w:val="46577FD6"/>
    <w:rsid w:val="46584C1D"/>
    <w:rsid w:val="465869CB"/>
    <w:rsid w:val="465901DB"/>
    <w:rsid w:val="465B0730"/>
    <w:rsid w:val="465D2233"/>
    <w:rsid w:val="465F41FD"/>
    <w:rsid w:val="46601D24"/>
    <w:rsid w:val="46603AD2"/>
    <w:rsid w:val="46625901"/>
    <w:rsid w:val="46657EBF"/>
    <w:rsid w:val="4669507C"/>
    <w:rsid w:val="466B0DF4"/>
    <w:rsid w:val="466E2692"/>
    <w:rsid w:val="466E4440"/>
    <w:rsid w:val="467001B9"/>
    <w:rsid w:val="46712183"/>
    <w:rsid w:val="46753A21"/>
    <w:rsid w:val="467557CF"/>
    <w:rsid w:val="467625C0"/>
    <w:rsid w:val="467632F5"/>
    <w:rsid w:val="46777349"/>
    <w:rsid w:val="467B6B5D"/>
    <w:rsid w:val="467D4684"/>
    <w:rsid w:val="46875502"/>
    <w:rsid w:val="46881BF1"/>
    <w:rsid w:val="4689127A"/>
    <w:rsid w:val="468B4FF2"/>
    <w:rsid w:val="468C0D6B"/>
    <w:rsid w:val="468E063F"/>
    <w:rsid w:val="469043B7"/>
    <w:rsid w:val="46905A4C"/>
    <w:rsid w:val="46971BE9"/>
    <w:rsid w:val="46977064"/>
    <w:rsid w:val="469943E1"/>
    <w:rsid w:val="469B7E36"/>
    <w:rsid w:val="469C74C5"/>
    <w:rsid w:val="469D547F"/>
    <w:rsid w:val="469E0050"/>
    <w:rsid w:val="469F0A9E"/>
    <w:rsid w:val="46A227C3"/>
    <w:rsid w:val="46A44250"/>
    <w:rsid w:val="46A460B4"/>
    <w:rsid w:val="46A75BA4"/>
    <w:rsid w:val="46A77952"/>
    <w:rsid w:val="46A9191C"/>
    <w:rsid w:val="46A923A1"/>
    <w:rsid w:val="46AA65F3"/>
    <w:rsid w:val="46AB7443"/>
    <w:rsid w:val="46AC31BB"/>
    <w:rsid w:val="46AC4066"/>
    <w:rsid w:val="46AF79F9"/>
    <w:rsid w:val="46B05036"/>
    <w:rsid w:val="46B1257F"/>
    <w:rsid w:val="46B21DE3"/>
    <w:rsid w:val="46B362F7"/>
    <w:rsid w:val="46B502C1"/>
    <w:rsid w:val="46BA1434"/>
    <w:rsid w:val="46BA7686"/>
    <w:rsid w:val="46BC33FE"/>
    <w:rsid w:val="46C119B5"/>
    <w:rsid w:val="46C133EA"/>
    <w:rsid w:val="46C2653A"/>
    <w:rsid w:val="46C62ED2"/>
    <w:rsid w:val="46C709C7"/>
    <w:rsid w:val="46C71DA3"/>
    <w:rsid w:val="46C93D6D"/>
    <w:rsid w:val="46C95A27"/>
    <w:rsid w:val="46C95B1B"/>
    <w:rsid w:val="46CE3131"/>
    <w:rsid w:val="46D22C21"/>
    <w:rsid w:val="46D303D0"/>
    <w:rsid w:val="46D30747"/>
    <w:rsid w:val="46D36999"/>
    <w:rsid w:val="46D5626E"/>
    <w:rsid w:val="46D71FE6"/>
    <w:rsid w:val="46D92B3B"/>
    <w:rsid w:val="46D955A7"/>
    <w:rsid w:val="46DA1AD6"/>
    <w:rsid w:val="46DD2912"/>
    <w:rsid w:val="46DF70EC"/>
    <w:rsid w:val="46E12E64"/>
    <w:rsid w:val="46E14C12"/>
    <w:rsid w:val="46E44B13"/>
    <w:rsid w:val="46E464B1"/>
    <w:rsid w:val="46EB7BDB"/>
    <w:rsid w:val="46EE37D3"/>
    <w:rsid w:val="46F030A7"/>
    <w:rsid w:val="46F10BCE"/>
    <w:rsid w:val="46F34946"/>
    <w:rsid w:val="46F54B62"/>
    <w:rsid w:val="46F72688"/>
    <w:rsid w:val="46F84806"/>
    <w:rsid w:val="46FC7C9E"/>
    <w:rsid w:val="47032343"/>
    <w:rsid w:val="4703462D"/>
    <w:rsid w:val="47040901"/>
    <w:rsid w:val="47044DA5"/>
    <w:rsid w:val="470628CB"/>
    <w:rsid w:val="47064679"/>
    <w:rsid w:val="4707219F"/>
    <w:rsid w:val="47084895"/>
    <w:rsid w:val="4708700F"/>
    <w:rsid w:val="47094169"/>
    <w:rsid w:val="470C4F12"/>
    <w:rsid w:val="470E1780"/>
    <w:rsid w:val="470E2E81"/>
    <w:rsid w:val="470F1F93"/>
    <w:rsid w:val="47121270"/>
    <w:rsid w:val="4712301E"/>
    <w:rsid w:val="471278DB"/>
    <w:rsid w:val="47133957"/>
    <w:rsid w:val="47176886"/>
    <w:rsid w:val="471A6376"/>
    <w:rsid w:val="471C3E9C"/>
    <w:rsid w:val="471D1659"/>
    <w:rsid w:val="472114B3"/>
    <w:rsid w:val="47214FA6"/>
    <w:rsid w:val="47226FD9"/>
    <w:rsid w:val="4723522B"/>
    <w:rsid w:val="472471F5"/>
    <w:rsid w:val="472965B9"/>
    <w:rsid w:val="472B0583"/>
    <w:rsid w:val="472B40E0"/>
    <w:rsid w:val="472C440A"/>
    <w:rsid w:val="472D7E58"/>
    <w:rsid w:val="472E3BD0"/>
    <w:rsid w:val="472F1E22"/>
    <w:rsid w:val="47321912"/>
    <w:rsid w:val="47344DE8"/>
    <w:rsid w:val="47354F5E"/>
    <w:rsid w:val="47392CA0"/>
    <w:rsid w:val="47394A4E"/>
    <w:rsid w:val="47395541"/>
    <w:rsid w:val="473C009B"/>
    <w:rsid w:val="47411B55"/>
    <w:rsid w:val="47490A0A"/>
    <w:rsid w:val="474927B8"/>
    <w:rsid w:val="474A6017"/>
    <w:rsid w:val="474A6C5C"/>
    <w:rsid w:val="474D4056"/>
    <w:rsid w:val="474D674C"/>
    <w:rsid w:val="47503B46"/>
    <w:rsid w:val="47504D8D"/>
    <w:rsid w:val="47525B10"/>
    <w:rsid w:val="47532CF6"/>
    <w:rsid w:val="47543636"/>
    <w:rsid w:val="47552708"/>
    <w:rsid w:val="47555600"/>
    <w:rsid w:val="47571378"/>
    <w:rsid w:val="475A2C17"/>
    <w:rsid w:val="475C24EB"/>
    <w:rsid w:val="475D3243"/>
    <w:rsid w:val="475F1FDB"/>
    <w:rsid w:val="475F3D89"/>
    <w:rsid w:val="4760647F"/>
    <w:rsid w:val="47611E50"/>
    <w:rsid w:val="476214FD"/>
    <w:rsid w:val="47637D1D"/>
    <w:rsid w:val="47680E90"/>
    <w:rsid w:val="476870E2"/>
    <w:rsid w:val="476A5D05"/>
    <w:rsid w:val="476C240D"/>
    <w:rsid w:val="476D215C"/>
    <w:rsid w:val="476D294A"/>
    <w:rsid w:val="476D46F8"/>
    <w:rsid w:val="477261B2"/>
    <w:rsid w:val="47727F60"/>
    <w:rsid w:val="477517FF"/>
    <w:rsid w:val="477535AD"/>
    <w:rsid w:val="477554BE"/>
    <w:rsid w:val="47780AC3"/>
    <w:rsid w:val="47797541"/>
    <w:rsid w:val="477C0DDF"/>
    <w:rsid w:val="477C1AC5"/>
    <w:rsid w:val="47811F51"/>
    <w:rsid w:val="4783216D"/>
    <w:rsid w:val="47835CCA"/>
    <w:rsid w:val="478B2DD0"/>
    <w:rsid w:val="478B4B7E"/>
    <w:rsid w:val="478B6FAC"/>
    <w:rsid w:val="47903EC7"/>
    <w:rsid w:val="479229E6"/>
    <w:rsid w:val="47933F72"/>
    <w:rsid w:val="47947ED7"/>
    <w:rsid w:val="479559FD"/>
    <w:rsid w:val="47971775"/>
    <w:rsid w:val="4799729B"/>
    <w:rsid w:val="479C4C5C"/>
    <w:rsid w:val="479E2B03"/>
    <w:rsid w:val="479F7A20"/>
    <w:rsid w:val="47A04ACD"/>
    <w:rsid w:val="47A07E0C"/>
    <w:rsid w:val="47A11944"/>
    <w:rsid w:val="47A30116"/>
    <w:rsid w:val="47A30BDC"/>
    <w:rsid w:val="47A345BE"/>
    <w:rsid w:val="47A3636C"/>
    <w:rsid w:val="47A619B8"/>
    <w:rsid w:val="47A6310F"/>
    <w:rsid w:val="47A81BD4"/>
    <w:rsid w:val="47A836B9"/>
    <w:rsid w:val="47A977DD"/>
    <w:rsid w:val="47AB4CCE"/>
    <w:rsid w:val="47AD0F98"/>
    <w:rsid w:val="47AD2D46"/>
    <w:rsid w:val="47AE3AD2"/>
    <w:rsid w:val="47B42327"/>
    <w:rsid w:val="47B57EEC"/>
    <w:rsid w:val="47B658A1"/>
    <w:rsid w:val="47B70069"/>
    <w:rsid w:val="47B73271"/>
    <w:rsid w:val="47B73BC5"/>
    <w:rsid w:val="47BC3754"/>
    <w:rsid w:val="47BC567F"/>
    <w:rsid w:val="47BC742D"/>
    <w:rsid w:val="47BD53BF"/>
    <w:rsid w:val="47BE6D02"/>
    <w:rsid w:val="47BF6B34"/>
    <w:rsid w:val="47C06F1E"/>
    <w:rsid w:val="47C167F2"/>
    <w:rsid w:val="47C3256A"/>
    <w:rsid w:val="47C54534"/>
    <w:rsid w:val="47C562E2"/>
    <w:rsid w:val="47C85937"/>
    <w:rsid w:val="47C97D6A"/>
    <w:rsid w:val="47CA1B4A"/>
    <w:rsid w:val="47CA38F8"/>
    <w:rsid w:val="47CA56A6"/>
    <w:rsid w:val="47CD1EA8"/>
    <w:rsid w:val="47CD5197"/>
    <w:rsid w:val="47CD71EF"/>
    <w:rsid w:val="47CE036F"/>
    <w:rsid w:val="47D12ED9"/>
    <w:rsid w:val="47D209FF"/>
    <w:rsid w:val="47D604EF"/>
    <w:rsid w:val="47D77DC3"/>
    <w:rsid w:val="47D97FDF"/>
    <w:rsid w:val="47DB78B4"/>
    <w:rsid w:val="47DC362C"/>
    <w:rsid w:val="47DD7AD0"/>
    <w:rsid w:val="47E0136E"/>
    <w:rsid w:val="47E250E6"/>
    <w:rsid w:val="47E43AD1"/>
    <w:rsid w:val="47E522EE"/>
    <w:rsid w:val="47E56984"/>
    <w:rsid w:val="47E643BF"/>
    <w:rsid w:val="47E80223"/>
    <w:rsid w:val="47EA3F9B"/>
    <w:rsid w:val="47EB386F"/>
    <w:rsid w:val="47EC1AC1"/>
    <w:rsid w:val="47EC7D13"/>
    <w:rsid w:val="47EE3067"/>
    <w:rsid w:val="47F40975"/>
    <w:rsid w:val="47F95BF5"/>
    <w:rsid w:val="47F95F8C"/>
    <w:rsid w:val="47FB7F56"/>
    <w:rsid w:val="47FC5A7C"/>
    <w:rsid w:val="47FC6F33"/>
    <w:rsid w:val="47FD3CCE"/>
    <w:rsid w:val="47FD5CB7"/>
    <w:rsid w:val="47FE0886"/>
    <w:rsid w:val="47FE17F4"/>
    <w:rsid w:val="480037BE"/>
    <w:rsid w:val="48004C3B"/>
    <w:rsid w:val="48036E0A"/>
    <w:rsid w:val="48074B4D"/>
    <w:rsid w:val="480A3610"/>
    <w:rsid w:val="480A63EB"/>
    <w:rsid w:val="48111527"/>
    <w:rsid w:val="48147269"/>
    <w:rsid w:val="481608EC"/>
    <w:rsid w:val="481713F1"/>
    <w:rsid w:val="4819260E"/>
    <w:rsid w:val="48194880"/>
    <w:rsid w:val="481D7ECC"/>
    <w:rsid w:val="48233A4F"/>
    <w:rsid w:val="48256D81"/>
    <w:rsid w:val="48270D4B"/>
    <w:rsid w:val="482C6963"/>
    <w:rsid w:val="482D1F14"/>
    <w:rsid w:val="482D3E87"/>
    <w:rsid w:val="482F768A"/>
    <w:rsid w:val="48301787"/>
    <w:rsid w:val="48315726"/>
    <w:rsid w:val="48382F58"/>
    <w:rsid w:val="48384D06"/>
    <w:rsid w:val="483B0352"/>
    <w:rsid w:val="483D40CA"/>
    <w:rsid w:val="4841181A"/>
    <w:rsid w:val="484336AB"/>
    <w:rsid w:val="48435459"/>
    <w:rsid w:val="4845019B"/>
    <w:rsid w:val="484511D1"/>
    <w:rsid w:val="48474F49"/>
    <w:rsid w:val="484A4A39"/>
    <w:rsid w:val="484C255F"/>
    <w:rsid w:val="484D1731"/>
    <w:rsid w:val="484F2050"/>
    <w:rsid w:val="48516310"/>
    <w:rsid w:val="48547666"/>
    <w:rsid w:val="485625B0"/>
    <w:rsid w:val="48565DDD"/>
    <w:rsid w:val="48567443"/>
    <w:rsid w:val="48583503"/>
    <w:rsid w:val="48591E73"/>
    <w:rsid w:val="485A1120"/>
    <w:rsid w:val="485B09F4"/>
    <w:rsid w:val="485D29BF"/>
    <w:rsid w:val="485F64E4"/>
    <w:rsid w:val="48621D83"/>
    <w:rsid w:val="4865210C"/>
    <w:rsid w:val="48655F89"/>
    <w:rsid w:val="486750F4"/>
    <w:rsid w:val="48683290"/>
    <w:rsid w:val="486C0E54"/>
    <w:rsid w:val="486C49B0"/>
    <w:rsid w:val="4870272E"/>
    <w:rsid w:val="4873341F"/>
    <w:rsid w:val="48741AB6"/>
    <w:rsid w:val="48754E0C"/>
    <w:rsid w:val="487970CD"/>
    <w:rsid w:val="487A30EC"/>
    <w:rsid w:val="487A3570"/>
    <w:rsid w:val="487B44D0"/>
    <w:rsid w:val="488066AD"/>
    <w:rsid w:val="48822425"/>
    <w:rsid w:val="488340A3"/>
    <w:rsid w:val="488717E9"/>
    <w:rsid w:val="488937B4"/>
    <w:rsid w:val="488C6E00"/>
    <w:rsid w:val="488E2B78"/>
    <w:rsid w:val="488F069E"/>
    <w:rsid w:val="48900C98"/>
    <w:rsid w:val="48904B42"/>
    <w:rsid w:val="48912EFC"/>
    <w:rsid w:val="48914416"/>
    <w:rsid w:val="48931F3C"/>
    <w:rsid w:val="48945CB4"/>
    <w:rsid w:val="48946CC4"/>
    <w:rsid w:val="489932CB"/>
    <w:rsid w:val="489B5295"/>
    <w:rsid w:val="489F6B33"/>
    <w:rsid w:val="48A01891"/>
    <w:rsid w:val="48A4239B"/>
    <w:rsid w:val="48A43788"/>
    <w:rsid w:val="48A44149"/>
    <w:rsid w:val="48A56114"/>
    <w:rsid w:val="48A72109"/>
    <w:rsid w:val="48A73C3A"/>
    <w:rsid w:val="48A83FBA"/>
    <w:rsid w:val="48A90D8B"/>
    <w:rsid w:val="48A91760"/>
    <w:rsid w:val="48A95F79"/>
    <w:rsid w:val="48AA54D8"/>
    <w:rsid w:val="48AB646F"/>
    <w:rsid w:val="48AC74A2"/>
    <w:rsid w:val="48AE6D76"/>
    <w:rsid w:val="48B16866"/>
    <w:rsid w:val="48B63E7D"/>
    <w:rsid w:val="48B90231"/>
    <w:rsid w:val="48B9451E"/>
    <w:rsid w:val="48B9571B"/>
    <w:rsid w:val="48BA396D"/>
    <w:rsid w:val="48BA59AE"/>
    <w:rsid w:val="48BB7D26"/>
    <w:rsid w:val="48BD16AF"/>
    <w:rsid w:val="48BD345D"/>
    <w:rsid w:val="48BD520B"/>
    <w:rsid w:val="48C21C4B"/>
    <w:rsid w:val="48C22822"/>
    <w:rsid w:val="48C301A1"/>
    <w:rsid w:val="48C60564"/>
    <w:rsid w:val="48C72BD1"/>
    <w:rsid w:val="48C808A1"/>
    <w:rsid w:val="48C84646"/>
    <w:rsid w:val="48C928D2"/>
    <w:rsid w:val="48CC18F2"/>
    <w:rsid w:val="48CC36A0"/>
    <w:rsid w:val="48CE11C6"/>
    <w:rsid w:val="48D013E2"/>
    <w:rsid w:val="48D507A7"/>
    <w:rsid w:val="48D64ED6"/>
    <w:rsid w:val="48DA637A"/>
    <w:rsid w:val="48DB1B35"/>
    <w:rsid w:val="48DB38E3"/>
    <w:rsid w:val="48DF33D4"/>
    <w:rsid w:val="48E22EC4"/>
    <w:rsid w:val="48E44E8E"/>
    <w:rsid w:val="48E64762"/>
    <w:rsid w:val="48EA3B26"/>
    <w:rsid w:val="48EB625D"/>
    <w:rsid w:val="48EC5AF0"/>
    <w:rsid w:val="48F14EB5"/>
    <w:rsid w:val="48F50E49"/>
    <w:rsid w:val="48F52BF7"/>
    <w:rsid w:val="48F54560"/>
    <w:rsid w:val="48F60662"/>
    <w:rsid w:val="48F826E7"/>
    <w:rsid w:val="48FA020D"/>
    <w:rsid w:val="48FB5D34"/>
    <w:rsid w:val="48FD1AAC"/>
    <w:rsid w:val="48FF5823"/>
    <w:rsid w:val="48FF7556"/>
    <w:rsid w:val="4900082F"/>
    <w:rsid w:val="49001507"/>
    <w:rsid w:val="4900334A"/>
    <w:rsid w:val="49056050"/>
    <w:rsid w:val="49080B7C"/>
    <w:rsid w:val="49092D04"/>
    <w:rsid w:val="490B41C9"/>
    <w:rsid w:val="490C66E5"/>
    <w:rsid w:val="4913307D"/>
    <w:rsid w:val="49137521"/>
    <w:rsid w:val="49170DBF"/>
    <w:rsid w:val="491712EA"/>
    <w:rsid w:val="491868E5"/>
    <w:rsid w:val="49196832"/>
    <w:rsid w:val="49197859"/>
    <w:rsid w:val="492140DF"/>
    <w:rsid w:val="492245FC"/>
    <w:rsid w:val="492434DC"/>
    <w:rsid w:val="4924528A"/>
    <w:rsid w:val="4927115A"/>
    <w:rsid w:val="49290AF3"/>
    <w:rsid w:val="492928A1"/>
    <w:rsid w:val="49296D45"/>
    <w:rsid w:val="492B486B"/>
    <w:rsid w:val="492C413F"/>
    <w:rsid w:val="492E435B"/>
    <w:rsid w:val="492E4B02"/>
    <w:rsid w:val="492E7EB7"/>
    <w:rsid w:val="492F13F5"/>
    <w:rsid w:val="493059DD"/>
    <w:rsid w:val="49361952"/>
    <w:rsid w:val="493740F4"/>
    <w:rsid w:val="49381609"/>
    <w:rsid w:val="493C0826"/>
    <w:rsid w:val="493F0316"/>
    <w:rsid w:val="493F3C9C"/>
    <w:rsid w:val="4941408E"/>
    <w:rsid w:val="49416A65"/>
    <w:rsid w:val="49432AC6"/>
    <w:rsid w:val="494801D5"/>
    <w:rsid w:val="4948541D"/>
    <w:rsid w:val="494B2E6E"/>
    <w:rsid w:val="494B6CBB"/>
    <w:rsid w:val="494D1569"/>
    <w:rsid w:val="494D47E1"/>
    <w:rsid w:val="494D48CF"/>
    <w:rsid w:val="495034EE"/>
    <w:rsid w:val="495042D1"/>
    <w:rsid w:val="495518E8"/>
    <w:rsid w:val="49553696"/>
    <w:rsid w:val="49576359"/>
    <w:rsid w:val="4958454B"/>
    <w:rsid w:val="495A5150"/>
    <w:rsid w:val="495A6EFE"/>
    <w:rsid w:val="495C0D59"/>
    <w:rsid w:val="495C20AE"/>
    <w:rsid w:val="495C2C76"/>
    <w:rsid w:val="495C3EC2"/>
    <w:rsid w:val="495D254A"/>
    <w:rsid w:val="495E079C"/>
    <w:rsid w:val="496253EB"/>
    <w:rsid w:val="49634005"/>
    <w:rsid w:val="496438D9"/>
    <w:rsid w:val="4965370B"/>
    <w:rsid w:val="4966356E"/>
    <w:rsid w:val="496658A3"/>
    <w:rsid w:val="49667651"/>
    <w:rsid w:val="496723CE"/>
    <w:rsid w:val="496833C9"/>
    <w:rsid w:val="49687E15"/>
    <w:rsid w:val="49695393"/>
    <w:rsid w:val="496B4908"/>
    <w:rsid w:val="496D4E83"/>
    <w:rsid w:val="496F0BFB"/>
    <w:rsid w:val="497004D0"/>
    <w:rsid w:val="49706721"/>
    <w:rsid w:val="49736D23"/>
    <w:rsid w:val="49753D38"/>
    <w:rsid w:val="49757894"/>
    <w:rsid w:val="4977185E"/>
    <w:rsid w:val="497A134E"/>
    <w:rsid w:val="497F3892"/>
    <w:rsid w:val="49804BB7"/>
    <w:rsid w:val="49813323"/>
    <w:rsid w:val="498134E7"/>
    <w:rsid w:val="49827483"/>
    <w:rsid w:val="498521CD"/>
    <w:rsid w:val="498875C7"/>
    <w:rsid w:val="49891591"/>
    <w:rsid w:val="49897AB9"/>
    <w:rsid w:val="498B66EB"/>
    <w:rsid w:val="498D1081"/>
    <w:rsid w:val="498D3BDC"/>
    <w:rsid w:val="498D6873"/>
    <w:rsid w:val="499046CE"/>
    <w:rsid w:val="499171B0"/>
    <w:rsid w:val="499250C4"/>
    <w:rsid w:val="499620BD"/>
    <w:rsid w:val="499A72FA"/>
    <w:rsid w:val="499C72EA"/>
    <w:rsid w:val="49A10689"/>
    <w:rsid w:val="49A60395"/>
    <w:rsid w:val="49A6131B"/>
    <w:rsid w:val="49A8026C"/>
    <w:rsid w:val="49A90533"/>
    <w:rsid w:val="49AB1508"/>
    <w:rsid w:val="49AC6E7B"/>
    <w:rsid w:val="49AD4637"/>
    <w:rsid w:val="49AE4226"/>
    <w:rsid w:val="49B22896"/>
    <w:rsid w:val="49B303BC"/>
    <w:rsid w:val="49B75CCF"/>
    <w:rsid w:val="49BA4385"/>
    <w:rsid w:val="49BB4089"/>
    <w:rsid w:val="49BC54C3"/>
    <w:rsid w:val="49BE748D"/>
    <w:rsid w:val="49C16F63"/>
    <w:rsid w:val="49C16F7D"/>
    <w:rsid w:val="49C56A6D"/>
    <w:rsid w:val="49C61311"/>
    <w:rsid w:val="49C66341"/>
    <w:rsid w:val="49C820BA"/>
    <w:rsid w:val="49C83E68"/>
    <w:rsid w:val="49CC7DFC"/>
    <w:rsid w:val="49CF169A"/>
    <w:rsid w:val="49D20129"/>
    <w:rsid w:val="49D560C0"/>
    <w:rsid w:val="49D67550"/>
    <w:rsid w:val="49D7054F"/>
    <w:rsid w:val="49D97E23"/>
    <w:rsid w:val="49DC7715"/>
    <w:rsid w:val="49DE23C0"/>
    <w:rsid w:val="49DF11B1"/>
    <w:rsid w:val="49DF5A69"/>
    <w:rsid w:val="49E60792"/>
    <w:rsid w:val="49E704D5"/>
    <w:rsid w:val="49E8275C"/>
    <w:rsid w:val="49E862B8"/>
    <w:rsid w:val="49EA2030"/>
    <w:rsid w:val="49ED1B20"/>
    <w:rsid w:val="49EF3AEA"/>
    <w:rsid w:val="49F6619D"/>
    <w:rsid w:val="49F72B9B"/>
    <w:rsid w:val="49FB2C9D"/>
    <w:rsid w:val="49FB423D"/>
    <w:rsid w:val="49FC7FB5"/>
    <w:rsid w:val="49FD67BC"/>
    <w:rsid w:val="49FE3D2D"/>
    <w:rsid w:val="4A004236"/>
    <w:rsid w:val="4A010B32"/>
    <w:rsid w:val="4A023139"/>
    <w:rsid w:val="4A031344"/>
    <w:rsid w:val="4A064990"/>
    <w:rsid w:val="4A084BAC"/>
    <w:rsid w:val="4A0B6D1E"/>
    <w:rsid w:val="4A0C644A"/>
    <w:rsid w:val="4A0F3823"/>
    <w:rsid w:val="4A0F5F3A"/>
    <w:rsid w:val="4A111487"/>
    <w:rsid w:val="4A143551"/>
    <w:rsid w:val="4A1452FF"/>
    <w:rsid w:val="4A1B399D"/>
    <w:rsid w:val="4A1B7CF0"/>
    <w:rsid w:val="4A1D10B9"/>
    <w:rsid w:val="4A225C6E"/>
    <w:rsid w:val="4A233794"/>
    <w:rsid w:val="4A2512BA"/>
    <w:rsid w:val="4A253068"/>
    <w:rsid w:val="4A270539"/>
    <w:rsid w:val="4A273284"/>
    <w:rsid w:val="4A275032"/>
    <w:rsid w:val="4A2C0CE9"/>
    <w:rsid w:val="4A2C2648"/>
    <w:rsid w:val="4A2D016F"/>
    <w:rsid w:val="4A2D7A67"/>
    <w:rsid w:val="4A2E583B"/>
    <w:rsid w:val="4A30015B"/>
    <w:rsid w:val="4A315EB1"/>
    <w:rsid w:val="4A3239D7"/>
    <w:rsid w:val="4A331C29"/>
    <w:rsid w:val="4A363FCD"/>
    <w:rsid w:val="4A372D9B"/>
    <w:rsid w:val="4A3C6604"/>
    <w:rsid w:val="4A3D212B"/>
    <w:rsid w:val="4A3E05CE"/>
    <w:rsid w:val="4A3E1155"/>
    <w:rsid w:val="4A4040B7"/>
    <w:rsid w:val="4A413C1A"/>
    <w:rsid w:val="4A437992"/>
    <w:rsid w:val="4A4554B8"/>
    <w:rsid w:val="4A474A71"/>
    <w:rsid w:val="4A475C9C"/>
    <w:rsid w:val="4A4D0811"/>
    <w:rsid w:val="4A4D0C87"/>
    <w:rsid w:val="4A4D25BF"/>
    <w:rsid w:val="4A510301"/>
    <w:rsid w:val="4A525E27"/>
    <w:rsid w:val="4A527BD5"/>
    <w:rsid w:val="4A534079"/>
    <w:rsid w:val="4A565917"/>
    <w:rsid w:val="4A5676C5"/>
    <w:rsid w:val="4A58343D"/>
    <w:rsid w:val="4A590F64"/>
    <w:rsid w:val="4A5B1180"/>
    <w:rsid w:val="4A5C127F"/>
    <w:rsid w:val="4A5D6CA6"/>
    <w:rsid w:val="4A6022F2"/>
    <w:rsid w:val="4A607445"/>
    <w:rsid w:val="4A633B90"/>
    <w:rsid w:val="4A657908"/>
    <w:rsid w:val="4A673681"/>
    <w:rsid w:val="4A677462"/>
    <w:rsid w:val="4A677B24"/>
    <w:rsid w:val="4A6855C7"/>
    <w:rsid w:val="4A6873F9"/>
    <w:rsid w:val="4A6902EC"/>
    <w:rsid w:val="4A6B0FF7"/>
    <w:rsid w:val="4A6B1296"/>
    <w:rsid w:val="4A6C00B9"/>
    <w:rsid w:val="4A6C0C97"/>
    <w:rsid w:val="4A6C6EE9"/>
    <w:rsid w:val="4A71233F"/>
    <w:rsid w:val="4A716B7D"/>
    <w:rsid w:val="4A735A25"/>
    <w:rsid w:val="4A742241"/>
    <w:rsid w:val="4A7554E1"/>
    <w:rsid w:val="4A761460"/>
    <w:rsid w:val="4A761AA9"/>
    <w:rsid w:val="4A761B16"/>
    <w:rsid w:val="4A77763C"/>
    <w:rsid w:val="4A78588E"/>
    <w:rsid w:val="4A7933B4"/>
    <w:rsid w:val="4A7B576F"/>
    <w:rsid w:val="4A7D4C52"/>
    <w:rsid w:val="4A7F1081"/>
    <w:rsid w:val="4A7F4E6E"/>
    <w:rsid w:val="4A7F6B37"/>
    <w:rsid w:val="4A800BE6"/>
    <w:rsid w:val="4A8204BA"/>
    <w:rsid w:val="4A82670C"/>
    <w:rsid w:val="4A851D59"/>
    <w:rsid w:val="4A8560C7"/>
    <w:rsid w:val="4A857FAB"/>
    <w:rsid w:val="4A8A55C1"/>
    <w:rsid w:val="4A8C2646"/>
    <w:rsid w:val="4A8C30E7"/>
    <w:rsid w:val="4A8E3303"/>
    <w:rsid w:val="4A8E50B1"/>
    <w:rsid w:val="4A8E6E5F"/>
    <w:rsid w:val="4A914BA1"/>
    <w:rsid w:val="4A916067"/>
    <w:rsid w:val="4A9326C8"/>
    <w:rsid w:val="4A941E17"/>
    <w:rsid w:val="4A9532A7"/>
    <w:rsid w:val="4A966FFE"/>
    <w:rsid w:val="4A9B77CE"/>
    <w:rsid w:val="4A9D52F4"/>
    <w:rsid w:val="4A9E137C"/>
    <w:rsid w:val="4AA04DE4"/>
    <w:rsid w:val="4AA2290B"/>
    <w:rsid w:val="4AA3304D"/>
    <w:rsid w:val="4AA46EB4"/>
    <w:rsid w:val="4AA5064D"/>
    <w:rsid w:val="4AA77F21"/>
    <w:rsid w:val="4AA91EEB"/>
    <w:rsid w:val="4AAA7A11"/>
    <w:rsid w:val="4AAC19DB"/>
    <w:rsid w:val="4AAC5537"/>
    <w:rsid w:val="4AB1082A"/>
    <w:rsid w:val="4AB10DA0"/>
    <w:rsid w:val="4AB3156B"/>
    <w:rsid w:val="4AB50890"/>
    <w:rsid w:val="4AB56AE2"/>
    <w:rsid w:val="4AB64608"/>
    <w:rsid w:val="4AB8212E"/>
    <w:rsid w:val="4ABB1C1E"/>
    <w:rsid w:val="4ABB39CC"/>
    <w:rsid w:val="4ABB577A"/>
    <w:rsid w:val="4ABD14F2"/>
    <w:rsid w:val="4ABD7744"/>
    <w:rsid w:val="4ABE55AF"/>
    <w:rsid w:val="4ABF45E9"/>
    <w:rsid w:val="4AC37A66"/>
    <w:rsid w:val="4AC46D25"/>
    <w:rsid w:val="4AC64CA6"/>
    <w:rsid w:val="4AC705C3"/>
    <w:rsid w:val="4AC7411F"/>
    <w:rsid w:val="4AC76815"/>
    <w:rsid w:val="4AC9433B"/>
    <w:rsid w:val="4AC960E9"/>
    <w:rsid w:val="4ACA1E61"/>
    <w:rsid w:val="4ACA3C0F"/>
    <w:rsid w:val="4ACC0B18"/>
    <w:rsid w:val="4ACD5B55"/>
    <w:rsid w:val="4ACE1952"/>
    <w:rsid w:val="4ACE3700"/>
    <w:rsid w:val="4ACF7478"/>
    <w:rsid w:val="4AD4683C"/>
    <w:rsid w:val="4AD66A58"/>
    <w:rsid w:val="4AD807FC"/>
    <w:rsid w:val="4ADA02F6"/>
    <w:rsid w:val="4ADA45AC"/>
    <w:rsid w:val="4ADA6548"/>
    <w:rsid w:val="4ADB7653"/>
    <w:rsid w:val="4ADB7BCB"/>
    <w:rsid w:val="4ADD4BC8"/>
    <w:rsid w:val="4ADD7DE7"/>
    <w:rsid w:val="4ADF360C"/>
    <w:rsid w:val="4ADF76BB"/>
    <w:rsid w:val="4AE03433"/>
    <w:rsid w:val="4AE20F59"/>
    <w:rsid w:val="4AE253FD"/>
    <w:rsid w:val="4AE271AB"/>
    <w:rsid w:val="4AE42F23"/>
    <w:rsid w:val="4AE50A49"/>
    <w:rsid w:val="4AE64EED"/>
    <w:rsid w:val="4AED1DA6"/>
    <w:rsid w:val="4AEE3DA2"/>
    <w:rsid w:val="4AEE78FE"/>
    <w:rsid w:val="4AEF3676"/>
    <w:rsid w:val="4AF018C8"/>
    <w:rsid w:val="4AF07F13"/>
    <w:rsid w:val="4AF13892"/>
    <w:rsid w:val="4AF313B8"/>
    <w:rsid w:val="4AF561A9"/>
    <w:rsid w:val="4AF56EDE"/>
    <w:rsid w:val="4AFA19DE"/>
    <w:rsid w:val="4AFA44F5"/>
    <w:rsid w:val="4AFD4615"/>
    <w:rsid w:val="4B007631"/>
    <w:rsid w:val="4B0215FB"/>
    <w:rsid w:val="4B06034C"/>
    <w:rsid w:val="4B064DD3"/>
    <w:rsid w:val="4B06733D"/>
    <w:rsid w:val="4B090BDC"/>
    <w:rsid w:val="4B090CDC"/>
    <w:rsid w:val="4B09298A"/>
    <w:rsid w:val="4B094738"/>
    <w:rsid w:val="4B095826"/>
    <w:rsid w:val="4B0C4228"/>
    <w:rsid w:val="4B0C5FD6"/>
    <w:rsid w:val="4B117A90"/>
    <w:rsid w:val="4B137364"/>
    <w:rsid w:val="4B1530DD"/>
    <w:rsid w:val="4B154506"/>
    <w:rsid w:val="4B1A06F3"/>
    <w:rsid w:val="4B1A4B97"/>
    <w:rsid w:val="4B1B2ECF"/>
    <w:rsid w:val="4B1F1850"/>
    <w:rsid w:val="4B1F5B29"/>
    <w:rsid w:val="4B217CD3"/>
    <w:rsid w:val="4B2477C4"/>
    <w:rsid w:val="4B250B93"/>
    <w:rsid w:val="4B261723"/>
    <w:rsid w:val="4B294DDA"/>
    <w:rsid w:val="4B296B88"/>
    <w:rsid w:val="4B2A13CB"/>
    <w:rsid w:val="4B2B6DA4"/>
    <w:rsid w:val="4B2C6678"/>
    <w:rsid w:val="4B2D0B62"/>
    <w:rsid w:val="4B2E0642"/>
    <w:rsid w:val="4B2E1A92"/>
    <w:rsid w:val="4B2E23F0"/>
    <w:rsid w:val="4B2E419E"/>
    <w:rsid w:val="4B2F1A0B"/>
    <w:rsid w:val="4B3043BA"/>
    <w:rsid w:val="4B3452D1"/>
    <w:rsid w:val="4B35377F"/>
    <w:rsid w:val="4B3905E6"/>
    <w:rsid w:val="4B3A6FE7"/>
    <w:rsid w:val="4B3C2D5F"/>
    <w:rsid w:val="4B3D757C"/>
    <w:rsid w:val="4B3E6AC5"/>
    <w:rsid w:val="4B3F0159"/>
    <w:rsid w:val="4B4734B2"/>
    <w:rsid w:val="4B475260"/>
    <w:rsid w:val="4B5160DF"/>
    <w:rsid w:val="4B556B3C"/>
    <w:rsid w:val="4B5644F0"/>
    <w:rsid w:val="4B577B99"/>
    <w:rsid w:val="4B5819E1"/>
    <w:rsid w:val="4B5856BF"/>
    <w:rsid w:val="4B5A1437"/>
    <w:rsid w:val="4B5A4F93"/>
    <w:rsid w:val="4B5C51AF"/>
    <w:rsid w:val="4B5D2CD5"/>
    <w:rsid w:val="4B5D4A84"/>
    <w:rsid w:val="4B5F3331"/>
    <w:rsid w:val="4B5F7906"/>
    <w:rsid w:val="4B6338E3"/>
    <w:rsid w:val="4B6422B6"/>
    <w:rsid w:val="4B644064"/>
    <w:rsid w:val="4B647BC0"/>
    <w:rsid w:val="4B661B8A"/>
    <w:rsid w:val="4B6638D0"/>
    <w:rsid w:val="4B667DDC"/>
    <w:rsid w:val="4B6776B0"/>
    <w:rsid w:val="4B683B54"/>
    <w:rsid w:val="4B685902"/>
    <w:rsid w:val="4B7122DD"/>
    <w:rsid w:val="4B7202A7"/>
    <w:rsid w:val="4B7324F9"/>
    <w:rsid w:val="4B7342A7"/>
    <w:rsid w:val="4B7818BD"/>
    <w:rsid w:val="4B797B0F"/>
    <w:rsid w:val="4B7B4D7B"/>
    <w:rsid w:val="4B7D0C82"/>
    <w:rsid w:val="4B8244EA"/>
    <w:rsid w:val="4B830F74"/>
    <w:rsid w:val="4B8464B4"/>
    <w:rsid w:val="4B8504A0"/>
    <w:rsid w:val="4B885FA4"/>
    <w:rsid w:val="4B887D52"/>
    <w:rsid w:val="4B8A6D1E"/>
    <w:rsid w:val="4B8A7242"/>
    <w:rsid w:val="4B8B36EC"/>
    <w:rsid w:val="4B8B7843"/>
    <w:rsid w:val="4B902A9C"/>
    <w:rsid w:val="4B92472D"/>
    <w:rsid w:val="4B93065B"/>
    <w:rsid w:val="4B971D44"/>
    <w:rsid w:val="4B9A691F"/>
    <w:rsid w:val="4B9C37FE"/>
    <w:rsid w:val="4B9C4366"/>
    <w:rsid w:val="4BA001D7"/>
    <w:rsid w:val="4BA25D00"/>
    <w:rsid w:val="4BA3693A"/>
    <w:rsid w:val="4BA6467C"/>
    <w:rsid w:val="4BA70FD9"/>
    <w:rsid w:val="4BA779C0"/>
    <w:rsid w:val="4BA803F5"/>
    <w:rsid w:val="4BA821A3"/>
    <w:rsid w:val="4BA91A77"/>
    <w:rsid w:val="4BA95F1B"/>
    <w:rsid w:val="4BA973D6"/>
    <w:rsid w:val="4BA97CC9"/>
    <w:rsid w:val="4BAB3E5A"/>
    <w:rsid w:val="4BAD1567"/>
    <w:rsid w:val="4BAF3531"/>
    <w:rsid w:val="4BAF3578"/>
    <w:rsid w:val="4BB072A9"/>
    <w:rsid w:val="4BB33A7C"/>
    <w:rsid w:val="4BBB61C7"/>
    <w:rsid w:val="4BBC0658"/>
    <w:rsid w:val="4BBC17AA"/>
    <w:rsid w:val="4BBE2DDD"/>
    <w:rsid w:val="4BBE2E56"/>
    <w:rsid w:val="4BC13264"/>
    <w:rsid w:val="4BC15012"/>
    <w:rsid w:val="4BC16A32"/>
    <w:rsid w:val="4BC36B4D"/>
    <w:rsid w:val="4BC439C5"/>
    <w:rsid w:val="4BC44B03"/>
    <w:rsid w:val="4BC52558"/>
    <w:rsid w:val="4BC52D55"/>
    <w:rsid w:val="4BC82845"/>
    <w:rsid w:val="4BC944F7"/>
    <w:rsid w:val="4BCA4A52"/>
    <w:rsid w:val="4BCC547D"/>
    <w:rsid w:val="4BCD2C86"/>
    <w:rsid w:val="4BCD46D1"/>
    <w:rsid w:val="4BCE6B0E"/>
    <w:rsid w:val="4BCF3BD3"/>
    <w:rsid w:val="4BCF5981"/>
    <w:rsid w:val="4BD016F9"/>
    <w:rsid w:val="4BD44D46"/>
    <w:rsid w:val="4BD5286C"/>
    <w:rsid w:val="4BDC009E"/>
    <w:rsid w:val="4BDC1810"/>
    <w:rsid w:val="4BDC1E4C"/>
    <w:rsid w:val="4BDC6622"/>
    <w:rsid w:val="4BDE3E16"/>
    <w:rsid w:val="4BE02A99"/>
    <w:rsid w:val="4BE3142D"/>
    <w:rsid w:val="4BE40D01"/>
    <w:rsid w:val="4BE476DB"/>
    <w:rsid w:val="4BE614DC"/>
    <w:rsid w:val="4BEB208F"/>
    <w:rsid w:val="4BEB6533"/>
    <w:rsid w:val="4BED22AB"/>
    <w:rsid w:val="4BED4059"/>
    <w:rsid w:val="4BED5E07"/>
    <w:rsid w:val="4BEE2F07"/>
    <w:rsid w:val="4BEF1B80"/>
    <w:rsid w:val="4BF21670"/>
    <w:rsid w:val="4BF278C2"/>
    <w:rsid w:val="4BF43FBF"/>
    <w:rsid w:val="4BF460A6"/>
    <w:rsid w:val="4BF50DC0"/>
    <w:rsid w:val="4BF540B9"/>
    <w:rsid w:val="4BF54CBC"/>
    <w:rsid w:val="4BF76C86"/>
    <w:rsid w:val="4BF90C50"/>
    <w:rsid w:val="4BF947AC"/>
    <w:rsid w:val="4BFB04C2"/>
    <w:rsid w:val="4BFB49C8"/>
    <w:rsid w:val="4C0118B3"/>
    <w:rsid w:val="4C013661"/>
    <w:rsid w:val="4C0714FA"/>
    <w:rsid w:val="4C07336D"/>
    <w:rsid w:val="4C0A4C0B"/>
    <w:rsid w:val="4C0A69B9"/>
    <w:rsid w:val="4C0C69D1"/>
    <w:rsid w:val="4C101AF6"/>
    <w:rsid w:val="4C123AC0"/>
    <w:rsid w:val="4C143394"/>
    <w:rsid w:val="4C147838"/>
    <w:rsid w:val="4C170D14"/>
    <w:rsid w:val="4C177328"/>
    <w:rsid w:val="4C1930A0"/>
    <w:rsid w:val="4C1A2EC5"/>
    <w:rsid w:val="4C1B0BC7"/>
    <w:rsid w:val="4C1B1829"/>
    <w:rsid w:val="4C1B5BC3"/>
    <w:rsid w:val="4C1C049B"/>
    <w:rsid w:val="4C1C66ED"/>
    <w:rsid w:val="4C1D38C0"/>
    <w:rsid w:val="4C1D7ABB"/>
    <w:rsid w:val="4C1E06B7"/>
    <w:rsid w:val="4C1F2E8F"/>
    <w:rsid w:val="4C1F6E9E"/>
    <w:rsid w:val="4C215AB1"/>
    <w:rsid w:val="4C232A77"/>
    <w:rsid w:val="4C25290D"/>
    <w:rsid w:val="4C2537F3"/>
    <w:rsid w:val="4C277DFE"/>
    <w:rsid w:val="4C28128E"/>
    <w:rsid w:val="4C2C4B82"/>
    <w:rsid w:val="4C2D3C70"/>
    <w:rsid w:val="4C2F01CE"/>
    <w:rsid w:val="4C2F31D0"/>
    <w:rsid w:val="4C307A8A"/>
    <w:rsid w:val="4C3103EA"/>
    <w:rsid w:val="4C312198"/>
    <w:rsid w:val="4C316DE4"/>
    <w:rsid w:val="4C3222D7"/>
    <w:rsid w:val="4C3664D1"/>
    <w:rsid w:val="4C384F68"/>
    <w:rsid w:val="4C3B2AF7"/>
    <w:rsid w:val="4C431ECB"/>
    <w:rsid w:val="4C435427"/>
    <w:rsid w:val="4C46376A"/>
    <w:rsid w:val="4C485037"/>
    <w:rsid w:val="4C4A0649"/>
    <w:rsid w:val="4C4B0D80"/>
    <w:rsid w:val="4C4D68A6"/>
    <w:rsid w:val="4C4D6AA3"/>
    <w:rsid w:val="4C4F261E"/>
    <w:rsid w:val="4C5145E8"/>
    <w:rsid w:val="4C516396"/>
    <w:rsid w:val="4C5440D8"/>
    <w:rsid w:val="4C571903"/>
    <w:rsid w:val="4C583BC9"/>
    <w:rsid w:val="4C5916EF"/>
    <w:rsid w:val="4C59349D"/>
    <w:rsid w:val="4C59524B"/>
    <w:rsid w:val="4C5A46A1"/>
    <w:rsid w:val="4C5B411D"/>
    <w:rsid w:val="4C5D1025"/>
    <w:rsid w:val="4C60482B"/>
    <w:rsid w:val="4C63256E"/>
    <w:rsid w:val="4C667968"/>
    <w:rsid w:val="4C673E0C"/>
    <w:rsid w:val="4C687B84"/>
    <w:rsid w:val="4C6A7458"/>
    <w:rsid w:val="4C6B4F7E"/>
    <w:rsid w:val="4C6D156C"/>
    <w:rsid w:val="4C6D519A"/>
    <w:rsid w:val="4C6E544A"/>
    <w:rsid w:val="4C6F3A23"/>
    <w:rsid w:val="4C7230FC"/>
    <w:rsid w:val="4C746F8D"/>
    <w:rsid w:val="4C7622A1"/>
    <w:rsid w:val="4C76404F"/>
    <w:rsid w:val="4C781BED"/>
    <w:rsid w:val="4C78219B"/>
    <w:rsid w:val="4C793B3F"/>
    <w:rsid w:val="4C794E72"/>
    <w:rsid w:val="4C7C718B"/>
    <w:rsid w:val="4C7D53DD"/>
    <w:rsid w:val="4C7E2F03"/>
    <w:rsid w:val="4C7E4CB1"/>
    <w:rsid w:val="4C7E5ECA"/>
    <w:rsid w:val="4C7E7F34"/>
    <w:rsid w:val="4C804ECE"/>
    <w:rsid w:val="4C806979"/>
    <w:rsid w:val="4C806C7C"/>
    <w:rsid w:val="4C820C46"/>
    <w:rsid w:val="4C83051A"/>
    <w:rsid w:val="4C854292"/>
    <w:rsid w:val="4C876AA5"/>
    <w:rsid w:val="4C891FD4"/>
    <w:rsid w:val="4C897836"/>
    <w:rsid w:val="4C8C5620"/>
    <w:rsid w:val="4C8C73CE"/>
    <w:rsid w:val="4C8F3363"/>
    <w:rsid w:val="4C9149E5"/>
    <w:rsid w:val="4C9269AF"/>
    <w:rsid w:val="4C942727"/>
    <w:rsid w:val="4C9444D5"/>
    <w:rsid w:val="4C983FC5"/>
    <w:rsid w:val="4C984F3B"/>
    <w:rsid w:val="4C9B1D07"/>
    <w:rsid w:val="4C9C37CD"/>
    <w:rsid w:val="4C9D782D"/>
    <w:rsid w:val="4C9E5354"/>
    <w:rsid w:val="4C9F13C1"/>
    <w:rsid w:val="4CA02E7A"/>
    <w:rsid w:val="4CA0731E"/>
    <w:rsid w:val="4CA24E44"/>
    <w:rsid w:val="4CA7245A"/>
    <w:rsid w:val="4CAA1F4A"/>
    <w:rsid w:val="4CAA6A71"/>
    <w:rsid w:val="4CAD5597"/>
    <w:rsid w:val="4CAF57B3"/>
    <w:rsid w:val="4CAF7561"/>
    <w:rsid w:val="4CB46925"/>
    <w:rsid w:val="4CB535E7"/>
    <w:rsid w:val="4CB54D28"/>
    <w:rsid w:val="4CB608EF"/>
    <w:rsid w:val="4CB67D97"/>
    <w:rsid w:val="4CB77B86"/>
    <w:rsid w:val="4CBA03DF"/>
    <w:rsid w:val="4CBB4158"/>
    <w:rsid w:val="4CBB5F06"/>
    <w:rsid w:val="4CBD1D4B"/>
    <w:rsid w:val="4CBF59F6"/>
    <w:rsid w:val="4CC0176E"/>
    <w:rsid w:val="4CC27294"/>
    <w:rsid w:val="4CC34DBA"/>
    <w:rsid w:val="4CC36B68"/>
    <w:rsid w:val="4CC56D84"/>
    <w:rsid w:val="4CC72AFC"/>
    <w:rsid w:val="4CC90623"/>
    <w:rsid w:val="4CC92EED"/>
    <w:rsid w:val="4CC96874"/>
    <w:rsid w:val="4CC968CF"/>
    <w:rsid w:val="4CCA439B"/>
    <w:rsid w:val="4CCA6149"/>
    <w:rsid w:val="4CCC7E83"/>
    <w:rsid w:val="4CCF375F"/>
    <w:rsid w:val="4CD11285"/>
    <w:rsid w:val="4CD174D7"/>
    <w:rsid w:val="4CD34FFD"/>
    <w:rsid w:val="4CD430E2"/>
    <w:rsid w:val="4CD46FC7"/>
    <w:rsid w:val="4CD52573"/>
    <w:rsid w:val="4CD55219"/>
    <w:rsid w:val="4CD63934"/>
    <w:rsid w:val="4CD754F1"/>
    <w:rsid w:val="4CD80866"/>
    <w:rsid w:val="4CD9638C"/>
    <w:rsid w:val="4CDA19A5"/>
    <w:rsid w:val="4CDD7C2A"/>
    <w:rsid w:val="4CDF1BF4"/>
    <w:rsid w:val="4CDF3C83"/>
    <w:rsid w:val="4CE03BBE"/>
    <w:rsid w:val="4CE23492"/>
    <w:rsid w:val="4CE60DD3"/>
    <w:rsid w:val="4CE70AA9"/>
    <w:rsid w:val="4CE74F4D"/>
    <w:rsid w:val="4CE92A73"/>
    <w:rsid w:val="4CEA2347"/>
    <w:rsid w:val="4CEA67EB"/>
    <w:rsid w:val="4CEC4311"/>
    <w:rsid w:val="4CEC60BF"/>
    <w:rsid w:val="4CF12E0F"/>
    <w:rsid w:val="4CF43E61"/>
    <w:rsid w:val="4CF44A19"/>
    <w:rsid w:val="4CF5766A"/>
    <w:rsid w:val="4CF60CEC"/>
    <w:rsid w:val="4CF65190"/>
    <w:rsid w:val="4CF72FAD"/>
    <w:rsid w:val="4CF82CB6"/>
    <w:rsid w:val="4CF84A64"/>
    <w:rsid w:val="4CFB6302"/>
    <w:rsid w:val="4CFE069C"/>
    <w:rsid w:val="4D01075E"/>
    <w:rsid w:val="4D01600E"/>
    <w:rsid w:val="4D021D86"/>
    <w:rsid w:val="4D04165B"/>
    <w:rsid w:val="4D043409"/>
    <w:rsid w:val="4D0553D3"/>
    <w:rsid w:val="4D07114B"/>
    <w:rsid w:val="4D07739D"/>
    <w:rsid w:val="4D0A29E9"/>
    <w:rsid w:val="4D0B43E1"/>
    <w:rsid w:val="4D0E00FB"/>
    <w:rsid w:val="4D0E072B"/>
    <w:rsid w:val="4D0F1DAD"/>
    <w:rsid w:val="4D106251"/>
    <w:rsid w:val="4D113D78"/>
    <w:rsid w:val="4D123ED2"/>
    <w:rsid w:val="4D132502"/>
    <w:rsid w:val="4D151ABA"/>
    <w:rsid w:val="4D155616"/>
    <w:rsid w:val="4D1614F4"/>
    <w:rsid w:val="4D175555"/>
    <w:rsid w:val="4D176606"/>
    <w:rsid w:val="4D186EB4"/>
    <w:rsid w:val="4D1B69A4"/>
    <w:rsid w:val="4D1F6494"/>
    <w:rsid w:val="4D225F85"/>
    <w:rsid w:val="4D241CFD"/>
    <w:rsid w:val="4D265A75"/>
    <w:rsid w:val="4D27359B"/>
    <w:rsid w:val="4D2C0BB1"/>
    <w:rsid w:val="4D2C295F"/>
    <w:rsid w:val="4D2E27B3"/>
    <w:rsid w:val="4D2E2B7B"/>
    <w:rsid w:val="4D2E492A"/>
    <w:rsid w:val="4D331F40"/>
    <w:rsid w:val="4D36004F"/>
    <w:rsid w:val="4D37082D"/>
    <w:rsid w:val="4D387556"/>
    <w:rsid w:val="4D3C7046"/>
    <w:rsid w:val="4D3D691B"/>
    <w:rsid w:val="4D3E0700"/>
    <w:rsid w:val="4D3F628C"/>
    <w:rsid w:val="4D3F6B37"/>
    <w:rsid w:val="4D445EFB"/>
    <w:rsid w:val="4D453A21"/>
    <w:rsid w:val="4D491763"/>
    <w:rsid w:val="4D493511"/>
    <w:rsid w:val="4D4C2D04"/>
    <w:rsid w:val="4D4D4194"/>
    <w:rsid w:val="4D4D6AF7"/>
    <w:rsid w:val="4D4E28D6"/>
    <w:rsid w:val="4D543462"/>
    <w:rsid w:val="4D550108"/>
    <w:rsid w:val="4D554104"/>
    <w:rsid w:val="4D565C2E"/>
    <w:rsid w:val="4D573F8D"/>
    <w:rsid w:val="4D5A2400"/>
    <w:rsid w:val="4D5A74CD"/>
    <w:rsid w:val="4D5C3245"/>
    <w:rsid w:val="4D5D0D6B"/>
    <w:rsid w:val="4D5D3C89"/>
    <w:rsid w:val="4D602609"/>
    <w:rsid w:val="4D6420F9"/>
    <w:rsid w:val="4D662315"/>
    <w:rsid w:val="4D665E71"/>
    <w:rsid w:val="4D6B16DA"/>
    <w:rsid w:val="4D6C0FAE"/>
    <w:rsid w:val="4D6C67CF"/>
    <w:rsid w:val="4D6E2F78"/>
    <w:rsid w:val="4D73058E"/>
    <w:rsid w:val="4D7309A3"/>
    <w:rsid w:val="4D73233C"/>
    <w:rsid w:val="4D7357D6"/>
    <w:rsid w:val="4D761DF4"/>
    <w:rsid w:val="4D775CBF"/>
    <w:rsid w:val="4D783DF7"/>
    <w:rsid w:val="4D7A191D"/>
    <w:rsid w:val="4D7F0CE1"/>
    <w:rsid w:val="4D7F33D7"/>
    <w:rsid w:val="4D806595"/>
    <w:rsid w:val="4D811E4F"/>
    <w:rsid w:val="4D812CAB"/>
    <w:rsid w:val="4D8207D1"/>
    <w:rsid w:val="4D8255FA"/>
    <w:rsid w:val="4D826845"/>
    <w:rsid w:val="4D826A23"/>
    <w:rsid w:val="4D830C29"/>
    <w:rsid w:val="4D8359A3"/>
    <w:rsid w:val="4D83675E"/>
    <w:rsid w:val="4D853322"/>
    <w:rsid w:val="4D875DE0"/>
    <w:rsid w:val="4D896004"/>
    <w:rsid w:val="4D8B58D8"/>
    <w:rsid w:val="4D8C1650"/>
    <w:rsid w:val="4D8D78A2"/>
    <w:rsid w:val="4D8E1DDD"/>
    <w:rsid w:val="4D921DD4"/>
    <w:rsid w:val="4D956D29"/>
    <w:rsid w:val="4D9724CF"/>
    <w:rsid w:val="4D9B2BE1"/>
    <w:rsid w:val="4D9D385D"/>
    <w:rsid w:val="4D9D560B"/>
    <w:rsid w:val="4D9F2EE9"/>
    <w:rsid w:val="4DA16EA9"/>
    <w:rsid w:val="4DA370C6"/>
    <w:rsid w:val="4DA60964"/>
    <w:rsid w:val="4DA644C0"/>
    <w:rsid w:val="4DA7365D"/>
    <w:rsid w:val="4DA80CD5"/>
    <w:rsid w:val="4DA8648A"/>
    <w:rsid w:val="4DAB0A26"/>
    <w:rsid w:val="4DAB1AD6"/>
    <w:rsid w:val="4DAB7D28"/>
    <w:rsid w:val="4DAC10DA"/>
    <w:rsid w:val="4DAC1C87"/>
    <w:rsid w:val="4DAC6F11"/>
    <w:rsid w:val="4DAE7818"/>
    <w:rsid w:val="4DAF6BC6"/>
    <w:rsid w:val="4DBA7F6B"/>
    <w:rsid w:val="4DBB5461"/>
    <w:rsid w:val="4DBD5D94"/>
    <w:rsid w:val="4DBE3EFF"/>
    <w:rsid w:val="4DBE4E9F"/>
    <w:rsid w:val="4DBF1A26"/>
    <w:rsid w:val="4DBF5582"/>
    <w:rsid w:val="4DC112FA"/>
    <w:rsid w:val="4DC40DEA"/>
    <w:rsid w:val="4DC4528E"/>
    <w:rsid w:val="4DC62DB4"/>
    <w:rsid w:val="4DC66910"/>
    <w:rsid w:val="4DC82688"/>
    <w:rsid w:val="4DC84DD0"/>
    <w:rsid w:val="4DCB03CA"/>
    <w:rsid w:val="4DCB5094"/>
    <w:rsid w:val="4DCC5629"/>
    <w:rsid w:val="4DCD5EF0"/>
    <w:rsid w:val="4DD059E1"/>
    <w:rsid w:val="4DD21759"/>
    <w:rsid w:val="4DD27D5A"/>
    <w:rsid w:val="4DD4172F"/>
    <w:rsid w:val="4DD454D1"/>
    <w:rsid w:val="4DD51249"/>
    <w:rsid w:val="4DD52FF7"/>
    <w:rsid w:val="4DD54DA5"/>
    <w:rsid w:val="4DD70B1D"/>
    <w:rsid w:val="4DD728CB"/>
    <w:rsid w:val="4DD74341"/>
    <w:rsid w:val="4DD92F89"/>
    <w:rsid w:val="4DDA23BB"/>
    <w:rsid w:val="4DDC2449"/>
    <w:rsid w:val="4DDC79D2"/>
    <w:rsid w:val="4DDF3E76"/>
    <w:rsid w:val="4DDF79D2"/>
    <w:rsid w:val="4DE1199C"/>
    <w:rsid w:val="4DE60D60"/>
    <w:rsid w:val="4DE65204"/>
    <w:rsid w:val="4DE65F96"/>
    <w:rsid w:val="4DEA6AA2"/>
    <w:rsid w:val="4DEB281B"/>
    <w:rsid w:val="4DEB45C9"/>
    <w:rsid w:val="4DEC4FB0"/>
    <w:rsid w:val="4DEC5C40"/>
    <w:rsid w:val="4DED1912"/>
    <w:rsid w:val="4DF548FC"/>
    <w:rsid w:val="4DF571F5"/>
    <w:rsid w:val="4DF6443C"/>
    <w:rsid w:val="4DF711BF"/>
    <w:rsid w:val="4DFB1C76"/>
    <w:rsid w:val="4DFE60AA"/>
    <w:rsid w:val="4DFF0074"/>
    <w:rsid w:val="4E07170C"/>
    <w:rsid w:val="4E075D8A"/>
    <w:rsid w:val="4E0833CC"/>
    <w:rsid w:val="4E0B4C6B"/>
    <w:rsid w:val="4E0D09E3"/>
    <w:rsid w:val="4E102281"/>
    <w:rsid w:val="4E125FF9"/>
    <w:rsid w:val="4E17716C"/>
    <w:rsid w:val="4E197388"/>
    <w:rsid w:val="4E1C6E78"/>
    <w:rsid w:val="4E1C7EB6"/>
    <w:rsid w:val="4E1F24C4"/>
    <w:rsid w:val="4E1F6361"/>
    <w:rsid w:val="4E213852"/>
    <w:rsid w:val="4E231FB4"/>
    <w:rsid w:val="4E235B10"/>
    <w:rsid w:val="4E263853"/>
    <w:rsid w:val="4E28686B"/>
    <w:rsid w:val="4E292181"/>
    <w:rsid w:val="4E296E9F"/>
    <w:rsid w:val="4E2A3343"/>
    <w:rsid w:val="4E2A4D4C"/>
    <w:rsid w:val="4E2A589F"/>
    <w:rsid w:val="4E2D2E33"/>
    <w:rsid w:val="4E2D698F"/>
    <w:rsid w:val="4E3221F7"/>
    <w:rsid w:val="4E355844"/>
    <w:rsid w:val="4E393586"/>
    <w:rsid w:val="4E3C5889"/>
    <w:rsid w:val="4E3E6DEE"/>
    <w:rsid w:val="4E437F61"/>
    <w:rsid w:val="4E485577"/>
    <w:rsid w:val="4E487C6D"/>
    <w:rsid w:val="4E4A3BAD"/>
    <w:rsid w:val="4E4C60DC"/>
    <w:rsid w:val="4E4D0DDF"/>
    <w:rsid w:val="4E516B22"/>
    <w:rsid w:val="4E522680"/>
    <w:rsid w:val="4E593C28"/>
    <w:rsid w:val="4E5959D6"/>
    <w:rsid w:val="4E5A4158"/>
    <w:rsid w:val="4E5B34FC"/>
    <w:rsid w:val="4E5E2364"/>
    <w:rsid w:val="4E641913"/>
    <w:rsid w:val="4E641B78"/>
    <w:rsid w:val="4E6653E0"/>
    <w:rsid w:val="4E6A0907"/>
    <w:rsid w:val="4E6A7BE3"/>
    <w:rsid w:val="4E6B1D97"/>
    <w:rsid w:val="4E6C5D89"/>
    <w:rsid w:val="4E6D3230"/>
    <w:rsid w:val="4E6D76D3"/>
    <w:rsid w:val="4E704ACE"/>
    <w:rsid w:val="4E714CE8"/>
    <w:rsid w:val="4E726A98"/>
    <w:rsid w:val="4E7334D8"/>
    <w:rsid w:val="4E74458A"/>
    <w:rsid w:val="4E753AAD"/>
    <w:rsid w:val="4E772300"/>
    <w:rsid w:val="4E7740AE"/>
    <w:rsid w:val="4E78439B"/>
    <w:rsid w:val="4E796078"/>
    <w:rsid w:val="4E7B594C"/>
    <w:rsid w:val="4E7D2D79"/>
    <w:rsid w:val="4E813FBD"/>
    <w:rsid w:val="4E816B8E"/>
    <w:rsid w:val="4E816CDB"/>
    <w:rsid w:val="4E834801"/>
    <w:rsid w:val="4E850579"/>
    <w:rsid w:val="4E854A1D"/>
    <w:rsid w:val="4E881E17"/>
    <w:rsid w:val="4E8D38D2"/>
    <w:rsid w:val="4E8D5680"/>
    <w:rsid w:val="4E8F4409"/>
    <w:rsid w:val="4E9051F3"/>
    <w:rsid w:val="4E920EE8"/>
    <w:rsid w:val="4E946A0E"/>
    <w:rsid w:val="4E962786"/>
    <w:rsid w:val="4E966494"/>
    <w:rsid w:val="4E9702AC"/>
    <w:rsid w:val="4E9823FF"/>
    <w:rsid w:val="4E990F2F"/>
    <w:rsid w:val="4E9E2CBC"/>
    <w:rsid w:val="4E9E788D"/>
    <w:rsid w:val="4E9F6498"/>
    <w:rsid w:val="4EA01857"/>
    <w:rsid w:val="4EA03605"/>
    <w:rsid w:val="4EA053B3"/>
    <w:rsid w:val="4EA41F28"/>
    <w:rsid w:val="4EA41F93"/>
    <w:rsid w:val="4EA5495C"/>
    <w:rsid w:val="4EA76741"/>
    <w:rsid w:val="4EA824BA"/>
    <w:rsid w:val="4EA84268"/>
    <w:rsid w:val="4EA976CA"/>
    <w:rsid w:val="4EAA6232"/>
    <w:rsid w:val="4EAA7FE0"/>
    <w:rsid w:val="4EAB1DFB"/>
    <w:rsid w:val="4EAB3064"/>
    <w:rsid w:val="4EAC3D58"/>
    <w:rsid w:val="4EB1136E"/>
    <w:rsid w:val="4EB25722"/>
    <w:rsid w:val="4EB26E94"/>
    <w:rsid w:val="4EB66985"/>
    <w:rsid w:val="4EB71270"/>
    <w:rsid w:val="4EB90223"/>
    <w:rsid w:val="4EBB3F9B"/>
    <w:rsid w:val="4EC00FAD"/>
    <w:rsid w:val="4EC07803"/>
    <w:rsid w:val="4EC45545"/>
    <w:rsid w:val="4EC5306C"/>
    <w:rsid w:val="4EC56BC8"/>
    <w:rsid w:val="4EC8490A"/>
    <w:rsid w:val="4ECA68D4"/>
    <w:rsid w:val="4ECC4FBF"/>
    <w:rsid w:val="4ECC61A8"/>
    <w:rsid w:val="4ECD55DA"/>
    <w:rsid w:val="4ECF3EEA"/>
    <w:rsid w:val="4ED007BA"/>
    <w:rsid w:val="4ED072DF"/>
    <w:rsid w:val="4ED10F45"/>
    <w:rsid w:val="4ED11A10"/>
    <w:rsid w:val="4ED4081D"/>
    <w:rsid w:val="4ED41501"/>
    <w:rsid w:val="4ED4505D"/>
    <w:rsid w:val="4ED46203"/>
    <w:rsid w:val="4ED67027"/>
    <w:rsid w:val="4ED74DB7"/>
    <w:rsid w:val="4ED84B4D"/>
    <w:rsid w:val="4ED96B17"/>
    <w:rsid w:val="4EDD6607"/>
    <w:rsid w:val="4EE03A01"/>
    <w:rsid w:val="4EE23C1E"/>
    <w:rsid w:val="4EE259CC"/>
    <w:rsid w:val="4EE51018"/>
    <w:rsid w:val="4EE5726A"/>
    <w:rsid w:val="4EE748AB"/>
    <w:rsid w:val="4EEA2AD2"/>
    <w:rsid w:val="4EED1BAD"/>
    <w:rsid w:val="4EED4D26"/>
    <w:rsid w:val="4EEE25C2"/>
    <w:rsid w:val="4EEE4370"/>
    <w:rsid w:val="4EEF00E8"/>
    <w:rsid w:val="4EF13E61"/>
    <w:rsid w:val="4EF219BE"/>
    <w:rsid w:val="4EF23735"/>
    <w:rsid w:val="4EF32E4E"/>
    <w:rsid w:val="4EF35A1F"/>
    <w:rsid w:val="4EF474AD"/>
    <w:rsid w:val="4EF703D2"/>
    <w:rsid w:val="4EF7686B"/>
    <w:rsid w:val="4EF851EF"/>
    <w:rsid w:val="4EFA0F67"/>
    <w:rsid w:val="4EFB4CDF"/>
    <w:rsid w:val="4F0073FA"/>
    <w:rsid w:val="4F02606E"/>
    <w:rsid w:val="4F033E58"/>
    <w:rsid w:val="4F041DE6"/>
    <w:rsid w:val="4F043B94"/>
    <w:rsid w:val="4F0630BC"/>
    <w:rsid w:val="4F075432"/>
    <w:rsid w:val="4F08387A"/>
    <w:rsid w:val="4F0973FC"/>
    <w:rsid w:val="4F0C78AF"/>
    <w:rsid w:val="4F0E056F"/>
    <w:rsid w:val="4F1638C7"/>
    <w:rsid w:val="4F18319B"/>
    <w:rsid w:val="4F196F13"/>
    <w:rsid w:val="4F1B0EDE"/>
    <w:rsid w:val="4F204746"/>
    <w:rsid w:val="4F2064F4"/>
    <w:rsid w:val="4F216D21"/>
    <w:rsid w:val="4F22401A"/>
    <w:rsid w:val="4F2434A7"/>
    <w:rsid w:val="4F277882"/>
    <w:rsid w:val="4F283151"/>
    <w:rsid w:val="4F2935FA"/>
    <w:rsid w:val="4F302BDB"/>
    <w:rsid w:val="4F344342"/>
    <w:rsid w:val="4F351F9F"/>
    <w:rsid w:val="4F365D17"/>
    <w:rsid w:val="4F3A5808"/>
    <w:rsid w:val="4F3B50DC"/>
    <w:rsid w:val="4F3D0E54"/>
    <w:rsid w:val="4F3D2E96"/>
    <w:rsid w:val="4F3F6FB7"/>
    <w:rsid w:val="4F4028E5"/>
    <w:rsid w:val="4F4246BC"/>
    <w:rsid w:val="4F442940"/>
    <w:rsid w:val="4F443F90"/>
    <w:rsid w:val="4F457D08"/>
    <w:rsid w:val="4F465384"/>
    <w:rsid w:val="4F4905C9"/>
    <w:rsid w:val="4F4A531F"/>
    <w:rsid w:val="4F506DD9"/>
    <w:rsid w:val="4F512B51"/>
    <w:rsid w:val="4F5368C9"/>
    <w:rsid w:val="4F5471B3"/>
    <w:rsid w:val="4F555643"/>
    <w:rsid w:val="4F55619D"/>
    <w:rsid w:val="4F59348C"/>
    <w:rsid w:val="4F59519F"/>
    <w:rsid w:val="4F5A1355"/>
    <w:rsid w:val="4F5A7C58"/>
    <w:rsid w:val="4F5F526E"/>
    <w:rsid w:val="4F602D94"/>
    <w:rsid w:val="4F604B42"/>
    <w:rsid w:val="4F6178F6"/>
    <w:rsid w:val="4F6362F0"/>
    <w:rsid w:val="4F641CE0"/>
    <w:rsid w:val="4F644633"/>
    <w:rsid w:val="4F6603AB"/>
    <w:rsid w:val="4F691C49"/>
    <w:rsid w:val="4F6939F7"/>
    <w:rsid w:val="4F6B6FE2"/>
    <w:rsid w:val="4F6C34E7"/>
    <w:rsid w:val="4F6C6A22"/>
    <w:rsid w:val="4F6C798B"/>
    <w:rsid w:val="4F6E3703"/>
    <w:rsid w:val="4F6E54B1"/>
    <w:rsid w:val="4F724052"/>
    <w:rsid w:val="4F734876"/>
    <w:rsid w:val="4F745CD4"/>
    <w:rsid w:val="4F746B06"/>
    <w:rsid w:val="4F764366"/>
    <w:rsid w:val="4F775585"/>
    <w:rsid w:val="4F7A20A8"/>
    <w:rsid w:val="4F7B2A3B"/>
    <w:rsid w:val="4F7B372A"/>
    <w:rsid w:val="4F7D56F4"/>
    <w:rsid w:val="4F7D74A2"/>
    <w:rsid w:val="4F7F146C"/>
    <w:rsid w:val="4F7F321A"/>
    <w:rsid w:val="4F8151E4"/>
    <w:rsid w:val="4F820F5D"/>
    <w:rsid w:val="4F822D0B"/>
    <w:rsid w:val="4F844CD5"/>
    <w:rsid w:val="4F8836EE"/>
    <w:rsid w:val="4F8847C5"/>
    <w:rsid w:val="4F8B6063"/>
    <w:rsid w:val="4F8C3B89"/>
    <w:rsid w:val="4F8E21C2"/>
    <w:rsid w:val="4F905428"/>
    <w:rsid w:val="4F9273F2"/>
    <w:rsid w:val="4F93316A"/>
    <w:rsid w:val="4F960564"/>
    <w:rsid w:val="4F9843DC"/>
    <w:rsid w:val="4F985FFF"/>
    <w:rsid w:val="4F992060"/>
    <w:rsid w:val="4F9A44F8"/>
    <w:rsid w:val="4F9E0730"/>
    <w:rsid w:val="4F9E41F2"/>
    <w:rsid w:val="4F9F38BD"/>
    <w:rsid w:val="4FA233AD"/>
    <w:rsid w:val="4FA47125"/>
    <w:rsid w:val="4FA64C4B"/>
    <w:rsid w:val="4FA82083"/>
    <w:rsid w:val="4FA928DB"/>
    <w:rsid w:val="4FAB2261"/>
    <w:rsid w:val="4FB01626"/>
    <w:rsid w:val="4FB0729A"/>
    <w:rsid w:val="4FB07878"/>
    <w:rsid w:val="4FB1539E"/>
    <w:rsid w:val="4FB235F0"/>
    <w:rsid w:val="4FB32C07"/>
    <w:rsid w:val="4FB355BA"/>
    <w:rsid w:val="4FB55B02"/>
    <w:rsid w:val="4FB629B4"/>
    <w:rsid w:val="4FB85749"/>
    <w:rsid w:val="4FB9722D"/>
    <w:rsid w:val="4FBA4253"/>
    <w:rsid w:val="4FBB14B9"/>
    <w:rsid w:val="4FBE4CCD"/>
    <w:rsid w:val="4FBF5D0D"/>
    <w:rsid w:val="4FC11A85"/>
    <w:rsid w:val="4FC20882"/>
    <w:rsid w:val="4FC21359"/>
    <w:rsid w:val="4FC24D9F"/>
    <w:rsid w:val="4FC41575"/>
    <w:rsid w:val="4FC450D1"/>
    <w:rsid w:val="4FC472C9"/>
    <w:rsid w:val="4FC52201"/>
    <w:rsid w:val="4FC57BED"/>
    <w:rsid w:val="4FC62A8C"/>
    <w:rsid w:val="4FC652ED"/>
    <w:rsid w:val="4FC6709B"/>
    <w:rsid w:val="4FC90B86"/>
    <w:rsid w:val="4FC962FE"/>
    <w:rsid w:val="4FC96B8B"/>
    <w:rsid w:val="4FCB2F05"/>
    <w:rsid w:val="4FCD042A"/>
    <w:rsid w:val="4FD04D00"/>
    <w:rsid w:val="4FD277EE"/>
    <w:rsid w:val="4FD35314"/>
    <w:rsid w:val="4FD5108C"/>
    <w:rsid w:val="4FD51FF0"/>
    <w:rsid w:val="4FD55530"/>
    <w:rsid w:val="4FD613F9"/>
    <w:rsid w:val="4FD73056"/>
    <w:rsid w:val="4FD74A3A"/>
    <w:rsid w:val="4FDA48F5"/>
    <w:rsid w:val="4FDA66A3"/>
    <w:rsid w:val="4FDD43E5"/>
    <w:rsid w:val="4FDD4733"/>
    <w:rsid w:val="4FDF1F0B"/>
    <w:rsid w:val="4FDF7053"/>
    <w:rsid w:val="4FE13ED5"/>
    <w:rsid w:val="4FE20F0D"/>
    <w:rsid w:val="4FE37C4D"/>
    <w:rsid w:val="4FE45773"/>
    <w:rsid w:val="4FE47521"/>
    <w:rsid w:val="4FE51552"/>
    <w:rsid w:val="4FE70DC0"/>
    <w:rsid w:val="4FE90FDC"/>
    <w:rsid w:val="4FEC64B6"/>
    <w:rsid w:val="4FEE1C51"/>
    <w:rsid w:val="4FEF7F82"/>
    <w:rsid w:val="4FF0236A"/>
    <w:rsid w:val="4FF05EC6"/>
    <w:rsid w:val="4FF359B6"/>
    <w:rsid w:val="4FF4152A"/>
    <w:rsid w:val="4FF516D8"/>
    <w:rsid w:val="4FF5172F"/>
    <w:rsid w:val="4FF736F9"/>
    <w:rsid w:val="4FF754A7"/>
    <w:rsid w:val="4FF877CA"/>
    <w:rsid w:val="4FF9121F"/>
    <w:rsid w:val="4FFA4F97"/>
    <w:rsid w:val="4FFB1ECF"/>
    <w:rsid w:val="4FFE18CB"/>
    <w:rsid w:val="4FFE4A87"/>
    <w:rsid w:val="5000141C"/>
    <w:rsid w:val="500164F1"/>
    <w:rsid w:val="50041972"/>
    <w:rsid w:val="5007625F"/>
    <w:rsid w:val="500876B4"/>
    <w:rsid w:val="500A342C"/>
    <w:rsid w:val="500B71A4"/>
    <w:rsid w:val="500C44B3"/>
    <w:rsid w:val="500D0826"/>
    <w:rsid w:val="500E459E"/>
    <w:rsid w:val="501335DA"/>
    <w:rsid w:val="50137E07"/>
    <w:rsid w:val="5015008B"/>
    <w:rsid w:val="50151DD1"/>
    <w:rsid w:val="5015592D"/>
    <w:rsid w:val="50156D6F"/>
    <w:rsid w:val="501A1195"/>
    <w:rsid w:val="501A2F43"/>
    <w:rsid w:val="501A73E7"/>
    <w:rsid w:val="501C315F"/>
    <w:rsid w:val="501C4F0D"/>
    <w:rsid w:val="501C6CBB"/>
    <w:rsid w:val="501F0559"/>
    <w:rsid w:val="501F49FD"/>
    <w:rsid w:val="501F67AB"/>
    <w:rsid w:val="50203765"/>
    <w:rsid w:val="502618E8"/>
    <w:rsid w:val="50265D8C"/>
    <w:rsid w:val="50281B04"/>
    <w:rsid w:val="502E2B4B"/>
    <w:rsid w:val="502F2092"/>
    <w:rsid w:val="50302767"/>
    <w:rsid w:val="50322768"/>
    <w:rsid w:val="503264DF"/>
    <w:rsid w:val="50383FBC"/>
    <w:rsid w:val="503C0073"/>
    <w:rsid w:val="503C735D"/>
    <w:rsid w:val="503E30D6"/>
    <w:rsid w:val="504001C3"/>
    <w:rsid w:val="50416722"/>
    <w:rsid w:val="504B134F"/>
    <w:rsid w:val="504B57F2"/>
    <w:rsid w:val="50502E09"/>
    <w:rsid w:val="50504C4B"/>
    <w:rsid w:val="505226DD"/>
    <w:rsid w:val="5052551D"/>
    <w:rsid w:val="50561D57"/>
    <w:rsid w:val="505C355C"/>
    <w:rsid w:val="50620E6B"/>
    <w:rsid w:val="50630D8E"/>
    <w:rsid w:val="506348EA"/>
    <w:rsid w:val="50650662"/>
    <w:rsid w:val="506568B4"/>
    <w:rsid w:val="50697A27"/>
    <w:rsid w:val="506A211C"/>
    <w:rsid w:val="506A3ECB"/>
    <w:rsid w:val="506F6FAC"/>
    <w:rsid w:val="50707007"/>
    <w:rsid w:val="50724B2D"/>
    <w:rsid w:val="507516D4"/>
    <w:rsid w:val="50760AC1"/>
    <w:rsid w:val="5076286F"/>
    <w:rsid w:val="5077108F"/>
    <w:rsid w:val="507718E7"/>
    <w:rsid w:val="50786D6D"/>
    <w:rsid w:val="5079410E"/>
    <w:rsid w:val="507C3BFE"/>
    <w:rsid w:val="507E7856"/>
    <w:rsid w:val="507E7976"/>
    <w:rsid w:val="50811214"/>
    <w:rsid w:val="50827466"/>
    <w:rsid w:val="50850D04"/>
    <w:rsid w:val="50852AB2"/>
    <w:rsid w:val="508665E0"/>
    <w:rsid w:val="5087119E"/>
    <w:rsid w:val="50872653"/>
    <w:rsid w:val="50884351"/>
    <w:rsid w:val="508C2D94"/>
    <w:rsid w:val="508D1E06"/>
    <w:rsid w:val="508D5E0B"/>
    <w:rsid w:val="508F1B83"/>
    <w:rsid w:val="50901EE7"/>
    <w:rsid w:val="50926F7D"/>
    <w:rsid w:val="50942CF5"/>
    <w:rsid w:val="50947E50"/>
    <w:rsid w:val="5095371D"/>
    <w:rsid w:val="50970A38"/>
    <w:rsid w:val="509B3BB4"/>
    <w:rsid w:val="509C6E7C"/>
    <w:rsid w:val="509C7DFC"/>
    <w:rsid w:val="509D5C69"/>
    <w:rsid w:val="509F6E0B"/>
    <w:rsid w:val="50A32F39"/>
    <w:rsid w:val="50A54F03"/>
    <w:rsid w:val="50A7173F"/>
    <w:rsid w:val="50A867A1"/>
    <w:rsid w:val="50A86B66"/>
    <w:rsid w:val="50A941CF"/>
    <w:rsid w:val="50A96705"/>
    <w:rsid w:val="50AA2519"/>
    <w:rsid w:val="50AD09B9"/>
    <w:rsid w:val="50AD4531"/>
    <w:rsid w:val="50B213CE"/>
    <w:rsid w:val="50B27620"/>
    <w:rsid w:val="50B43398"/>
    <w:rsid w:val="50B82E88"/>
    <w:rsid w:val="50B96C00"/>
    <w:rsid w:val="50BB0282"/>
    <w:rsid w:val="50BC3FFA"/>
    <w:rsid w:val="50BE4216"/>
    <w:rsid w:val="50C23D07"/>
    <w:rsid w:val="50C3182D"/>
    <w:rsid w:val="50C51101"/>
    <w:rsid w:val="50C552AB"/>
    <w:rsid w:val="50C555A5"/>
    <w:rsid w:val="50C636F7"/>
    <w:rsid w:val="50C63DEB"/>
    <w:rsid w:val="50C64E79"/>
    <w:rsid w:val="50C730CB"/>
    <w:rsid w:val="50C86E43"/>
    <w:rsid w:val="50CA2BBB"/>
    <w:rsid w:val="50CC248F"/>
    <w:rsid w:val="50CD4459"/>
    <w:rsid w:val="50CF7641"/>
    <w:rsid w:val="50D032C3"/>
    <w:rsid w:val="50D051B1"/>
    <w:rsid w:val="50D15CF8"/>
    <w:rsid w:val="50D21A70"/>
    <w:rsid w:val="50D2381E"/>
    <w:rsid w:val="50D916F9"/>
    <w:rsid w:val="50D92763"/>
    <w:rsid w:val="50D92DFE"/>
    <w:rsid w:val="50DB26D2"/>
    <w:rsid w:val="50E002FF"/>
    <w:rsid w:val="50E340AF"/>
    <w:rsid w:val="50E517A3"/>
    <w:rsid w:val="50E53551"/>
    <w:rsid w:val="50E61077"/>
    <w:rsid w:val="50E83EC0"/>
    <w:rsid w:val="50EA6DB9"/>
    <w:rsid w:val="50EC2B32"/>
    <w:rsid w:val="50EC7AC2"/>
    <w:rsid w:val="50F10148"/>
    <w:rsid w:val="50F22714"/>
    <w:rsid w:val="50F25C6E"/>
    <w:rsid w:val="50F47C38"/>
    <w:rsid w:val="50F814D6"/>
    <w:rsid w:val="50FB4B23"/>
    <w:rsid w:val="50FC37C6"/>
    <w:rsid w:val="50FD6AED"/>
    <w:rsid w:val="50FE23F8"/>
    <w:rsid w:val="50FF2147"/>
    <w:rsid w:val="50FF3888"/>
    <w:rsid w:val="510161A8"/>
    <w:rsid w:val="51022355"/>
    <w:rsid w:val="51024103"/>
    <w:rsid w:val="51031C29"/>
    <w:rsid w:val="51044B29"/>
    <w:rsid w:val="510460CD"/>
    <w:rsid w:val="5105188A"/>
    <w:rsid w:val="5106201A"/>
    <w:rsid w:val="51071719"/>
    <w:rsid w:val="510A120A"/>
    <w:rsid w:val="510B1E2B"/>
    <w:rsid w:val="510E0CFA"/>
    <w:rsid w:val="51114346"/>
    <w:rsid w:val="51121E6C"/>
    <w:rsid w:val="51143E36"/>
    <w:rsid w:val="51165E00"/>
    <w:rsid w:val="511931FB"/>
    <w:rsid w:val="511C1568"/>
    <w:rsid w:val="511F2F07"/>
    <w:rsid w:val="511F3CF3"/>
    <w:rsid w:val="51217A74"/>
    <w:rsid w:val="5124051D"/>
    <w:rsid w:val="5126426B"/>
    <w:rsid w:val="51272A94"/>
    <w:rsid w:val="51295B34"/>
    <w:rsid w:val="512A1962"/>
    <w:rsid w:val="512B1415"/>
    <w:rsid w:val="512C2F2E"/>
    <w:rsid w:val="512C73D2"/>
    <w:rsid w:val="512E4EF8"/>
    <w:rsid w:val="51312C3A"/>
    <w:rsid w:val="51340035"/>
    <w:rsid w:val="51360251"/>
    <w:rsid w:val="5139564B"/>
    <w:rsid w:val="513B5867"/>
    <w:rsid w:val="513D338D"/>
    <w:rsid w:val="51452242"/>
    <w:rsid w:val="51491D32"/>
    <w:rsid w:val="514A5AAA"/>
    <w:rsid w:val="514C537E"/>
    <w:rsid w:val="514E43AF"/>
    <w:rsid w:val="514E559A"/>
    <w:rsid w:val="514E7A3F"/>
    <w:rsid w:val="514F30C0"/>
    <w:rsid w:val="514F5C6A"/>
    <w:rsid w:val="515406D7"/>
    <w:rsid w:val="515626A1"/>
    <w:rsid w:val="515661FD"/>
    <w:rsid w:val="515800F2"/>
    <w:rsid w:val="515801C7"/>
    <w:rsid w:val="51581F75"/>
    <w:rsid w:val="515939D7"/>
    <w:rsid w:val="5162104E"/>
    <w:rsid w:val="5164091A"/>
    <w:rsid w:val="51643BE2"/>
    <w:rsid w:val="51644DBE"/>
    <w:rsid w:val="516528E4"/>
    <w:rsid w:val="51694FFB"/>
    <w:rsid w:val="516A1CA8"/>
    <w:rsid w:val="516D26A7"/>
    <w:rsid w:val="51713037"/>
    <w:rsid w:val="517174DB"/>
    <w:rsid w:val="51722A21"/>
    <w:rsid w:val="51735001"/>
    <w:rsid w:val="517448D5"/>
    <w:rsid w:val="51750D79"/>
    <w:rsid w:val="51756599"/>
    <w:rsid w:val="517639BB"/>
    <w:rsid w:val="5176689F"/>
    <w:rsid w:val="517860CB"/>
    <w:rsid w:val="51791EEB"/>
    <w:rsid w:val="517A013D"/>
    <w:rsid w:val="517B2107"/>
    <w:rsid w:val="518014CC"/>
    <w:rsid w:val="51811DBB"/>
    <w:rsid w:val="51833C8B"/>
    <w:rsid w:val="51840FBC"/>
    <w:rsid w:val="51850890"/>
    <w:rsid w:val="51861960"/>
    <w:rsid w:val="51862935"/>
    <w:rsid w:val="51875BA8"/>
    <w:rsid w:val="51895B62"/>
    <w:rsid w:val="518C5BE1"/>
    <w:rsid w:val="518E5997"/>
    <w:rsid w:val="519136D9"/>
    <w:rsid w:val="51915487"/>
    <w:rsid w:val="519311FF"/>
    <w:rsid w:val="51932EE3"/>
    <w:rsid w:val="51937451"/>
    <w:rsid w:val="51946AAF"/>
    <w:rsid w:val="51960CEF"/>
    <w:rsid w:val="51976B19"/>
    <w:rsid w:val="519E2BC7"/>
    <w:rsid w:val="519F1952"/>
    <w:rsid w:val="51A24F18"/>
    <w:rsid w:val="51A46F68"/>
    <w:rsid w:val="51A67184"/>
    <w:rsid w:val="51A7228E"/>
    <w:rsid w:val="51A87113"/>
    <w:rsid w:val="51AA02F7"/>
    <w:rsid w:val="51AA34F3"/>
    <w:rsid w:val="51AB4E9E"/>
    <w:rsid w:val="51AC406F"/>
    <w:rsid w:val="51AE428B"/>
    <w:rsid w:val="51B00003"/>
    <w:rsid w:val="51B11685"/>
    <w:rsid w:val="51B24883"/>
    <w:rsid w:val="51B573C7"/>
    <w:rsid w:val="51B72F48"/>
    <w:rsid w:val="51B85966"/>
    <w:rsid w:val="51BD0971"/>
    <w:rsid w:val="51BD75E0"/>
    <w:rsid w:val="51C031DD"/>
    <w:rsid w:val="51C07B1A"/>
    <w:rsid w:val="51C21AE4"/>
    <w:rsid w:val="51C4585C"/>
    <w:rsid w:val="51C615D4"/>
    <w:rsid w:val="51C70EA9"/>
    <w:rsid w:val="51C770FB"/>
    <w:rsid w:val="51CB2747"/>
    <w:rsid w:val="51CB6BEB"/>
    <w:rsid w:val="51CC4711"/>
    <w:rsid w:val="51CE0489"/>
    <w:rsid w:val="51D04201"/>
    <w:rsid w:val="51D04BD9"/>
    <w:rsid w:val="51D35A9F"/>
    <w:rsid w:val="51D4642C"/>
    <w:rsid w:val="51D51818"/>
    <w:rsid w:val="51D57A6A"/>
    <w:rsid w:val="51D84E64"/>
    <w:rsid w:val="51D92395"/>
    <w:rsid w:val="51DA6E2E"/>
    <w:rsid w:val="51DB6702"/>
    <w:rsid w:val="51DC2BA6"/>
    <w:rsid w:val="51E11F6A"/>
    <w:rsid w:val="51E15094"/>
    <w:rsid w:val="51E25CE3"/>
    <w:rsid w:val="51E657D3"/>
    <w:rsid w:val="51E67581"/>
    <w:rsid w:val="51E90E1F"/>
    <w:rsid w:val="51E92EF6"/>
    <w:rsid w:val="51EC090F"/>
    <w:rsid w:val="51EE28D9"/>
    <w:rsid w:val="51EF7E0A"/>
    <w:rsid w:val="51F06651"/>
    <w:rsid w:val="51F1224A"/>
    <w:rsid w:val="51F24D8E"/>
    <w:rsid w:val="51F31C9E"/>
    <w:rsid w:val="51F8100B"/>
    <w:rsid w:val="51F872B4"/>
    <w:rsid w:val="51FA302C"/>
    <w:rsid w:val="51FF0643"/>
    <w:rsid w:val="51FF4AE6"/>
    <w:rsid w:val="52020133"/>
    <w:rsid w:val="52045C59"/>
    <w:rsid w:val="5209326F"/>
    <w:rsid w:val="52097713"/>
    <w:rsid w:val="520C641E"/>
    <w:rsid w:val="520C7B82"/>
    <w:rsid w:val="520D2FCF"/>
    <w:rsid w:val="520F6E87"/>
    <w:rsid w:val="52102850"/>
    <w:rsid w:val="521045FE"/>
    <w:rsid w:val="52132340"/>
    <w:rsid w:val="52173BDE"/>
    <w:rsid w:val="52182257"/>
    <w:rsid w:val="52184628"/>
    <w:rsid w:val="52187956"/>
    <w:rsid w:val="521A06FB"/>
    <w:rsid w:val="521A547C"/>
    <w:rsid w:val="521C2FA3"/>
    <w:rsid w:val="52204887"/>
    <w:rsid w:val="52205A9C"/>
    <w:rsid w:val="52224331"/>
    <w:rsid w:val="522400A9"/>
    <w:rsid w:val="5224454D"/>
    <w:rsid w:val="52272405"/>
    <w:rsid w:val="52295D37"/>
    <w:rsid w:val="522B1438"/>
    <w:rsid w:val="522D3402"/>
    <w:rsid w:val="522D783F"/>
    <w:rsid w:val="522E2CD6"/>
    <w:rsid w:val="522F55CB"/>
    <w:rsid w:val="52320A18"/>
    <w:rsid w:val="523227C6"/>
    <w:rsid w:val="523429E2"/>
    <w:rsid w:val="523522B6"/>
    <w:rsid w:val="52374280"/>
    <w:rsid w:val="523B62E6"/>
    <w:rsid w:val="523C1897"/>
    <w:rsid w:val="523C31AB"/>
    <w:rsid w:val="523C53F3"/>
    <w:rsid w:val="523E73BD"/>
    <w:rsid w:val="523F3135"/>
    <w:rsid w:val="523F4EE3"/>
    <w:rsid w:val="523F77E4"/>
    <w:rsid w:val="524162C4"/>
    <w:rsid w:val="52450697"/>
    <w:rsid w:val="524904A8"/>
    <w:rsid w:val="52490899"/>
    <w:rsid w:val="524B1ADA"/>
    <w:rsid w:val="524C1E36"/>
    <w:rsid w:val="524C5999"/>
    <w:rsid w:val="524D5852"/>
    <w:rsid w:val="524D7600"/>
    <w:rsid w:val="524F15CA"/>
    <w:rsid w:val="52514ED2"/>
    <w:rsid w:val="52524C16"/>
    <w:rsid w:val="5253098E"/>
    <w:rsid w:val="52554706"/>
    <w:rsid w:val="525941F7"/>
    <w:rsid w:val="525C5A95"/>
    <w:rsid w:val="525C7843"/>
    <w:rsid w:val="525E300A"/>
    <w:rsid w:val="525E35BB"/>
    <w:rsid w:val="525F123E"/>
    <w:rsid w:val="526037D7"/>
    <w:rsid w:val="52630BD1"/>
    <w:rsid w:val="52683D97"/>
    <w:rsid w:val="526F57C8"/>
    <w:rsid w:val="52724E97"/>
    <w:rsid w:val="52727066"/>
    <w:rsid w:val="52741030"/>
    <w:rsid w:val="52754DA9"/>
    <w:rsid w:val="52796647"/>
    <w:rsid w:val="527A5F1B"/>
    <w:rsid w:val="527B1EA7"/>
    <w:rsid w:val="527B538F"/>
    <w:rsid w:val="527C6137"/>
    <w:rsid w:val="527C6CBB"/>
    <w:rsid w:val="527E1EAF"/>
    <w:rsid w:val="527F570D"/>
    <w:rsid w:val="527F698F"/>
    <w:rsid w:val="528172AA"/>
    <w:rsid w:val="528374C6"/>
    <w:rsid w:val="52841AC9"/>
    <w:rsid w:val="5285323E"/>
    <w:rsid w:val="52884ADC"/>
    <w:rsid w:val="528943B0"/>
    <w:rsid w:val="528B199C"/>
    <w:rsid w:val="528B1ED6"/>
    <w:rsid w:val="528B2681"/>
    <w:rsid w:val="528B33D2"/>
    <w:rsid w:val="528C73F0"/>
    <w:rsid w:val="52903990"/>
    <w:rsid w:val="5290573F"/>
    <w:rsid w:val="52911BE2"/>
    <w:rsid w:val="52923265"/>
    <w:rsid w:val="52966AAF"/>
    <w:rsid w:val="529756C3"/>
    <w:rsid w:val="52992845"/>
    <w:rsid w:val="529A65BD"/>
    <w:rsid w:val="529B480F"/>
    <w:rsid w:val="529C40E3"/>
    <w:rsid w:val="529E7462"/>
    <w:rsid w:val="52A116FA"/>
    <w:rsid w:val="52A11ADD"/>
    <w:rsid w:val="52A1794C"/>
    <w:rsid w:val="52A4184F"/>
    <w:rsid w:val="52A42F98"/>
    <w:rsid w:val="52A82A88"/>
    <w:rsid w:val="52AA6800"/>
    <w:rsid w:val="52AB2578"/>
    <w:rsid w:val="52AD009F"/>
    <w:rsid w:val="52AD1E6B"/>
    <w:rsid w:val="52AD62F0"/>
    <w:rsid w:val="52AF3E17"/>
    <w:rsid w:val="52AF71D2"/>
    <w:rsid w:val="52B23907"/>
    <w:rsid w:val="52B256B5"/>
    <w:rsid w:val="52B458D1"/>
    <w:rsid w:val="52B4767F"/>
    <w:rsid w:val="52B56FEB"/>
    <w:rsid w:val="52B70F1D"/>
    <w:rsid w:val="52B845DE"/>
    <w:rsid w:val="52BB0A0D"/>
    <w:rsid w:val="52BE40AB"/>
    <w:rsid w:val="52BE482B"/>
    <w:rsid w:val="52C04276"/>
    <w:rsid w:val="52C27FEE"/>
    <w:rsid w:val="52C61160"/>
    <w:rsid w:val="52C673B2"/>
    <w:rsid w:val="52CA1D4B"/>
    <w:rsid w:val="52CB49C9"/>
    <w:rsid w:val="52CC1D29"/>
    <w:rsid w:val="52CD24EF"/>
    <w:rsid w:val="52CD6993"/>
    <w:rsid w:val="52CF270B"/>
    <w:rsid w:val="52D03D8D"/>
    <w:rsid w:val="52D715BF"/>
    <w:rsid w:val="52D7225A"/>
    <w:rsid w:val="52D90E94"/>
    <w:rsid w:val="52D97EBD"/>
    <w:rsid w:val="52DB1A34"/>
    <w:rsid w:val="52DB4AB5"/>
    <w:rsid w:val="52DC0984"/>
    <w:rsid w:val="52E04FF4"/>
    <w:rsid w:val="52E066C6"/>
    <w:rsid w:val="52E141EC"/>
    <w:rsid w:val="52E33975"/>
    <w:rsid w:val="52E44E05"/>
    <w:rsid w:val="52E579D6"/>
    <w:rsid w:val="52E8557B"/>
    <w:rsid w:val="52EA12F3"/>
    <w:rsid w:val="52EF1D47"/>
    <w:rsid w:val="52F061DD"/>
    <w:rsid w:val="52F3346A"/>
    <w:rsid w:val="52F41B8A"/>
    <w:rsid w:val="52F43F1F"/>
    <w:rsid w:val="52F45CCD"/>
    <w:rsid w:val="52F7756C"/>
    <w:rsid w:val="52F82A96"/>
    <w:rsid w:val="52F932E4"/>
    <w:rsid w:val="52FB705C"/>
    <w:rsid w:val="52FC2DD4"/>
    <w:rsid w:val="52FF0692"/>
    <w:rsid w:val="53000485"/>
    <w:rsid w:val="53000B16"/>
    <w:rsid w:val="530028C4"/>
    <w:rsid w:val="5302488E"/>
    <w:rsid w:val="53031182"/>
    <w:rsid w:val="53040493"/>
    <w:rsid w:val="5305612D"/>
    <w:rsid w:val="53081779"/>
    <w:rsid w:val="530879CB"/>
    <w:rsid w:val="53095C1D"/>
    <w:rsid w:val="530A54F1"/>
    <w:rsid w:val="530C3017"/>
    <w:rsid w:val="530D4FE1"/>
    <w:rsid w:val="530D5254"/>
    <w:rsid w:val="530E0072"/>
    <w:rsid w:val="530E6FEF"/>
    <w:rsid w:val="530F48B5"/>
    <w:rsid w:val="53146370"/>
    <w:rsid w:val="53174242"/>
    <w:rsid w:val="53185E60"/>
    <w:rsid w:val="53193986"/>
    <w:rsid w:val="531A2A31"/>
    <w:rsid w:val="531B76FE"/>
    <w:rsid w:val="531E71EE"/>
    <w:rsid w:val="532145E9"/>
    <w:rsid w:val="53226CDE"/>
    <w:rsid w:val="53242F2F"/>
    <w:rsid w:val="532760A3"/>
    <w:rsid w:val="532A16EF"/>
    <w:rsid w:val="532B0128"/>
    <w:rsid w:val="532C190B"/>
    <w:rsid w:val="532D11DF"/>
    <w:rsid w:val="532E765C"/>
    <w:rsid w:val="53310C32"/>
    <w:rsid w:val="53316F22"/>
    <w:rsid w:val="533267F6"/>
    <w:rsid w:val="533337CC"/>
    <w:rsid w:val="533407C0"/>
    <w:rsid w:val="53341D8D"/>
    <w:rsid w:val="5334256E"/>
    <w:rsid w:val="53344B94"/>
    <w:rsid w:val="53346A12"/>
    <w:rsid w:val="53364538"/>
    <w:rsid w:val="533662E6"/>
    <w:rsid w:val="5337776C"/>
    <w:rsid w:val="533802B0"/>
    <w:rsid w:val="53397B84"/>
    <w:rsid w:val="533B1B4E"/>
    <w:rsid w:val="53402E0D"/>
    <w:rsid w:val="53426A39"/>
    <w:rsid w:val="534327B1"/>
    <w:rsid w:val="5344729C"/>
    <w:rsid w:val="534529CD"/>
    <w:rsid w:val="53464360"/>
    <w:rsid w:val="534704F3"/>
    <w:rsid w:val="53486019"/>
    <w:rsid w:val="534A7FE3"/>
    <w:rsid w:val="534E5504"/>
    <w:rsid w:val="534E7AD3"/>
    <w:rsid w:val="534F55FA"/>
    <w:rsid w:val="534F73A8"/>
    <w:rsid w:val="535023A1"/>
    <w:rsid w:val="53505CEF"/>
    <w:rsid w:val="53507D63"/>
    <w:rsid w:val="535449BE"/>
    <w:rsid w:val="53547C35"/>
    <w:rsid w:val="535624E4"/>
    <w:rsid w:val="535844AE"/>
    <w:rsid w:val="5358625C"/>
    <w:rsid w:val="535A6478"/>
    <w:rsid w:val="535B7AFB"/>
    <w:rsid w:val="535C3E1A"/>
    <w:rsid w:val="535D1AC5"/>
    <w:rsid w:val="535D7D17"/>
    <w:rsid w:val="53603363"/>
    <w:rsid w:val="536270DB"/>
    <w:rsid w:val="536410A5"/>
    <w:rsid w:val="53646586"/>
    <w:rsid w:val="53656BCB"/>
    <w:rsid w:val="53670B95"/>
    <w:rsid w:val="536746F1"/>
    <w:rsid w:val="536900E8"/>
    <w:rsid w:val="536966BB"/>
    <w:rsid w:val="536D782E"/>
    <w:rsid w:val="536D7D40"/>
    <w:rsid w:val="536E139E"/>
    <w:rsid w:val="536E13A9"/>
    <w:rsid w:val="536F7A4A"/>
    <w:rsid w:val="537112C2"/>
    <w:rsid w:val="53715570"/>
    <w:rsid w:val="5371731E"/>
    <w:rsid w:val="537258E4"/>
    <w:rsid w:val="537312E8"/>
    <w:rsid w:val="5373753A"/>
    <w:rsid w:val="53764934"/>
    <w:rsid w:val="537868FE"/>
    <w:rsid w:val="53791C01"/>
    <w:rsid w:val="53795E99"/>
    <w:rsid w:val="537B019D"/>
    <w:rsid w:val="537C0582"/>
    <w:rsid w:val="537D2167"/>
    <w:rsid w:val="537D63D4"/>
    <w:rsid w:val="537F5EDF"/>
    <w:rsid w:val="538035C5"/>
    <w:rsid w:val="53803A05"/>
    <w:rsid w:val="5382152B"/>
    <w:rsid w:val="538702A4"/>
    <w:rsid w:val="53890B0C"/>
    <w:rsid w:val="538A03E0"/>
    <w:rsid w:val="538C23AA"/>
    <w:rsid w:val="538C4158"/>
    <w:rsid w:val="538E1C7E"/>
    <w:rsid w:val="53901E9A"/>
    <w:rsid w:val="53915C12"/>
    <w:rsid w:val="539179C0"/>
    <w:rsid w:val="53933738"/>
    <w:rsid w:val="539354E6"/>
    <w:rsid w:val="53937294"/>
    <w:rsid w:val="53964FD7"/>
    <w:rsid w:val="53966D85"/>
    <w:rsid w:val="539A011C"/>
    <w:rsid w:val="539A4AC7"/>
    <w:rsid w:val="539A6875"/>
    <w:rsid w:val="539F032F"/>
    <w:rsid w:val="539F20DD"/>
    <w:rsid w:val="539F3E8B"/>
    <w:rsid w:val="53A039CC"/>
    <w:rsid w:val="53A07C03"/>
    <w:rsid w:val="53A14632"/>
    <w:rsid w:val="53A1505A"/>
    <w:rsid w:val="53A34DD9"/>
    <w:rsid w:val="53A476F3"/>
    <w:rsid w:val="53A60C1E"/>
    <w:rsid w:val="53A616BE"/>
    <w:rsid w:val="53A92F5C"/>
    <w:rsid w:val="53A95E5E"/>
    <w:rsid w:val="53AE2320"/>
    <w:rsid w:val="53AE40CE"/>
    <w:rsid w:val="53AF7266"/>
    <w:rsid w:val="53B06098"/>
    <w:rsid w:val="53B13BBE"/>
    <w:rsid w:val="53B174EA"/>
    <w:rsid w:val="53B265DF"/>
    <w:rsid w:val="53B536AF"/>
    <w:rsid w:val="53B70462"/>
    <w:rsid w:val="53BD2563"/>
    <w:rsid w:val="53BD2FC2"/>
    <w:rsid w:val="53C03E02"/>
    <w:rsid w:val="53C15F2D"/>
    <w:rsid w:val="53C20C47"/>
    <w:rsid w:val="53C2401E"/>
    <w:rsid w:val="53C50906"/>
    <w:rsid w:val="53C5766A"/>
    <w:rsid w:val="53C733E2"/>
    <w:rsid w:val="53C953AC"/>
    <w:rsid w:val="53CB14A9"/>
    <w:rsid w:val="53CB2ED2"/>
    <w:rsid w:val="53CC27A6"/>
    <w:rsid w:val="53CD5259"/>
    <w:rsid w:val="53CD699A"/>
    <w:rsid w:val="53CE29C2"/>
    <w:rsid w:val="53CE4770"/>
    <w:rsid w:val="53D004E8"/>
    <w:rsid w:val="53D1600F"/>
    <w:rsid w:val="53D53D51"/>
    <w:rsid w:val="53D578AD"/>
    <w:rsid w:val="53DA4EC3"/>
    <w:rsid w:val="53DB6448"/>
    <w:rsid w:val="53DB6E8D"/>
    <w:rsid w:val="53DF766E"/>
    <w:rsid w:val="53E47AF0"/>
    <w:rsid w:val="53E53868"/>
    <w:rsid w:val="53E61ABA"/>
    <w:rsid w:val="53E75832"/>
    <w:rsid w:val="53E93358"/>
    <w:rsid w:val="53EB70D0"/>
    <w:rsid w:val="53EC4BF7"/>
    <w:rsid w:val="53EE599A"/>
    <w:rsid w:val="53F02939"/>
    <w:rsid w:val="53F27225"/>
    <w:rsid w:val="53F31BCB"/>
    <w:rsid w:val="53F57F4F"/>
    <w:rsid w:val="53F65A75"/>
    <w:rsid w:val="53F81669"/>
    <w:rsid w:val="53F817ED"/>
    <w:rsid w:val="53F8359B"/>
    <w:rsid w:val="53F92DE6"/>
    <w:rsid w:val="53FD5056"/>
    <w:rsid w:val="540168F4"/>
    <w:rsid w:val="5402266C"/>
    <w:rsid w:val="54063E08"/>
    <w:rsid w:val="54065CB8"/>
    <w:rsid w:val="54071A30"/>
    <w:rsid w:val="54076CD8"/>
    <w:rsid w:val="54085ED4"/>
    <w:rsid w:val="540957A8"/>
    <w:rsid w:val="540B0014"/>
    <w:rsid w:val="54106B37"/>
    <w:rsid w:val="541128AF"/>
    <w:rsid w:val="54134879"/>
    <w:rsid w:val="541424FA"/>
    <w:rsid w:val="54177EC5"/>
    <w:rsid w:val="541859EC"/>
    <w:rsid w:val="541A1764"/>
    <w:rsid w:val="541A79B6"/>
    <w:rsid w:val="541B7F5F"/>
    <w:rsid w:val="541C54DC"/>
    <w:rsid w:val="541D2532"/>
    <w:rsid w:val="54216EF1"/>
    <w:rsid w:val="5422686A"/>
    <w:rsid w:val="54232D0E"/>
    <w:rsid w:val="542425E2"/>
    <w:rsid w:val="54256A0E"/>
    <w:rsid w:val="54260108"/>
    <w:rsid w:val="542645AC"/>
    <w:rsid w:val="54274C37"/>
    <w:rsid w:val="54280325"/>
    <w:rsid w:val="54297BF9"/>
    <w:rsid w:val="542B66B1"/>
    <w:rsid w:val="54315F19"/>
    <w:rsid w:val="54316AAD"/>
    <w:rsid w:val="54324007"/>
    <w:rsid w:val="543437E8"/>
    <w:rsid w:val="543547EF"/>
    <w:rsid w:val="543640C4"/>
    <w:rsid w:val="54370568"/>
    <w:rsid w:val="543842E0"/>
    <w:rsid w:val="5438608E"/>
    <w:rsid w:val="54395D73"/>
    <w:rsid w:val="543A3BB4"/>
    <w:rsid w:val="543C792C"/>
    <w:rsid w:val="543D4759"/>
    <w:rsid w:val="54405290"/>
    <w:rsid w:val="544113E6"/>
    <w:rsid w:val="544155CC"/>
    <w:rsid w:val="54422A68"/>
    <w:rsid w:val="5443646B"/>
    <w:rsid w:val="54436F0C"/>
    <w:rsid w:val="54444A33"/>
    <w:rsid w:val="544467E1"/>
    <w:rsid w:val="544638F3"/>
    <w:rsid w:val="544669FD"/>
    <w:rsid w:val="54484523"/>
    <w:rsid w:val="54492049"/>
    <w:rsid w:val="54493DF7"/>
    <w:rsid w:val="54494881"/>
    <w:rsid w:val="544B5DC1"/>
    <w:rsid w:val="544D3AD8"/>
    <w:rsid w:val="544D7D8B"/>
    <w:rsid w:val="544F3B03"/>
    <w:rsid w:val="54501629"/>
    <w:rsid w:val="545033D7"/>
    <w:rsid w:val="54520EFE"/>
    <w:rsid w:val="545253A1"/>
    <w:rsid w:val="54534C76"/>
    <w:rsid w:val="5454111A"/>
    <w:rsid w:val="54541A93"/>
    <w:rsid w:val="54560EE2"/>
    <w:rsid w:val="545729B8"/>
    <w:rsid w:val="54574766"/>
    <w:rsid w:val="5458228C"/>
    <w:rsid w:val="54596730"/>
    <w:rsid w:val="545A4256"/>
    <w:rsid w:val="545C4D54"/>
    <w:rsid w:val="545D5AF4"/>
    <w:rsid w:val="545F361A"/>
    <w:rsid w:val="54613836"/>
    <w:rsid w:val="546225B7"/>
    <w:rsid w:val="54640C31"/>
    <w:rsid w:val="54646E83"/>
    <w:rsid w:val="54656A29"/>
    <w:rsid w:val="546649A9"/>
    <w:rsid w:val="54667870"/>
    <w:rsid w:val="546724CF"/>
    <w:rsid w:val="546B6463"/>
    <w:rsid w:val="546D3F89"/>
    <w:rsid w:val="546D5D37"/>
    <w:rsid w:val="54702CF1"/>
    <w:rsid w:val="547308DD"/>
    <w:rsid w:val="5474356A"/>
    <w:rsid w:val="54753449"/>
    <w:rsid w:val="54754BEC"/>
    <w:rsid w:val="54770964"/>
    <w:rsid w:val="54790B80"/>
    <w:rsid w:val="547A66A6"/>
    <w:rsid w:val="547B46CF"/>
    <w:rsid w:val="547C3BE9"/>
    <w:rsid w:val="547D3662"/>
    <w:rsid w:val="547E551D"/>
    <w:rsid w:val="54813E9E"/>
    <w:rsid w:val="54880DC3"/>
    <w:rsid w:val="548D462B"/>
    <w:rsid w:val="548F2152"/>
    <w:rsid w:val="54905DD2"/>
    <w:rsid w:val="549332C4"/>
    <w:rsid w:val="549534E0"/>
    <w:rsid w:val="549A28A4"/>
    <w:rsid w:val="549C5C1B"/>
    <w:rsid w:val="549E05E7"/>
    <w:rsid w:val="54A11D47"/>
    <w:rsid w:val="54A13C33"/>
    <w:rsid w:val="54A43723"/>
    <w:rsid w:val="54A61249"/>
    <w:rsid w:val="54AD25D8"/>
    <w:rsid w:val="54AF3CC2"/>
    <w:rsid w:val="54B1183C"/>
    <w:rsid w:val="54B24092"/>
    <w:rsid w:val="54B25E40"/>
    <w:rsid w:val="54B501BD"/>
    <w:rsid w:val="54B576DE"/>
    <w:rsid w:val="54BC6CBF"/>
    <w:rsid w:val="54BE47E5"/>
    <w:rsid w:val="54BE4BB3"/>
    <w:rsid w:val="54C0055D"/>
    <w:rsid w:val="54C113BA"/>
    <w:rsid w:val="54C17E31"/>
    <w:rsid w:val="54C66C1F"/>
    <w:rsid w:val="54C811C0"/>
    <w:rsid w:val="54CA318A"/>
    <w:rsid w:val="54CB56A8"/>
    <w:rsid w:val="54CD383A"/>
    <w:rsid w:val="54D04518"/>
    <w:rsid w:val="54D0764D"/>
    <w:rsid w:val="54D23DEC"/>
    <w:rsid w:val="54D52399"/>
    <w:rsid w:val="54DA7145"/>
    <w:rsid w:val="54DB1ED7"/>
    <w:rsid w:val="54DC2EBD"/>
    <w:rsid w:val="54DE1F99"/>
    <w:rsid w:val="54E05D49"/>
    <w:rsid w:val="54E7252D"/>
    <w:rsid w:val="54E83610"/>
    <w:rsid w:val="54EB3100"/>
    <w:rsid w:val="54ED0C26"/>
    <w:rsid w:val="54EF2BF0"/>
    <w:rsid w:val="54EF2C8C"/>
    <w:rsid w:val="54F226E1"/>
    <w:rsid w:val="54F2448F"/>
    <w:rsid w:val="54F40EBF"/>
    <w:rsid w:val="54F621D1"/>
    <w:rsid w:val="54F73313"/>
    <w:rsid w:val="54F80955"/>
    <w:rsid w:val="54F93A6F"/>
    <w:rsid w:val="54FB77E7"/>
    <w:rsid w:val="54FC355F"/>
    <w:rsid w:val="54FC3DE1"/>
    <w:rsid w:val="54FC530D"/>
    <w:rsid w:val="55002762"/>
    <w:rsid w:val="55006BAB"/>
    <w:rsid w:val="55012924"/>
    <w:rsid w:val="550146D2"/>
    <w:rsid w:val="5502065A"/>
    <w:rsid w:val="55050666"/>
    <w:rsid w:val="55066CB3"/>
    <w:rsid w:val="55090751"/>
    <w:rsid w:val="550D751A"/>
    <w:rsid w:val="55102E38"/>
    <w:rsid w:val="55116567"/>
    <w:rsid w:val="5512068D"/>
    <w:rsid w:val="55124B31"/>
    <w:rsid w:val="55132319"/>
    <w:rsid w:val="55142657"/>
    <w:rsid w:val="5516017D"/>
    <w:rsid w:val="55164621"/>
    <w:rsid w:val="551663CF"/>
    <w:rsid w:val="55173EF5"/>
    <w:rsid w:val="5519681B"/>
    <w:rsid w:val="551B1C37"/>
    <w:rsid w:val="551C150B"/>
    <w:rsid w:val="551D14C6"/>
    <w:rsid w:val="551D59AF"/>
    <w:rsid w:val="551E04B6"/>
    <w:rsid w:val="55200FFC"/>
    <w:rsid w:val="55202DAA"/>
    <w:rsid w:val="5520724E"/>
    <w:rsid w:val="55254864"/>
    <w:rsid w:val="55290FD4"/>
    <w:rsid w:val="552A00CC"/>
    <w:rsid w:val="552A1E7A"/>
    <w:rsid w:val="552D196B"/>
    <w:rsid w:val="552D54C7"/>
    <w:rsid w:val="552E03B1"/>
    <w:rsid w:val="552F7491"/>
    <w:rsid w:val="5536081F"/>
    <w:rsid w:val="5539030F"/>
    <w:rsid w:val="553920BD"/>
    <w:rsid w:val="55393E6B"/>
    <w:rsid w:val="554051FA"/>
    <w:rsid w:val="55413249"/>
    <w:rsid w:val="55417F52"/>
    <w:rsid w:val="554250E6"/>
    <w:rsid w:val="55425416"/>
    <w:rsid w:val="554271C4"/>
    <w:rsid w:val="5543118E"/>
    <w:rsid w:val="55450A62"/>
    <w:rsid w:val="554518EE"/>
    <w:rsid w:val="55474366"/>
    <w:rsid w:val="554967A4"/>
    <w:rsid w:val="554A2618"/>
    <w:rsid w:val="554A4C47"/>
    <w:rsid w:val="554B169A"/>
    <w:rsid w:val="554D7917"/>
    <w:rsid w:val="555022BB"/>
    <w:rsid w:val="555170A7"/>
    <w:rsid w:val="55540CA5"/>
    <w:rsid w:val="555701F9"/>
    <w:rsid w:val="5557495E"/>
    <w:rsid w:val="555869E7"/>
    <w:rsid w:val="55592760"/>
    <w:rsid w:val="5559450E"/>
    <w:rsid w:val="555C7B9D"/>
    <w:rsid w:val="555F460E"/>
    <w:rsid w:val="5560589C"/>
    <w:rsid w:val="5563056F"/>
    <w:rsid w:val="55684751"/>
    <w:rsid w:val="55690BF5"/>
    <w:rsid w:val="556A671B"/>
    <w:rsid w:val="556B02A5"/>
    <w:rsid w:val="556B790B"/>
    <w:rsid w:val="556C0470"/>
    <w:rsid w:val="556C2493"/>
    <w:rsid w:val="556C5FEF"/>
    <w:rsid w:val="556C6C12"/>
    <w:rsid w:val="5572737D"/>
    <w:rsid w:val="55747599"/>
    <w:rsid w:val="5579070C"/>
    <w:rsid w:val="5579695E"/>
    <w:rsid w:val="557B0928"/>
    <w:rsid w:val="557B26D6"/>
    <w:rsid w:val="557E3F74"/>
    <w:rsid w:val="557F21C6"/>
    <w:rsid w:val="557F7D44"/>
    <w:rsid w:val="55801A9A"/>
    <w:rsid w:val="558465DA"/>
    <w:rsid w:val="558477DD"/>
    <w:rsid w:val="5587381A"/>
    <w:rsid w:val="5587536D"/>
    <w:rsid w:val="55877734"/>
    <w:rsid w:val="558D41B7"/>
    <w:rsid w:val="558F1CDD"/>
    <w:rsid w:val="55913CA7"/>
    <w:rsid w:val="55915A56"/>
    <w:rsid w:val="5591749D"/>
    <w:rsid w:val="559519EA"/>
    <w:rsid w:val="5596306C"/>
    <w:rsid w:val="55990DAE"/>
    <w:rsid w:val="55995AA0"/>
    <w:rsid w:val="559B174B"/>
    <w:rsid w:val="559B4B26"/>
    <w:rsid w:val="559C3120"/>
    <w:rsid w:val="55A0038E"/>
    <w:rsid w:val="55A0213D"/>
    <w:rsid w:val="55A03EEB"/>
    <w:rsid w:val="55A0725B"/>
    <w:rsid w:val="55A106D3"/>
    <w:rsid w:val="55A10C37"/>
    <w:rsid w:val="55A21A11"/>
    <w:rsid w:val="55A439DB"/>
    <w:rsid w:val="55A64150"/>
    <w:rsid w:val="55A84374"/>
    <w:rsid w:val="55A93701"/>
    <w:rsid w:val="55A95724"/>
    <w:rsid w:val="55A97243"/>
    <w:rsid w:val="55AA4D69"/>
    <w:rsid w:val="55AC40A5"/>
    <w:rsid w:val="55AE6607"/>
    <w:rsid w:val="55B160F8"/>
    <w:rsid w:val="55B41744"/>
    <w:rsid w:val="55B57FD9"/>
    <w:rsid w:val="55B856D8"/>
    <w:rsid w:val="55BA66A9"/>
    <w:rsid w:val="55BD75FE"/>
    <w:rsid w:val="55BE206B"/>
    <w:rsid w:val="55BE25C3"/>
    <w:rsid w:val="55C4407D"/>
    <w:rsid w:val="55C45E2B"/>
    <w:rsid w:val="55C477B9"/>
    <w:rsid w:val="55C71477"/>
    <w:rsid w:val="55C81556"/>
    <w:rsid w:val="55C93441"/>
    <w:rsid w:val="55CA0F67"/>
    <w:rsid w:val="55CA6AFA"/>
    <w:rsid w:val="55CA71B9"/>
    <w:rsid w:val="55CE0CF4"/>
    <w:rsid w:val="55CF5DA5"/>
    <w:rsid w:val="55D4662A"/>
    <w:rsid w:val="55D51354"/>
    <w:rsid w:val="55D96EB2"/>
    <w:rsid w:val="55DD601F"/>
    <w:rsid w:val="55DD6EED"/>
    <w:rsid w:val="55E069DD"/>
    <w:rsid w:val="55E262B1"/>
    <w:rsid w:val="55E31258"/>
    <w:rsid w:val="55E42029"/>
    <w:rsid w:val="55E4515A"/>
    <w:rsid w:val="55E464CD"/>
    <w:rsid w:val="55E55DA1"/>
    <w:rsid w:val="55E74E88"/>
    <w:rsid w:val="55EA175E"/>
    <w:rsid w:val="55EA1914"/>
    <w:rsid w:val="55EE07D2"/>
    <w:rsid w:val="55EE6D21"/>
    <w:rsid w:val="55F04E72"/>
    <w:rsid w:val="55F67FAE"/>
    <w:rsid w:val="55FA527D"/>
    <w:rsid w:val="55FB49CB"/>
    <w:rsid w:val="55FF082E"/>
    <w:rsid w:val="56001767"/>
    <w:rsid w:val="56010E2D"/>
    <w:rsid w:val="56010E41"/>
    <w:rsid w:val="560224C8"/>
    <w:rsid w:val="56027B94"/>
    <w:rsid w:val="560477BF"/>
    <w:rsid w:val="56066443"/>
    <w:rsid w:val="56073F6A"/>
    <w:rsid w:val="560A5808"/>
    <w:rsid w:val="560B1CAC"/>
    <w:rsid w:val="560C0A43"/>
    <w:rsid w:val="560C1580"/>
    <w:rsid w:val="56102E1E"/>
    <w:rsid w:val="561227A5"/>
    <w:rsid w:val="5612303A"/>
    <w:rsid w:val="5612773F"/>
    <w:rsid w:val="56152E93"/>
    <w:rsid w:val="56153189"/>
    <w:rsid w:val="56153315"/>
    <w:rsid w:val="56174569"/>
    <w:rsid w:val="561A3C9D"/>
    <w:rsid w:val="561A5A4B"/>
    <w:rsid w:val="561D19DF"/>
    <w:rsid w:val="561D1AA7"/>
    <w:rsid w:val="561F12B3"/>
    <w:rsid w:val="561F3061"/>
    <w:rsid w:val="56220DA3"/>
    <w:rsid w:val="56222B52"/>
    <w:rsid w:val="56262642"/>
    <w:rsid w:val="56262A81"/>
    <w:rsid w:val="56285713"/>
    <w:rsid w:val="562A3ADE"/>
    <w:rsid w:val="562B40FC"/>
    <w:rsid w:val="562B5EAA"/>
    <w:rsid w:val="562C39D0"/>
    <w:rsid w:val="562C7C5F"/>
    <w:rsid w:val="562E14F6"/>
    <w:rsid w:val="562E599A"/>
    <w:rsid w:val="562E5E91"/>
    <w:rsid w:val="562E7748"/>
    <w:rsid w:val="56356D29"/>
    <w:rsid w:val="56372AA1"/>
    <w:rsid w:val="563C38EF"/>
    <w:rsid w:val="563D798B"/>
    <w:rsid w:val="563F1955"/>
    <w:rsid w:val="56412002"/>
    <w:rsid w:val="56431446"/>
    <w:rsid w:val="564451BE"/>
    <w:rsid w:val="56464A92"/>
    <w:rsid w:val="564B02FA"/>
    <w:rsid w:val="564B20A8"/>
    <w:rsid w:val="564B654C"/>
    <w:rsid w:val="564F34A5"/>
    <w:rsid w:val="56505911"/>
    <w:rsid w:val="565151E5"/>
    <w:rsid w:val="56521689"/>
    <w:rsid w:val="565371AF"/>
    <w:rsid w:val="56541C63"/>
    <w:rsid w:val="565A05B8"/>
    <w:rsid w:val="565F7902"/>
    <w:rsid w:val="566413BC"/>
    <w:rsid w:val="56680EAC"/>
    <w:rsid w:val="56690776"/>
    <w:rsid w:val="56694C24"/>
    <w:rsid w:val="566969D2"/>
    <w:rsid w:val="566B274A"/>
    <w:rsid w:val="566D3BAC"/>
    <w:rsid w:val="566D64C3"/>
    <w:rsid w:val="566D6833"/>
    <w:rsid w:val="566E5A3F"/>
    <w:rsid w:val="566E5D97"/>
    <w:rsid w:val="56703852"/>
    <w:rsid w:val="56707D61"/>
    <w:rsid w:val="56725DB7"/>
    <w:rsid w:val="567333AD"/>
    <w:rsid w:val="567710EF"/>
    <w:rsid w:val="56786C15"/>
    <w:rsid w:val="567A40FD"/>
    <w:rsid w:val="567A473C"/>
    <w:rsid w:val="567B5323"/>
    <w:rsid w:val="567C24C2"/>
    <w:rsid w:val="567C616C"/>
    <w:rsid w:val="567D48F7"/>
    <w:rsid w:val="567F1D52"/>
    <w:rsid w:val="56811F6E"/>
    <w:rsid w:val="56835CE6"/>
    <w:rsid w:val="5684380C"/>
    <w:rsid w:val="56854E9D"/>
    <w:rsid w:val="56867584"/>
    <w:rsid w:val="568832FC"/>
    <w:rsid w:val="568850AA"/>
    <w:rsid w:val="56895CE1"/>
    <w:rsid w:val="568B3962"/>
    <w:rsid w:val="568B4B9B"/>
    <w:rsid w:val="568C18E1"/>
    <w:rsid w:val="568E5BFB"/>
    <w:rsid w:val="568E5D67"/>
    <w:rsid w:val="568E6439"/>
    <w:rsid w:val="56925F29"/>
    <w:rsid w:val="56937914"/>
    <w:rsid w:val="56951575"/>
    <w:rsid w:val="569577C7"/>
    <w:rsid w:val="5697055A"/>
    <w:rsid w:val="56973529"/>
    <w:rsid w:val="569752EE"/>
    <w:rsid w:val="5697709C"/>
    <w:rsid w:val="569972B8"/>
    <w:rsid w:val="569A6B8C"/>
    <w:rsid w:val="569F41A2"/>
    <w:rsid w:val="56A1616C"/>
    <w:rsid w:val="56A25A40"/>
    <w:rsid w:val="56A415B7"/>
    <w:rsid w:val="56A45C5C"/>
    <w:rsid w:val="56A47A0A"/>
    <w:rsid w:val="56A812A9"/>
    <w:rsid w:val="56A8574D"/>
    <w:rsid w:val="56A874FB"/>
    <w:rsid w:val="56A95021"/>
    <w:rsid w:val="56A96DCF"/>
    <w:rsid w:val="56AB0D99"/>
    <w:rsid w:val="56AB6FEB"/>
    <w:rsid w:val="56AD4B11"/>
    <w:rsid w:val="56AE2637"/>
    <w:rsid w:val="56B22A9C"/>
    <w:rsid w:val="56B3594B"/>
    <w:rsid w:val="56B37C4E"/>
    <w:rsid w:val="56BA0FDC"/>
    <w:rsid w:val="56BC2FA6"/>
    <w:rsid w:val="56BD7224"/>
    <w:rsid w:val="56C105BC"/>
    <w:rsid w:val="56C1680E"/>
    <w:rsid w:val="56C25907"/>
    <w:rsid w:val="56C63E25"/>
    <w:rsid w:val="56C8194B"/>
    <w:rsid w:val="56C854A7"/>
    <w:rsid w:val="56C91F59"/>
    <w:rsid w:val="56CC2CAD"/>
    <w:rsid w:val="56CD51B3"/>
    <w:rsid w:val="56CE6835"/>
    <w:rsid w:val="56D151D5"/>
    <w:rsid w:val="56D26326"/>
    <w:rsid w:val="56D928AE"/>
    <w:rsid w:val="56D93B58"/>
    <w:rsid w:val="56D96D69"/>
    <w:rsid w:val="56DE2F1C"/>
    <w:rsid w:val="56DE4CCA"/>
    <w:rsid w:val="56E147BB"/>
    <w:rsid w:val="56E61DD1"/>
    <w:rsid w:val="56E83D9B"/>
    <w:rsid w:val="56E878F7"/>
    <w:rsid w:val="56ED1091"/>
    <w:rsid w:val="56ED7603"/>
    <w:rsid w:val="56F0041D"/>
    <w:rsid w:val="56F05104"/>
    <w:rsid w:val="56F42740"/>
    <w:rsid w:val="56F5120B"/>
    <w:rsid w:val="56F640C1"/>
    <w:rsid w:val="56F664B8"/>
    <w:rsid w:val="56F72230"/>
    <w:rsid w:val="56F95FA8"/>
    <w:rsid w:val="56F97D56"/>
    <w:rsid w:val="56FB3474"/>
    <w:rsid w:val="56FC7846"/>
    <w:rsid w:val="570010E5"/>
    <w:rsid w:val="570109B9"/>
    <w:rsid w:val="57014E5D"/>
    <w:rsid w:val="5702757A"/>
    <w:rsid w:val="57032983"/>
    <w:rsid w:val="57034731"/>
    <w:rsid w:val="570404A9"/>
    <w:rsid w:val="570566FB"/>
    <w:rsid w:val="570606C5"/>
    <w:rsid w:val="57081D47"/>
    <w:rsid w:val="570959F2"/>
    <w:rsid w:val="570A4F76"/>
    <w:rsid w:val="570B1D7A"/>
    <w:rsid w:val="570B7A8A"/>
    <w:rsid w:val="570C5CDB"/>
    <w:rsid w:val="570D3802"/>
    <w:rsid w:val="570D55B0"/>
    <w:rsid w:val="570F1328"/>
    <w:rsid w:val="570F757A"/>
    <w:rsid w:val="571050A0"/>
    <w:rsid w:val="57162C8D"/>
    <w:rsid w:val="57174680"/>
    <w:rsid w:val="571B7CCD"/>
    <w:rsid w:val="571C2C91"/>
    <w:rsid w:val="571E5A0F"/>
    <w:rsid w:val="572052E3"/>
    <w:rsid w:val="57215838"/>
    <w:rsid w:val="57233025"/>
    <w:rsid w:val="57234DD3"/>
    <w:rsid w:val="57266671"/>
    <w:rsid w:val="57292CED"/>
    <w:rsid w:val="572A373B"/>
    <w:rsid w:val="572B3C88"/>
    <w:rsid w:val="572D5C52"/>
    <w:rsid w:val="572D7A00"/>
    <w:rsid w:val="5730129E"/>
    <w:rsid w:val="573214BA"/>
    <w:rsid w:val="5737262D"/>
    <w:rsid w:val="57376AD1"/>
    <w:rsid w:val="57393A25"/>
    <w:rsid w:val="573945F7"/>
    <w:rsid w:val="573A23FB"/>
    <w:rsid w:val="573B211D"/>
    <w:rsid w:val="573C40E7"/>
    <w:rsid w:val="573E1C0D"/>
    <w:rsid w:val="573E2D84"/>
    <w:rsid w:val="573E39BB"/>
    <w:rsid w:val="573E7E5F"/>
    <w:rsid w:val="574134AB"/>
    <w:rsid w:val="574305EE"/>
    <w:rsid w:val="57437223"/>
    <w:rsid w:val="574A05B2"/>
    <w:rsid w:val="574C257C"/>
    <w:rsid w:val="574D0A20"/>
    <w:rsid w:val="574D1ABF"/>
    <w:rsid w:val="574D3BFE"/>
    <w:rsid w:val="5750026A"/>
    <w:rsid w:val="57500996"/>
    <w:rsid w:val="575136EE"/>
    <w:rsid w:val="57516256"/>
    <w:rsid w:val="57521214"/>
    <w:rsid w:val="57541992"/>
    <w:rsid w:val="57544F8D"/>
    <w:rsid w:val="575723B6"/>
    <w:rsid w:val="57580F21"/>
    <w:rsid w:val="575A2A48"/>
    <w:rsid w:val="575C02E5"/>
    <w:rsid w:val="57601B83"/>
    <w:rsid w:val="5761234D"/>
    <w:rsid w:val="576553EC"/>
    <w:rsid w:val="57664CC0"/>
    <w:rsid w:val="57672F12"/>
    <w:rsid w:val="576C274C"/>
    <w:rsid w:val="576D7968"/>
    <w:rsid w:val="576F0018"/>
    <w:rsid w:val="576F1DC6"/>
    <w:rsid w:val="576F39C9"/>
    <w:rsid w:val="576F626A"/>
    <w:rsid w:val="577048AF"/>
    <w:rsid w:val="57713D91"/>
    <w:rsid w:val="57763155"/>
    <w:rsid w:val="5778511F"/>
    <w:rsid w:val="5778653A"/>
    <w:rsid w:val="577C44E3"/>
    <w:rsid w:val="577E025B"/>
    <w:rsid w:val="577E46FF"/>
    <w:rsid w:val="57802226"/>
    <w:rsid w:val="578028BD"/>
    <w:rsid w:val="57805D82"/>
    <w:rsid w:val="57825F9E"/>
    <w:rsid w:val="57827D4C"/>
    <w:rsid w:val="578420C8"/>
    <w:rsid w:val="578515EA"/>
    <w:rsid w:val="578A4E52"/>
    <w:rsid w:val="578B761B"/>
    <w:rsid w:val="578C0BCA"/>
    <w:rsid w:val="578C4726"/>
    <w:rsid w:val="578F06BB"/>
    <w:rsid w:val="578F08A2"/>
    <w:rsid w:val="578F2469"/>
    <w:rsid w:val="579315BC"/>
    <w:rsid w:val="57934005"/>
    <w:rsid w:val="57947A7F"/>
    <w:rsid w:val="57952240"/>
    <w:rsid w:val="57961A49"/>
    <w:rsid w:val="579655A5"/>
    <w:rsid w:val="579730CB"/>
    <w:rsid w:val="5798639A"/>
    <w:rsid w:val="579B0E0D"/>
    <w:rsid w:val="579B2BBB"/>
    <w:rsid w:val="579E061E"/>
    <w:rsid w:val="57A061D8"/>
    <w:rsid w:val="57A75A04"/>
    <w:rsid w:val="57A777B2"/>
    <w:rsid w:val="57AD653C"/>
    <w:rsid w:val="57AE0B6B"/>
    <w:rsid w:val="57B00294"/>
    <w:rsid w:val="57B10A48"/>
    <w:rsid w:val="57B65C47"/>
    <w:rsid w:val="57B6693B"/>
    <w:rsid w:val="57B72A76"/>
    <w:rsid w:val="57B95737"/>
    <w:rsid w:val="57BC1059"/>
    <w:rsid w:val="57BC345F"/>
    <w:rsid w:val="57BC3EBC"/>
    <w:rsid w:val="57BE6088"/>
    <w:rsid w:val="57BF2D4E"/>
    <w:rsid w:val="57C15E41"/>
    <w:rsid w:val="57C253EC"/>
    <w:rsid w:val="57C3426C"/>
    <w:rsid w:val="57C34301"/>
    <w:rsid w:val="57C40364"/>
    <w:rsid w:val="57CA44D7"/>
    <w:rsid w:val="57CD4D3F"/>
    <w:rsid w:val="57CE1F93"/>
    <w:rsid w:val="57CF0AB7"/>
    <w:rsid w:val="57D04F5B"/>
    <w:rsid w:val="57D065BB"/>
    <w:rsid w:val="57D1482F"/>
    <w:rsid w:val="57D52571"/>
    <w:rsid w:val="57D60097"/>
    <w:rsid w:val="57D63BF4"/>
    <w:rsid w:val="57D8796C"/>
    <w:rsid w:val="57D91936"/>
    <w:rsid w:val="57D94DFC"/>
    <w:rsid w:val="57DA7B88"/>
    <w:rsid w:val="57DB3900"/>
    <w:rsid w:val="57DD4F82"/>
    <w:rsid w:val="57DE0CFA"/>
    <w:rsid w:val="57DE5D88"/>
    <w:rsid w:val="57DE6F4C"/>
    <w:rsid w:val="57DF00DB"/>
    <w:rsid w:val="57E00F16"/>
    <w:rsid w:val="57E106DA"/>
    <w:rsid w:val="57E25507"/>
    <w:rsid w:val="57E26A3C"/>
    <w:rsid w:val="57E73000"/>
    <w:rsid w:val="57E83927"/>
    <w:rsid w:val="57EC78BB"/>
    <w:rsid w:val="57EE0EDB"/>
    <w:rsid w:val="57EE3633"/>
    <w:rsid w:val="57F30C49"/>
    <w:rsid w:val="57F329F7"/>
    <w:rsid w:val="57F64296"/>
    <w:rsid w:val="57F746C5"/>
    <w:rsid w:val="57F9079B"/>
    <w:rsid w:val="57F95B34"/>
    <w:rsid w:val="57FE314A"/>
    <w:rsid w:val="58000703"/>
    <w:rsid w:val="58003366"/>
    <w:rsid w:val="580077EC"/>
    <w:rsid w:val="580621F1"/>
    <w:rsid w:val="580764A3"/>
    <w:rsid w:val="580A1AEF"/>
    <w:rsid w:val="580B0D23"/>
    <w:rsid w:val="580C3AB9"/>
    <w:rsid w:val="58117322"/>
    <w:rsid w:val="58134E48"/>
    <w:rsid w:val="58156E12"/>
    <w:rsid w:val="58164938"/>
    <w:rsid w:val="58172929"/>
    <w:rsid w:val="581B3CFC"/>
    <w:rsid w:val="581D136C"/>
    <w:rsid w:val="581F685D"/>
    <w:rsid w:val="582025F3"/>
    <w:rsid w:val="58207CED"/>
    <w:rsid w:val="58261B55"/>
    <w:rsid w:val="58262DCD"/>
    <w:rsid w:val="5827601C"/>
    <w:rsid w:val="58276B45"/>
    <w:rsid w:val="5829466B"/>
    <w:rsid w:val="582A0B3F"/>
    <w:rsid w:val="582A3970"/>
    <w:rsid w:val="582A3F3F"/>
    <w:rsid w:val="582C415B"/>
    <w:rsid w:val="582C7CB7"/>
    <w:rsid w:val="582E2E4D"/>
    <w:rsid w:val="582E78D8"/>
    <w:rsid w:val="58301BAD"/>
    <w:rsid w:val="58316364"/>
    <w:rsid w:val="58353010"/>
    <w:rsid w:val="583628E4"/>
    <w:rsid w:val="58385F74"/>
    <w:rsid w:val="583A0626"/>
    <w:rsid w:val="583A1FD3"/>
    <w:rsid w:val="583C439E"/>
    <w:rsid w:val="584119B5"/>
    <w:rsid w:val="584176A2"/>
    <w:rsid w:val="5842572D"/>
    <w:rsid w:val="58450D79"/>
    <w:rsid w:val="584541FF"/>
    <w:rsid w:val="58466FCB"/>
    <w:rsid w:val="58492617"/>
    <w:rsid w:val="584B1DC8"/>
    <w:rsid w:val="584B45E2"/>
    <w:rsid w:val="584E40D2"/>
    <w:rsid w:val="584E5E80"/>
    <w:rsid w:val="58501BF8"/>
    <w:rsid w:val="5851771E"/>
    <w:rsid w:val="58555460"/>
    <w:rsid w:val="58580AAD"/>
    <w:rsid w:val="5859226E"/>
    <w:rsid w:val="58594DCC"/>
    <w:rsid w:val="5859635C"/>
    <w:rsid w:val="585F1E3B"/>
    <w:rsid w:val="586025AF"/>
    <w:rsid w:val="58613E05"/>
    <w:rsid w:val="58620629"/>
    <w:rsid w:val="586438F5"/>
    <w:rsid w:val="58651FBA"/>
    <w:rsid w:val="58666DDC"/>
    <w:rsid w:val="58670CF0"/>
    <w:rsid w:val="5867349B"/>
    <w:rsid w:val="586846F8"/>
    <w:rsid w:val="586B4C84"/>
    <w:rsid w:val="586B6DBF"/>
    <w:rsid w:val="586C27AA"/>
    <w:rsid w:val="586C4558"/>
    <w:rsid w:val="58711818"/>
    <w:rsid w:val="587130A7"/>
    <w:rsid w:val="58742912"/>
    <w:rsid w:val="58773629"/>
    <w:rsid w:val="58782EFD"/>
    <w:rsid w:val="587A0A23"/>
    <w:rsid w:val="587A5C90"/>
    <w:rsid w:val="587D3437"/>
    <w:rsid w:val="587E5B38"/>
    <w:rsid w:val="58801DB1"/>
    <w:rsid w:val="58806DB2"/>
    <w:rsid w:val="58816255"/>
    <w:rsid w:val="58824504"/>
    <w:rsid w:val="58825B29"/>
    <w:rsid w:val="58847AF3"/>
    <w:rsid w:val="588743D1"/>
    <w:rsid w:val="5887701A"/>
    <w:rsid w:val="588A7B3A"/>
    <w:rsid w:val="588C69A8"/>
    <w:rsid w:val="588D4BFA"/>
    <w:rsid w:val="588E44CE"/>
    <w:rsid w:val="588F099D"/>
    <w:rsid w:val="58904F59"/>
    <w:rsid w:val="5895292F"/>
    <w:rsid w:val="58992408"/>
    <w:rsid w:val="58A106A5"/>
    <w:rsid w:val="58A14202"/>
    <w:rsid w:val="58A91B08"/>
    <w:rsid w:val="58AC2BA6"/>
    <w:rsid w:val="58AE2DC2"/>
    <w:rsid w:val="58AE4B70"/>
    <w:rsid w:val="58B101BD"/>
    <w:rsid w:val="58B17BBB"/>
    <w:rsid w:val="58B23B1E"/>
    <w:rsid w:val="58B303D9"/>
    <w:rsid w:val="58B905E9"/>
    <w:rsid w:val="58BA1767"/>
    <w:rsid w:val="58BC103B"/>
    <w:rsid w:val="58BC728D"/>
    <w:rsid w:val="58BE2FCB"/>
    <w:rsid w:val="58BE3005"/>
    <w:rsid w:val="58BE6D40"/>
    <w:rsid w:val="58BF28DA"/>
    <w:rsid w:val="58BF4466"/>
    <w:rsid w:val="58BF4A88"/>
    <w:rsid w:val="58BF6D7E"/>
    <w:rsid w:val="58C12AF6"/>
    <w:rsid w:val="58C15149"/>
    <w:rsid w:val="58C3061C"/>
    <w:rsid w:val="58C425E6"/>
    <w:rsid w:val="58C63C68"/>
    <w:rsid w:val="58C725A2"/>
    <w:rsid w:val="58C779E0"/>
    <w:rsid w:val="58C92F26"/>
    <w:rsid w:val="58CB38C0"/>
    <w:rsid w:val="58CD4FF7"/>
    <w:rsid w:val="58D16CDC"/>
    <w:rsid w:val="58D41A42"/>
    <w:rsid w:val="58D520FD"/>
    <w:rsid w:val="58D72ED1"/>
    <w:rsid w:val="58D77C23"/>
    <w:rsid w:val="58D81BED"/>
    <w:rsid w:val="58DC7930"/>
    <w:rsid w:val="58DE6EB1"/>
    <w:rsid w:val="58DF11CE"/>
    <w:rsid w:val="58E0166F"/>
    <w:rsid w:val="58E26CC3"/>
    <w:rsid w:val="58E3481A"/>
    <w:rsid w:val="58E356F5"/>
    <w:rsid w:val="58E81E30"/>
    <w:rsid w:val="58E862D4"/>
    <w:rsid w:val="58E97957"/>
    <w:rsid w:val="58EB1921"/>
    <w:rsid w:val="58EB36CF"/>
    <w:rsid w:val="58EB7B73"/>
    <w:rsid w:val="58EE0969"/>
    <w:rsid w:val="58EE0FAF"/>
    <w:rsid w:val="58EE71FC"/>
    <w:rsid w:val="58F03289"/>
    <w:rsid w:val="58F033DB"/>
    <w:rsid w:val="58F217CD"/>
    <w:rsid w:val="58F22CAF"/>
    <w:rsid w:val="58F307D5"/>
    <w:rsid w:val="58F509F1"/>
    <w:rsid w:val="58F7058B"/>
    <w:rsid w:val="58FC3B2E"/>
    <w:rsid w:val="58FD59A4"/>
    <w:rsid w:val="58FF2611"/>
    <w:rsid w:val="5900361E"/>
    <w:rsid w:val="59034EBC"/>
    <w:rsid w:val="590649AC"/>
    <w:rsid w:val="59097FF9"/>
    <w:rsid w:val="590A624B"/>
    <w:rsid w:val="590B6C2A"/>
    <w:rsid w:val="590D5D3B"/>
    <w:rsid w:val="590D7AE9"/>
    <w:rsid w:val="59103135"/>
    <w:rsid w:val="59155255"/>
    <w:rsid w:val="59162E41"/>
    <w:rsid w:val="591671CE"/>
    <w:rsid w:val="59172716"/>
    <w:rsid w:val="59181005"/>
    <w:rsid w:val="59184390"/>
    <w:rsid w:val="591946E0"/>
    <w:rsid w:val="591C5F7E"/>
    <w:rsid w:val="59222E58"/>
    <w:rsid w:val="592310BA"/>
    <w:rsid w:val="59244AC5"/>
    <w:rsid w:val="59246BE1"/>
    <w:rsid w:val="59253085"/>
    <w:rsid w:val="5928495F"/>
    <w:rsid w:val="592A069B"/>
    <w:rsid w:val="592B226D"/>
    <w:rsid w:val="592D018B"/>
    <w:rsid w:val="592D72FD"/>
    <w:rsid w:val="592E180D"/>
    <w:rsid w:val="59301A29"/>
    <w:rsid w:val="5932754F"/>
    <w:rsid w:val="5934151A"/>
    <w:rsid w:val="593432C8"/>
    <w:rsid w:val="59352279"/>
    <w:rsid w:val="59352B9C"/>
    <w:rsid w:val="59367040"/>
    <w:rsid w:val="59372DB8"/>
    <w:rsid w:val="593B4656"/>
    <w:rsid w:val="593E31A1"/>
    <w:rsid w:val="593E5EF4"/>
    <w:rsid w:val="593E7CA2"/>
    <w:rsid w:val="593F3A1A"/>
    <w:rsid w:val="5943351E"/>
    <w:rsid w:val="594429EC"/>
    <w:rsid w:val="594700E3"/>
    <w:rsid w:val="59480A1F"/>
    <w:rsid w:val="59480B21"/>
    <w:rsid w:val="594828CF"/>
    <w:rsid w:val="59484FC5"/>
    <w:rsid w:val="59492A03"/>
    <w:rsid w:val="594A37A2"/>
    <w:rsid w:val="594B23BF"/>
    <w:rsid w:val="594D25DB"/>
    <w:rsid w:val="59500F2F"/>
    <w:rsid w:val="59505C28"/>
    <w:rsid w:val="59554FEC"/>
    <w:rsid w:val="595555D6"/>
    <w:rsid w:val="59570D64"/>
    <w:rsid w:val="59575208"/>
    <w:rsid w:val="59577BD8"/>
    <w:rsid w:val="59592D2E"/>
    <w:rsid w:val="595B4CF8"/>
    <w:rsid w:val="595B6AA6"/>
    <w:rsid w:val="595C2A60"/>
    <w:rsid w:val="595C637A"/>
    <w:rsid w:val="595D0E79"/>
    <w:rsid w:val="596040BD"/>
    <w:rsid w:val="59617E35"/>
    <w:rsid w:val="59633BAD"/>
    <w:rsid w:val="59682F71"/>
    <w:rsid w:val="596A0A97"/>
    <w:rsid w:val="596B5787"/>
    <w:rsid w:val="596D0588"/>
    <w:rsid w:val="59701E26"/>
    <w:rsid w:val="59701E3C"/>
    <w:rsid w:val="597162CA"/>
    <w:rsid w:val="59723DF0"/>
    <w:rsid w:val="59755C3F"/>
    <w:rsid w:val="5975743C"/>
    <w:rsid w:val="5976568E"/>
    <w:rsid w:val="597703BB"/>
    <w:rsid w:val="5977511C"/>
    <w:rsid w:val="597A37CA"/>
    <w:rsid w:val="597B0EF6"/>
    <w:rsid w:val="597E4543"/>
    <w:rsid w:val="5980650D"/>
    <w:rsid w:val="598135DE"/>
    <w:rsid w:val="59821EFA"/>
    <w:rsid w:val="59832A99"/>
    <w:rsid w:val="59853B23"/>
    <w:rsid w:val="59861649"/>
    <w:rsid w:val="598633F7"/>
    <w:rsid w:val="59883613"/>
    <w:rsid w:val="598A2EE8"/>
    <w:rsid w:val="598C4EB2"/>
    <w:rsid w:val="598D4786"/>
    <w:rsid w:val="59914276"/>
    <w:rsid w:val="59934492"/>
    <w:rsid w:val="59943D66"/>
    <w:rsid w:val="59975605"/>
    <w:rsid w:val="59981AA8"/>
    <w:rsid w:val="599864FB"/>
    <w:rsid w:val="5999137D"/>
    <w:rsid w:val="5999312B"/>
    <w:rsid w:val="599945E0"/>
    <w:rsid w:val="599B3347"/>
    <w:rsid w:val="599E0C2C"/>
    <w:rsid w:val="599E6993"/>
    <w:rsid w:val="59A0095D"/>
    <w:rsid w:val="59A3044D"/>
    <w:rsid w:val="59A476E7"/>
    <w:rsid w:val="59A55F73"/>
    <w:rsid w:val="59A57D21"/>
    <w:rsid w:val="59A8341F"/>
    <w:rsid w:val="59AA17DC"/>
    <w:rsid w:val="59AA5D32"/>
    <w:rsid w:val="59AD30EF"/>
    <w:rsid w:val="59AD6BD6"/>
    <w:rsid w:val="59AE56D9"/>
    <w:rsid w:val="59AF4917"/>
    <w:rsid w:val="59AF6DF2"/>
    <w:rsid w:val="59B12B6A"/>
    <w:rsid w:val="59B368E2"/>
    <w:rsid w:val="59B37636"/>
    <w:rsid w:val="59B47F65"/>
    <w:rsid w:val="59B85CA7"/>
    <w:rsid w:val="59B90640"/>
    <w:rsid w:val="59B9557B"/>
    <w:rsid w:val="59BC506B"/>
    <w:rsid w:val="59BD150F"/>
    <w:rsid w:val="59C0439F"/>
    <w:rsid w:val="59C208D3"/>
    <w:rsid w:val="59C503C4"/>
    <w:rsid w:val="59C54E70"/>
    <w:rsid w:val="59C56616"/>
    <w:rsid w:val="59C81C62"/>
    <w:rsid w:val="59CC1752"/>
    <w:rsid w:val="59CC3E61"/>
    <w:rsid w:val="59CF1242"/>
    <w:rsid w:val="59D14FBA"/>
    <w:rsid w:val="59D2663D"/>
    <w:rsid w:val="59D46859"/>
    <w:rsid w:val="59DB1995"/>
    <w:rsid w:val="59DE3233"/>
    <w:rsid w:val="59DE4FE1"/>
    <w:rsid w:val="59E21F44"/>
    <w:rsid w:val="59E22CA3"/>
    <w:rsid w:val="59E36A9C"/>
    <w:rsid w:val="59E446EB"/>
    <w:rsid w:val="59E720E8"/>
    <w:rsid w:val="59E85E60"/>
    <w:rsid w:val="59E97F64"/>
    <w:rsid w:val="59EA7E2A"/>
    <w:rsid w:val="59EC5950"/>
    <w:rsid w:val="59ED3476"/>
    <w:rsid w:val="59EE791A"/>
    <w:rsid w:val="59EF453A"/>
    <w:rsid w:val="59EF71EF"/>
    <w:rsid w:val="59F12EF4"/>
    <w:rsid w:val="59F34F31"/>
    <w:rsid w:val="59F36CDF"/>
    <w:rsid w:val="59F44805"/>
    <w:rsid w:val="59F6057D"/>
    <w:rsid w:val="59F64A21"/>
    <w:rsid w:val="59F73C32"/>
    <w:rsid w:val="59F760A3"/>
    <w:rsid w:val="59FC0431"/>
    <w:rsid w:val="59FD1648"/>
    <w:rsid w:val="59FD190B"/>
    <w:rsid w:val="59FD7B5D"/>
    <w:rsid w:val="59FE5733"/>
    <w:rsid w:val="59FE7432"/>
    <w:rsid w:val="5A0238BB"/>
    <w:rsid w:val="5A0507C0"/>
    <w:rsid w:val="5A0900FB"/>
    <w:rsid w:val="5A0A04CC"/>
    <w:rsid w:val="5A0B1691"/>
    <w:rsid w:val="5A0C7DA1"/>
    <w:rsid w:val="5A0E1D6B"/>
    <w:rsid w:val="5A0E3B19"/>
    <w:rsid w:val="5A0E5CBB"/>
    <w:rsid w:val="5A144CFE"/>
    <w:rsid w:val="5A160C1F"/>
    <w:rsid w:val="5A1B7FE4"/>
    <w:rsid w:val="5A1C6887"/>
    <w:rsid w:val="5A1F7AD4"/>
    <w:rsid w:val="5A221372"/>
    <w:rsid w:val="5A236C86"/>
    <w:rsid w:val="5A2507B8"/>
    <w:rsid w:val="5A2570B4"/>
    <w:rsid w:val="5A276F81"/>
    <w:rsid w:val="5A290952"/>
    <w:rsid w:val="5A292701"/>
    <w:rsid w:val="5A2A6479"/>
    <w:rsid w:val="5A2C21F1"/>
    <w:rsid w:val="5A2D3FC0"/>
    <w:rsid w:val="5A2D764F"/>
    <w:rsid w:val="5A2E5F69"/>
    <w:rsid w:val="5A2E7D17"/>
    <w:rsid w:val="5A3115B5"/>
    <w:rsid w:val="5A33357F"/>
    <w:rsid w:val="5A372F59"/>
    <w:rsid w:val="5A382944"/>
    <w:rsid w:val="5A3966BC"/>
    <w:rsid w:val="5A3A0259"/>
    <w:rsid w:val="5A3A15EA"/>
    <w:rsid w:val="5A3B0686"/>
    <w:rsid w:val="5A3B2434"/>
    <w:rsid w:val="5A3B7191"/>
    <w:rsid w:val="5A3D6ADB"/>
    <w:rsid w:val="5A427C66"/>
    <w:rsid w:val="5A435360"/>
    <w:rsid w:val="5A455061"/>
    <w:rsid w:val="5A467ED2"/>
    <w:rsid w:val="5A494B51"/>
    <w:rsid w:val="5A4A2677"/>
    <w:rsid w:val="5A4A4460"/>
    <w:rsid w:val="5A4B256F"/>
    <w:rsid w:val="5A4E03B9"/>
    <w:rsid w:val="5A4F5EDF"/>
    <w:rsid w:val="5A513A05"/>
    <w:rsid w:val="5A581238"/>
    <w:rsid w:val="5A5B2AD6"/>
    <w:rsid w:val="5A5B4884"/>
    <w:rsid w:val="5A6000EC"/>
    <w:rsid w:val="5A6279C1"/>
    <w:rsid w:val="5A64198B"/>
    <w:rsid w:val="5A6574B1"/>
    <w:rsid w:val="5A663955"/>
    <w:rsid w:val="5A6776CD"/>
    <w:rsid w:val="5A680F7C"/>
    <w:rsid w:val="5A690D4F"/>
    <w:rsid w:val="5A696FA1"/>
    <w:rsid w:val="5A6A5AF8"/>
    <w:rsid w:val="5A6C2FE9"/>
    <w:rsid w:val="5A6F6F32"/>
    <w:rsid w:val="5A731147"/>
    <w:rsid w:val="5A737E20"/>
    <w:rsid w:val="5A751DEA"/>
    <w:rsid w:val="5A754761"/>
    <w:rsid w:val="5A755946"/>
    <w:rsid w:val="5A7A2F5C"/>
    <w:rsid w:val="5A7B0A82"/>
    <w:rsid w:val="5A7C097F"/>
    <w:rsid w:val="5A7C4F26"/>
    <w:rsid w:val="5A7E1D74"/>
    <w:rsid w:val="5A8042EB"/>
    <w:rsid w:val="5A845B89"/>
    <w:rsid w:val="5A867B53"/>
    <w:rsid w:val="5A871B1D"/>
    <w:rsid w:val="5A8B33BB"/>
    <w:rsid w:val="5A8B6F17"/>
    <w:rsid w:val="5A8C7998"/>
    <w:rsid w:val="5A8E6A07"/>
    <w:rsid w:val="5A971D60"/>
    <w:rsid w:val="5A9750FF"/>
    <w:rsid w:val="5A975FA5"/>
    <w:rsid w:val="5A9776E6"/>
    <w:rsid w:val="5A980E5B"/>
    <w:rsid w:val="5A981634"/>
    <w:rsid w:val="5A9A425F"/>
    <w:rsid w:val="5A9B1124"/>
    <w:rsid w:val="5A9D28FB"/>
    <w:rsid w:val="5A9D6C4B"/>
    <w:rsid w:val="5AA004E9"/>
    <w:rsid w:val="5AA1673B"/>
    <w:rsid w:val="5AA509F0"/>
    <w:rsid w:val="5AA51D3A"/>
    <w:rsid w:val="5AA57E67"/>
    <w:rsid w:val="5AA601F5"/>
    <w:rsid w:val="5AA903B9"/>
    <w:rsid w:val="5AA955EF"/>
    <w:rsid w:val="5AAE2D9B"/>
    <w:rsid w:val="5AAE70AA"/>
    <w:rsid w:val="5AB0028C"/>
    <w:rsid w:val="5AB9197D"/>
    <w:rsid w:val="5ABA77FD"/>
    <w:rsid w:val="5ABC40CB"/>
    <w:rsid w:val="5ABD6188"/>
    <w:rsid w:val="5ABE2233"/>
    <w:rsid w:val="5ABE45C3"/>
    <w:rsid w:val="5AC53607"/>
    <w:rsid w:val="5AC62645"/>
    <w:rsid w:val="5ACA23FE"/>
    <w:rsid w:val="5ACB37B8"/>
    <w:rsid w:val="5ACD5782"/>
    <w:rsid w:val="5ACE14FA"/>
    <w:rsid w:val="5AD20FEA"/>
    <w:rsid w:val="5AD30B51"/>
    <w:rsid w:val="5AD36B10"/>
    <w:rsid w:val="5AD54636"/>
    <w:rsid w:val="5AD703AE"/>
    <w:rsid w:val="5AD709A7"/>
    <w:rsid w:val="5AD7215D"/>
    <w:rsid w:val="5AD84127"/>
    <w:rsid w:val="5ADA39FB"/>
    <w:rsid w:val="5ADC7773"/>
    <w:rsid w:val="5ADD173D"/>
    <w:rsid w:val="5ADD4413"/>
    <w:rsid w:val="5ADF330A"/>
    <w:rsid w:val="5AE1122D"/>
    <w:rsid w:val="5AE34B35"/>
    <w:rsid w:val="5AE34FA5"/>
    <w:rsid w:val="5AE42ACB"/>
    <w:rsid w:val="5AE538D4"/>
    <w:rsid w:val="5AE6348E"/>
    <w:rsid w:val="5AE66844"/>
    <w:rsid w:val="5AEB5C08"/>
    <w:rsid w:val="5AEC41CD"/>
    <w:rsid w:val="5AEC45D6"/>
    <w:rsid w:val="5AEE56F8"/>
    <w:rsid w:val="5AEF04D8"/>
    <w:rsid w:val="5AF0321E"/>
    <w:rsid w:val="5AF2343A"/>
    <w:rsid w:val="5AF47445"/>
    <w:rsid w:val="5AF50835"/>
    <w:rsid w:val="5AF50D59"/>
    <w:rsid w:val="5AF66E6C"/>
    <w:rsid w:val="5AF745AD"/>
    <w:rsid w:val="5AF95341"/>
    <w:rsid w:val="5AFC7E15"/>
    <w:rsid w:val="5AFD5D80"/>
    <w:rsid w:val="5AFE1AE5"/>
    <w:rsid w:val="5AFE6219"/>
    <w:rsid w:val="5AFF16B3"/>
    <w:rsid w:val="5B0373F5"/>
    <w:rsid w:val="5B04316E"/>
    <w:rsid w:val="5B0447DF"/>
    <w:rsid w:val="5B0477EA"/>
    <w:rsid w:val="5B0647F0"/>
    <w:rsid w:val="5B0730E9"/>
    <w:rsid w:val="5B0809C0"/>
    <w:rsid w:val="5B0B62AA"/>
    <w:rsid w:val="5B0C0BE6"/>
    <w:rsid w:val="5B12588A"/>
    <w:rsid w:val="5B13694D"/>
    <w:rsid w:val="5B1909C7"/>
    <w:rsid w:val="5B1A1E3F"/>
    <w:rsid w:val="5B1A473F"/>
    <w:rsid w:val="5B1F1D55"/>
    <w:rsid w:val="5B264E92"/>
    <w:rsid w:val="5B266C40"/>
    <w:rsid w:val="5B270145"/>
    <w:rsid w:val="5B270255"/>
    <w:rsid w:val="5B290A6A"/>
    <w:rsid w:val="5B294982"/>
    <w:rsid w:val="5B2951E5"/>
    <w:rsid w:val="5B2A2BD4"/>
    <w:rsid w:val="5B2B4256"/>
    <w:rsid w:val="5B2F01EA"/>
    <w:rsid w:val="5B2F1F99"/>
    <w:rsid w:val="5B321A89"/>
    <w:rsid w:val="5B351579"/>
    <w:rsid w:val="5B357F7A"/>
    <w:rsid w:val="5B37709F"/>
    <w:rsid w:val="5B386973"/>
    <w:rsid w:val="5B3A093D"/>
    <w:rsid w:val="5B3C6463"/>
    <w:rsid w:val="5B4041A6"/>
    <w:rsid w:val="5B41461C"/>
    <w:rsid w:val="5B436457"/>
    <w:rsid w:val="5B445318"/>
    <w:rsid w:val="5B4800FC"/>
    <w:rsid w:val="5B4812AC"/>
    <w:rsid w:val="5B4D0671"/>
    <w:rsid w:val="5B501F0F"/>
    <w:rsid w:val="5B525C87"/>
    <w:rsid w:val="5B54791A"/>
    <w:rsid w:val="5B557525"/>
    <w:rsid w:val="5B570024"/>
    <w:rsid w:val="5B59067D"/>
    <w:rsid w:val="5B590DC3"/>
    <w:rsid w:val="5B5C08B4"/>
    <w:rsid w:val="5B5F03A4"/>
    <w:rsid w:val="5B621102"/>
    <w:rsid w:val="5B65198D"/>
    <w:rsid w:val="5B684E64"/>
    <w:rsid w:val="5B6B6D49"/>
    <w:rsid w:val="5B6D0D13"/>
    <w:rsid w:val="5B6D2AC1"/>
    <w:rsid w:val="5B6D486F"/>
    <w:rsid w:val="5B7007EA"/>
    <w:rsid w:val="5B706370"/>
    <w:rsid w:val="5B7200D7"/>
    <w:rsid w:val="5B745BFD"/>
    <w:rsid w:val="5B751975"/>
    <w:rsid w:val="5B787E08"/>
    <w:rsid w:val="5B791466"/>
    <w:rsid w:val="5B7924BC"/>
    <w:rsid w:val="5B793214"/>
    <w:rsid w:val="5B7B3430"/>
    <w:rsid w:val="5B7B3CC8"/>
    <w:rsid w:val="5B7C68DC"/>
    <w:rsid w:val="5B7D1342"/>
    <w:rsid w:val="5B7F45A2"/>
    <w:rsid w:val="5B8308B3"/>
    <w:rsid w:val="5B8336C1"/>
    <w:rsid w:val="5B855F34"/>
    <w:rsid w:val="5B860DDB"/>
    <w:rsid w:val="5B863B83"/>
    <w:rsid w:val="5B884B8B"/>
    <w:rsid w:val="5B89229B"/>
    <w:rsid w:val="5B8A3673"/>
    <w:rsid w:val="5B8A71CF"/>
    <w:rsid w:val="5B8B3E48"/>
    <w:rsid w:val="5B8D4F11"/>
    <w:rsid w:val="5B8E50DB"/>
    <w:rsid w:val="5B8F2A37"/>
    <w:rsid w:val="5B9067AF"/>
    <w:rsid w:val="5B914A01"/>
    <w:rsid w:val="5B953DC6"/>
    <w:rsid w:val="5B977B3E"/>
    <w:rsid w:val="5B991B08"/>
    <w:rsid w:val="5B995B10"/>
    <w:rsid w:val="5B9B13DC"/>
    <w:rsid w:val="5B9B2CBC"/>
    <w:rsid w:val="5B9B762E"/>
    <w:rsid w:val="5B9C33A6"/>
    <w:rsid w:val="5B9E0ECC"/>
    <w:rsid w:val="5B9E711E"/>
    <w:rsid w:val="5BA02E96"/>
    <w:rsid w:val="5BA109BC"/>
    <w:rsid w:val="5BA20303"/>
    <w:rsid w:val="5BA30291"/>
    <w:rsid w:val="5BA72CE5"/>
    <w:rsid w:val="5BA81D4B"/>
    <w:rsid w:val="5BAA5AC3"/>
    <w:rsid w:val="5BAB5397"/>
    <w:rsid w:val="5BAE68A6"/>
    <w:rsid w:val="5BAF30D9"/>
    <w:rsid w:val="5BAF585C"/>
    <w:rsid w:val="5BAF6C35"/>
    <w:rsid w:val="5BB029AE"/>
    <w:rsid w:val="5BB06F7F"/>
    <w:rsid w:val="5BB13865"/>
    <w:rsid w:val="5BB71F8E"/>
    <w:rsid w:val="5BB95D06"/>
    <w:rsid w:val="5BBF5FF4"/>
    <w:rsid w:val="5BC023FC"/>
    <w:rsid w:val="5BC16969"/>
    <w:rsid w:val="5BC76675"/>
    <w:rsid w:val="5BCA607F"/>
    <w:rsid w:val="5BCA7F13"/>
    <w:rsid w:val="5BCB6CC4"/>
    <w:rsid w:val="5BCD4A00"/>
    <w:rsid w:val="5BD3501A"/>
    <w:rsid w:val="5BD364E5"/>
    <w:rsid w:val="5BD41FC1"/>
    <w:rsid w:val="5BD53192"/>
    <w:rsid w:val="5BD5341C"/>
    <w:rsid w:val="5BD60666"/>
    <w:rsid w:val="5BDA105F"/>
    <w:rsid w:val="5BDB3ECE"/>
    <w:rsid w:val="5BDF5D95"/>
    <w:rsid w:val="5BE10DB9"/>
    <w:rsid w:val="5BE11735"/>
    <w:rsid w:val="5BE34B31"/>
    <w:rsid w:val="5BE35796"/>
    <w:rsid w:val="5BE54D4D"/>
    <w:rsid w:val="5BE72873"/>
    <w:rsid w:val="5BE80399"/>
    <w:rsid w:val="5BEA2363"/>
    <w:rsid w:val="5BEA4111"/>
    <w:rsid w:val="5BEC0332"/>
    <w:rsid w:val="5BEF2BF4"/>
    <w:rsid w:val="5BEF797A"/>
    <w:rsid w:val="5BF136F2"/>
    <w:rsid w:val="5BF35BDD"/>
    <w:rsid w:val="5BF3746A"/>
    <w:rsid w:val="5BF40AEC"/>
    <w:rsid w:val="5BF44F90"/>
    <w:rsid w:val="5BF60D08"/>
    <w:rsid w:val="5BF8682E"/>
    <w:rsid w:val="5BFB631F"/>
    <w:rsid w:val="5BFC7A7E"/>
    <w:rsid w:val="5BFD2097"/>
    <w:rsid w:val="5BFE5E0F"/>
    <w:rsid w:val="5BFE7528"/>
    <w:rsid w:val="5C001B87"/>
    <w:rsid w:val="5C036F81"/>
    <w:rsid w:val="5C05436B"/>
    <w:rsid w:val="5C080BF2"/>
    <w:rsid w:val="5C08232A"/>
    <w:rsid w:val="5C0974B1"/>
    <w:rsid w:val="5C0A0310"/>
    <w:rsid w:val="5C0B49A2"/>
    <w:rsid w:val="5C0C052C"/>
    <w:rsid w:val="5C0C22DA"/>
    <w:rsid w:val="5C133668"/>
    <w:rsid w:val="5C1473E0"/>
    <w:rsid w:val="5C163158"/>
    <w:rsid w:val="5C1635FE"/>
    <w:rsid w:val="5C1646C2"/>
    <w:rsid w:val="5C165767"/>
    <w:rsid w:val="5C180C7F"/>
    <w:rsid w:val="5C1A3007"/>
    <w:rsid w:val="5C1B076F"/>
    <w:rsid w:val="5C1C2874"/>
    <w:rsid w:val="5C1D6DB7"/>
    <w:rsid w:val="5C1E3459"/>
    <w:rsid w:val="5C1F025F"/>
    <w:rsid w:val="5C22728C"/>
    <w:rsid w:val="5C272C70"/>
    <w:rsid w:val="5C2C64D8"/>
    <w:rsid w:val="5C341831"/>
    <w:rsid w:val="5C3435DF"/>
    <w:rsid w:val="5C34538D"/>
    <w:rsid w:val="5C3929A3"/>
    <w:rsid w:val="5C3D63A0"/>
    <w:rsid w:val="5C41036B"/>
    <w:rsid w:val="5C425CFC"/>
    <w:rsid w:val="5C473312"/>
    <w:rsid w:val="5C4750C0"/>
    <w:rsid w:val="5C475B3F"/>
    <w:rsid w:val="5C4956B6"/>
    <w:rsid w:val="5C49708A"/>
    <w:rsid w:val="5C4A09A6"/>
    <w:rsid w:val="5C4E644E"/>
    <w:rsid w:val="5C53148B"/>
    <w:rsid w:val="5C531CB7"/>
    <w:rsid w:val="5C567725"/>
    <w:rsid w:val="5C58107B"/>
    <w:rsid w:val="5C5A1297"/>
    <w:rsid w:val="5C5B500F"/>
    <w:rsid w:val="5C5F065B"/>
    <w:rsid w:val="5C5F68AD"/>
    <w:rsid w:val="5C62014C"/>
    <w:rsid w:val="5C621EFA"/>
    <w:rsid w:val="5C653798"/>
    <w:rsid w:val="5C662FA9"/>
    <w:rsid w:val="5C677ECC"/>
    <w:rsid w:val="5C682B17"/>
    <w:rsid w:val="5C690D60"/>
    <w:rsid w:val="5C69772C"/>
    <w:rsid w:val="5C6B1940"/>
    <w:rsid w:val="5C6C4B26"/>
    <w:rsid w:val="5C6E6AF1"/>
    <w:rsid w:val="5C71038F"/>
    <w:rsid w:val="5C71213D"/>
    <w:rsid w:val="5C785A05"/>
    <w:rsid w:val="5C78796F"/>
    <w:rsid w:val="5C795570"/>
    <w:rsid w:val="5C797243"/>
    <w:rsid w:val="5C7A36E7"/>
    <w:rsid w:val="5C7A5495"/>
    <w:rsid w:val="5C7B745F"/>
    <w:rsid w:val="5C7D31D8"/>
    <w:rsid w:val="5C7E4CC3"/>
    <w:rsid w:val="5C823448"/>
    <w:rsid w:val="5C82434A"/>
    <w:rsid w:val="5C880946"/>
    <w:rsid w:val="5C89392A"/>
    <w:rsid w:val="5C8A3266"/>
    <w:rsid w:val="5C8C51C9"/>
    <w:rsid w:val="5C8E0F41"/>
    <w:rsid w:val="5C8E2CEF"/>
    <w:rsid w:val="5C8F000F"/>
    <w:rsid w:val="5C8F6A67"/>
    <w:rsid w:val="5C904CB9"/>
    <w:rsid w:val="5C916453"/>
    <w:rsid w:val="5C967DF5"/>
    <w:rsid w:val="5C977095"/>
    <w:rsid w:val="5C98591B"/>
    <w:rsid w:val="5C9A3ADA"/>
    <w:rsid w:val="5C9A78E6"/>
    <w:rsid w:val="5C9C18B0"/>
    <w:rsid w:val="5C9D73D6"/>
    <w:rsid w:val="5CA16EC6"/>
    <w:rsid w:val="5CA33E0D"/>
    <w:rsid w:val="5CA50038"/>
    <w:rsid w:val="5CA87E83"/>
    <w:rsid w:val="5CA93FCD"/>
    <w:rsid w:val="5CAA564F"/>
    <w:rsid w:val="5CAB4673"/>
    <w:rsid w:val="5CAC13C7"/>
    <w:rsid w:val="5CAE3391"/>
    <w:rsid w:val="5CAF2C65"/>
    <w:rsid w:val="5CB00EB7"/>
    <w:rsid w:val="5CB12E81"/>
    <w:rsid w:val="5CB309A7"/>
    <w:rsid w:val="5CB33902"/>
    <w:rsid w:val="5CB84210"/>
    <w:rsid w:val="5CB85FBE"/>
    <w:rsid w:val="5CB87D6C"/>
    <w:rsid w:val="5CBA1D36"/>
    <w:rsid w:val="5CBC407B"/>
    <w:rsid w:val="5CBD1826"/>
    <w:rsid w:val="5CBD7585"/>
    <w:rsid w:val="5CC130C4"/>
    <w:rsid w:val="5CC25A5B"/>
    <w:rsid w:val="5CC26E3C"/>
    <w:rsid w:val="5CCA26AB"/>
    <w:rsid w:val="5CCB3F43"/>
    <w:rsid w:val="5CCC14C9"/>
    <w:rsid w:val="5CCE0D02"/>
    <w:rsid w:val="5CCE3A33"/>
    <w:rsid w:val="5CCE758F"/>
    <w:rsid w:val="5CD050B5"/>
    <w:rsid w:val="5CD32DF8"/>
    <w:rsid w:val="5CD5580C"/>
    <w:rsid w:val="5CD56B70"/>
    <w:rsid w:val="5CD60F35"/>
    <w:rsid w:val="5CD7671C"/>
    <w:rsid w:val="5CD86660"/>
    <w:rsid w:val="5CDA4186"/>
    <w:rsid w:val="5CDA5046"/>
    <w:rsid w:val="5CDD3C76"/>
    <w:rsid w:val="5CDD5A24"/>
    <w:rsid w:val="5CDD744C"/>
    <w:rsid w:val="5CDD77D2"/>
    <w:rsid w:val="5CE24DE9"/>
    <w:rsid w:val="5CE46DB3"/>
    <w:rsid w:val="5CE70651"/>
    <w:rsid w:val="5CEB0141"/>
    <w:rsid w:val="5CEB6393"/>
    <w:rsid w:val="5CEC5A48"/>
    <w:rsid w:val="5CED474D"/>
    <w:rsid w:val="5CEE19DF"/>
    <w:rsid w:val="5CF05758"/>
    <w:rsid w:val="5CF07506"/>
    <w:rsid w:val="5CF5040A"/>
    <w:rsid w:val="5CF67716"/>
    <w:rsid w:val="5CF93C5C"/>
    <w:rsid w:val="5CFF338A"/>
    <w:rsid w:val="5CFF3BED"/>
    <w:rsid w:val="5D017965"/>
    <w:rsid w:val="5D027239"/>
    <w:rsid w:val="5D05007D"/>
    <w:rsid w:val="5D074B33"/>
    <w:rsid w:val="5D094A6B"/>
    <w:rsid w:val="5D0B07E3"/>
    <w:rsid w:val="5D0B0E8E"/>
    <w:rsid w:val="5D0D455B"/>
    <w:rsid w:val="5D0E2082"/>
    <w:rsid w:val="5D0E3E30"/>
    <w:rsid w:val="5D127168"/>
    <w:rsid w:val="5D131446"/>
    <w:rsid w:val="5D136C3E"/>
    <w:rsid w:val="5D1551BE"/>
    <w:rsid w:val="5D156F6C"/>
    <w:rsid w:val="5D172CE4"/>
    <w:rsid w:val="5D177188"/>
    <w:rsid w:val="5D182D61"/>
    <w:rsid w:val="5D1941F1"/>
    <w:rsid w:val="5D1A0A26"/>
    <w:rsid w:val="5D1A3E8B"/>
    <w:rsid w:val="5D1E0063"/>
    <w:rsid w:val="5D1E0A71"/>
    <w:rsid w:val="5D1F7DEB"/>
    <w:rsid w:val="5D221689"/>
    <w:rsid w:val="5D235B2D"/>
    <w:rsid w:val="5D241304"/>
    <w:rsid w:val="5D2418A5"/>
    <w:rsid w:val="5D245401"/>
    <w:rsid w:val="5D261179"/>
    <w:rsid w:val="5D2B2C34"/>
    <w:rsid w:val="5D2B52D8"/>
    <w:rsid w:val="5D2F3BDA"/>
    <w:rsid w:val="5D3215A6"/>
    <w:rsid w:val="5D323FC2"/>
    <w:rsid w:val="5D325D70"/>
    <w:rsid w:val="5D340EF8"/>
    <w:rsid w:val="5D352289"/>
    <w:rsid w:val="5D355860"/>
    <w:rsid w:val="5D35760E"/>
    <w:rsid w:val="5D364BA9"/>
    <w:rsid w:val="5D3715D8"/>
    <w:rsid w:val="5D375134"/>
    <w:rsid w:val="5D3A16C9"/>
    <w:rsid w:val="5D3A4C25"/>
    <w:rsid w:val="5D3A69D3"/>
    <w:rsid w:val="5D3C6BEF"/>
    <w:rsid w:val="5D3E2967"/>
    <w:rsid w:val="5D3F048D"/>
    <w:rsid w:val="5D411BB7"/>
    <w:rsid w:val="5D415FB3"/>
    <w:rsid w:val="5D447851"/>
    <w:rsid w:val="5D46181B"/>
    <w:rsid w:val="5D485594"/>
    <w:rsid w:val="5D4930BA"/>
    <w:rsid w:val="5D4B0BE0"/>
    <w:rsid w:val="5D4E247E"/>
    <w:rsid w:val="5D4F6B4D"/>
    <w:rsid w:val="5D551A5E"/>
    <w:rsid w:val="5D564193"/>
    <w:rsid w:val="5D5A52C7"/>
    <w:rsid w:val="5D5B70A6"/>
    <w:rsid w:val="5D5C2DED"/>
    <w:rsid w:val="5D5C4B9B"/>
    <w:rsid w:val="5D5D0847"/>
    <w:rsid w:val="5D5E2925"/>
    <w:rsid w:val="5D6112A6"/>
    <w:rsid w:val="5D613110"/>
    <w:rsid w:val="5D6145D9"/>
    <w:rsid w:val="5D63417B"/>
    <w:rsid w:val="5D651025"/>
    <w:rsid w:val="5D68143B"/>
    <w:rsid w:val="5D681792"/>
    <w:rsid w:val="5D6879E4"/>
    <w:rsid w:val="5D6A0EC8"/>
    <w:rsid w:val="5D6A601A"/>
    <w:rsid w:val="5D6B3030"/>
    <w:rsid w:val="5D6B5E5A"/>
    <w:rsid w:val="5D7001A8"/>
    <w:rsid w:val="5D700646"/>
    <w:rsid w:val="5D7161CA"/>
    <w:rsid w:val="5D722610"/>
    <w:rsid w:val="5D72616D"/>
    <w:rsid w:val="5D753EAF"/>
    <w:rsid w:val="5D7719D5"/>
    <w:rsid w:val="5D7A14C5"/>
    <w:rsid w:val="5D7C348F"/>
    <w:rsid w:val="5D7D3410"/>
    <w:rsid w:val="5D7D733E"/>
    <w:rsid w:val="5D814602"/>
    <w:rsid w:val="5D83481E"/>
    <w:rsid w:val="5D8440F2"/>
    <w:rsid w:val="5D85127A"/>
    <w:rsid w:val="5D855AD0"/>
    <w:rsid w:val="5D891708"/>
    <w:rsid w:val="5D8A5BAC"/>
    <w:rsid w:val="5D8D2FA6"/>
    <w:rsid w:val="5D8D6E33"/>
    <w:rsid w:val="5D8E02C3"/>
    <w:rsid w:val="5D8F31C2"/>
    <w:rsid w:val="5D902A97"/>
    <w:rsid w:val="5D924A61"/>
    <w:rsid w:val="5D9407D9"/>
    <w:rsid w:val="5D9562FF"/>
    <w:rsid w:val="5D973E25"/>
    <w:rsid w:val="5D99194B"/>
    <w:rsid w:val="5D9A56C3"/>
    <w:rsid w:val="5D9C143B"/>
    <w:rsid w:val="5D9C768D"/>
    <w:rsid w:val="5D9E6F62"/>
    <w:rsid w:val="5DA02D1D"/>
    <w:rsid w:val="5DA14CA4"/>
    <w:rsid w:val="5DA35F22"/>
    <w:rsid w:val="5DA402F0"/>
    <w:rsid w:val="5DA54794"/>
    <w:rsid w:val="5DA56542"/>
    <w:rsid w:val="5DA6050C"/>
    <w:rsid w:val="5DA622BA"/>
    <w:rsid w:val="5DA84284"/>
    <w:rsid w:val="5DA86032"/>
    <w:rsid w:val="5DA94101"/>
    <w:rsid w:val="5DAA1DAA"/>
    <w:rsid w:val="5DAB167E"/>
    <w:rsid w:val="5DAB5B22"/>
    <w:rsid w:val="5DAD3649"/>
    <w:rsid w:val="5DAE4C47"/>
    <w:rsid w:val="5DAF116F"/>
    <w:rsid w:val="5DB1622D"/>
    <w:rsid w:val="5DB16298"/>
    <w:rsid w:val="5DB265BD"/>
    <w:rsid w:val="5DB40751"/>
    <w:rsid w:val="5DB57F8F"/>
    <w:rsid w:val="5DB669A1"/>
    <w:rsid w:val="5DB744C7"/>
    <w:rsid w:val="5DBA4EB4"/>
    <w:rsid w:val="5DBA7B13"/>
    <w:rsid w:val="5DBB3FB7"/>
    <w:rsid w:val="5DBB72DF"/>
    <w:rsid w:val="5DBC388C"/>
    <w:rsid w:val="5DBE7604"/>
    <w:rsid w:val="5DBF512A"/>
    <w:rsid w:val="5DC0337C"/>
    <w:rsid w:val="5DC170F4"/>
    <w:rsid w:val="5DC30642"/>
    <w:rsid w:val="5DC50992"/>
    <w:rsid w:val="5DC56BE4"/>
    <w:rsid w:val="5DC63975"/>
    <w:rsid w:val="5DC82230"/>
    <w:rsid w:val="5DC866D4"/>
    <w:rsid w:val="5DCA244C"/>
    <w:rsid w:val="5DCD3CEB"/>
    <w:rsid w:val="5DD24E5D"/>
    <w:rsid w:val="5DD60DF1"/>
    <w:rsid w:val="5DD62B9F"/>
    <w:rsid w:val="5DD9443E"/>
    <w:rsid w:val="5DDB1F64"/>
    <w:rsid w:val="5DDE524A"/>
    <w:rsid w:val="5DDE7148"/>
    <w:rsid w:val="5DE03A1E"/>
    <w:rsid w:val="5DE129E0"/>
    <w:rsid w:val="5DE132F2"/>
    <w:rsid w:val="5DE52DE2"/>
    <w:rsid w:val="5DE57D8D"/>
    <w:rsid w:val="5DE8778C"/>
    <w:rsid w:val="5DEB4D86"/>
    <w:rsid w:val="5DEB66F6"/>
    <w:rsid w:val="5DEC2376"/>
    <w:rsid w:val="5DEF3FEB"/>
    <w:rsid w:val="5DF007C7"/>
    <w:rsid w:val="5DF41277"/>
    <w:rsid w:val="5DF453F5"/>
    <w:rsid w:val="5DF50B4C"/>
    <w:rsid w:val="5DF748C4"/>
    <w:rsid w:val="5DF9063C"/>
    <w:rsid w:val="5DF94AE0"/>
    <w:rsid w:val="5DFB0858"/>
    <w:rsid w:val="5DFB43B4"/>
    <w:rsid w:val="5DFC4446"/>
    <w:rsid w:val="5E023BBE"/>
    <w:rsid w:val="5E0314BA"/>
    <w:rsid w:val="5E033269"/>
    <w:rsid w:val="5E056FE1"/>
    <w:rsid w:val="5E0771FD"/>
    <w:rsid w:val="5E08278A"/>
    <w:rsid w:val="5E087E08"/>
    <w:rsid w:val="5E094686"/>
    <w:rsid w:val="5E0C1675"/>
    <w:rsid w:val="5E0D1758"/>
    <w:rsid w:val="5E0D40E7"/>
    <w:rsid w:val="5E0F1C0D"/>
    <w:rsid w:val="5E0F1FE8"/>
    <w:rsid w:val="5E111F67"/>
    <w:rsid w:val="5E1548A3"/>
    <w:rsid w:val="5E1953DD"/>
    <w:rsid w:val="5E1B111E"/>
    <w:rsid w:val="5E1B6804"/>
    <w:rsid w:val="5E1E4546"/>
    <w:rsid w:val="5E1E7C84"/>
    <w:rsid w:val="5E1F63CA"/>
    <w:rsid w:val="5E236362"/>
    <w:rsid w:val="5E242E23"/>
    <w:rsid w:val="5E2467F1"/>
    <w:rsid w:val="5E2751A9"/>
    <w:rsid w:val="5E2771BF"/>
    <w:rsid w:val="5E282CCF"/>
    <w:rsid w:val="5E287173"/>
    <w:rsid w:val="5E2947C6"/>
    <w:rsid w:val="5E2B4120"/>
    <w:rsid w:val="5E2E29DB"/>
    <w:rsid w:val="5E2F00C3"/>
    <w:rsid w:val="5E2F22B0"/>
    <w:rsid w:val="5E2F6D3C"/>
    <w:rsid w:val="5E306AE0"/>
    <w:rsid w:val="5E317DD6"/>
    <w:rsid w:val="5E323B4E"/>
    <w:rsid w:val="5E342CD6"/>
    <w:rsid w:val="5E343D6A"/>
    <w:rsid w:val="5E361890"/>
    <w:rsid w:val="5E36363E"/>
    <w:rsid w:val="5E367223"/>
    <w:rsid w:val="5E371164"/>
    <w:rsid w:val="5E385608"/>
    <w:rsid w:val="5E3873B6"/>
    <w:rsid w:val="5E3A7034"/>
    <w:rsid w:val="5E40626B"/>
    <w:rsid w:val="5E413D91"/>
    <w:rsid w:val="5E420235"/>
    <w:rsid w:val="5E421FE3"/>
    <w:rsid w:val="5E435D5B"/>
    <w:rsid w:val="5E443FAD"/>
    <w:rsid w:val="5E45699F"/>
    <w:rsid w:val="5E4745B8"/>
    <w:rsid w:val="5E47584B"/>
    <w:rsid w:val="5E483371"/>
    <w:rsid w:val="5E4D4B33"/>
    <w:rsid w:val="5E4F64AE"/>
    <w:rsid w:val="5E532442"/>
    <w:rsid w:val="5E5341F0"/>
    <w:rsid w:val="5E547F68"/>
    <w:rsid w:val="5E570EC5"/>
    <w:rsid w:val="5E59732C"/>
    <w:rsid w:val="5E5A12D3"/>
    <w:rsid w:val="5E5A37D0"/>
    <w:rsid w:val="5E5D0BCB"/>
    <w:rsid w:val="5E5E2B95"/>
    <w:rsid w:val="5E624433"/>
    <w:rsid w:val="5E655BA7"/>
    <w:rsid w:val="5E6737F7"/>
    <w:rsid w:val="5E68756F"/>
    <w:rsid w:val="5E6957C1"/>
    <w:rsid w:val="5E6C7060"/>
    <w:rsid w:val="5E6D170D"/>
    <w:rsid w:val="5E6E102A"/>
    <w:rsid w:val="5E6F6B4C"/>
    <w:rsid w:val="5E713415"/>
    <w:rsid w:val="5E715E25"/>
    <w:rsid w:val="5E757AFE"/>
    <w:rsid w:val="5E761C8C"/>
    <w:rsid w:val="5E781EA8"/>
    <w:rsid w:val="5E786041"/>
    <w:rsid w:val="5E7A5C08"/>
    <w:rsid w:val="5E7B54F5"/>
    <w:rsid w:val="5E7D4589"/>
    <w:rsid w:val="5E7F4FE5"/>
    <w:rsid w:val="5E800D5D"/>
    <w:rsid w:val="5E863045"/>
    <w:rsid w:val="5E88236C"/>
    <w:rsid w:val="5E8841AF"/>
    <w:rsid w:val="5E8C57FD"/>
    <w:rsid w:val="5E8C5954"/>
    <w:rsid w:val="5E8E347A"/>
    <w:rsid w:val="5E8E5228"/>
    <w:rsid w:val="5E8F56D5"/>
    <w:rsid w:val="5E914D18"/>
    <w:rsid w:val="5E9345EC"/>
    <w:rsid w:val="5E954808"/>
    <w:rsid w:val="5E9640DD"/>
    <w:rsid w:val="5E9667E9"/>
    <w:rsid w:val="5E9842F9"/>
    <w:rsid w:val="5E9A118A"/>
    <w:rsid w:val="5E9B6682"/>
    <w:rsid w:val="5E9D546B"/>
    <w:rsid w:val="5EA12EEE"/>
    <w:rsid w:val="5EA13984"/>
    <w:rsid w:val="5EA24E14"/>
    <w:rsid w:val="5EA7453C"/>
    <w:rsid w:val="5EA902B4"/>
    <w:rsid w:val="5EAE7174"/>
    <w:rsid w:val="5EAF1FE5"/>
    <w:rsid w:val="5EB068B7"/>
    <w:rsid w:val="5EB153BA"/>
    <w:rsid w:val="5EB17168"/>
    <w:rsid w:val="5EB427B5"/>
    <w:rsid w:val="5EB44B9A"/>
    <w:rsid w:val="5EB466E6"/>
    <w:rsid w:val="5EB56C59"/>
    <w:rsid w:val="5EBA52B1"/>
    <w:rsid w:val="5EBB7FE7"/>
    <w:rsid w:val="5EBD5B0D"/>
    <w:rsid w:val="5EBD78BB"/>
    <w:rsid w:val="5EBF1885"/>
    <w:rsid w:val="5EBF2B89"/>
    <w:rsid w:val="5EBF3633"/>
    <w:rsid w:val="5EC00164"/>
    <w:rsid w:val="5EC153C4"/>
    <w:rsid w:val="5EC24ED2"/>
    <w:rsid w:val="5EC56770"/>
    <w:rsid w:val="5EC572AB"/>
    <w:rsid w:val="5EC6210D"/>
    <w:rsid w:val="5EC944B2"/>
    <w:rsid w:val="5ECA1FD8"/>
    <w:rsid w:val="5ECB28DF"/>
    <w:rsid w:val="5ECB647C"/>
    <w:rsid w:val="5ECC2E23"/>
    <w:rsid w:val="5ECC3FA2"/>
    <w:rsid w:val="5ECC5D50"/>
    <w:rsid w:val="5ECD6940"/>
    <w:rsid w:val="5ECE1AC8"/>
    <w:rsid w:val="5ECE7D1A"/>
    <w:rsid w:val="5ED05768"/>
    <w:rsid w:val="5ED115B9"/>
    <w:rsid w:val="5ED30155"/>
    <w:rsid w:val="5ED33F50"/>
    <w:rsid w:val="5ED370DF"/>
    <w:rsid w:val="5ED510A9"/>
    <w:rsid w:val="5ED52E57"/>
    <w:rsid w:val="5ED65B32"/>
    <w:rsid w:val="5ED66BCF"/>
    <w:rsid w:val="5ED679F2"/>
    <w:rsid w:val="5ED74E21"/>
    <w:rsid w:val="5ED8332B"/>
    <w:rsid w:val="5ED85464"/>
    <w:rsid w:val="5ED907F8"/>
    <w:rsid w:val="5EDA046D"/>
    <w:rsid w:val="5EDA2464"/>
    <w:rsid w:val="5EDA66BF"/>
    <w:rsid w:val="5EDB23D4"/>
    <w:rsid w:val="5EDD1D0C"/>
    <w:rsid w:val="5EDE0613"/>
    <w:rsid w:val="5EE053C3"/>
    <w:rsid w:val="5EE26529"/>
    <w:rsid w:val="5EE27405"/>
    <w:rsid w:val="5EE65064"/>
    <w:rsid w:val="5EE66E12"/>
    <w:rsid w:val="5EE76771"/>
    <w:rsid w:val="5EE906B0"/>
    <w:rsid w:val="5EEA270A"/>
    <w:rsid w:val="5EEB267A"/>
    <w:rsid w:val="5EEC63F2"/>
    <w:rsid w:val="5EF07C91"/>
    <w:rsid w:val="5EF35A5B"/>
    <w:rsid w:val="5EF77D48"/>
    <w:rsid w:val="5EFB3160"/>
    <w:rsid w:val="5EFC4888"/>
    <w:rsid w:val="5EFD415C"/>
    <w:rsid w:val="5F042A70"/>
    <w:rsid w:val="5F066AD1"/>
    <w:rsid w:val="5F0674B4"/>
    <w:rsid w:val="5F076D88"/>
    <w:rsid w:val="5F08322C"/>
    <w:rsid w:val="5F0B6879"/>
    <w:rsid w:val="5F0C4911"/>
    <w:rsid w:val="5F0E6369"/>
    <w:rsid w:val="5F102207"/>
    <w:rsid w:val="5F105C3D"/>
    <w:rsid w:val="5F1514A5"/>
    <w:rsid w:val="5F1720EB"/>
    <w:rsid w:val="5F175C53"/>
    <w:rsid w:val="5F1A2B43"/>
    <w:rsid w:val="5F1A2F60"/>
    <w:rsid w:val="5F1A6ABC"/>
    <w:rsid w:val="5F1A793E"/>
    <w:rsid w:val="5F1C6C60"/>
    <w:rsid w:val="5F1E4D57"/>
    <w:rsid w:val="5F1F40D2"/>
    <w:rsid w:val="5F225970"/>
    <w:rsid w:val="5F233F07"/>
    <w:rsid w:val="5F245B8C"/>
    <w:rsid w:val="5F2913F5"/>
    <w:rsid w:val="5F296CFF"/>
    <w:rsid w:val="5F2B49AC"/>
    <w:rsid w:val="5F2D1525"/>
    <w:rsid w:val="5F2D2C93"/>
    <w:rsid w:val="5F2F3E07"/>
    <w:rsid w:val="5F3102B9"/>
    <w:rsid w:val="5F312F38"/>
    <w:rsid w:val="5F313E05"/>
    <w:rsid w:val="5F334021"/>
    <w:rsid w:val="5F351B48"/>
    <w:rsid w:val="5F352FDE"/>
    <w:rsid w:val="5F357D99"/>
    <w:rsid w:val="5F390DF8"/>
    <w:rsid w:val="5F3A53B0"/>
    <w:rsid w:val="5F3A715E"/>
    <w:rsid w:val="5F41229A"/>
    <w:rsid w:val="5F441D8B"/>
    <w:rsid w:val="5F447FDD"/>
    <w:rsid w:val="5F463D55"/>
    <w:rsid w:val="5F4678B1"/>
    <w:rsid w:val="5F48187B"/>
    <w:rsid w:val="5F482CD8"/>
    <w:rsid w:val="5F4955F3"/>
    <w:rsid w:val="5F4973A1"/>
    <w:rsid w:val="5F4B3119"/>
    <w:rsid w:val="5F4D6E91"/>
    <w:rsid w:val="5F4E49B7"/>
    <w:rsid w:val="5F4F0E5B"/>
    <w:rsid w:val="5F50072F"/>
    <w:rsid w:val="5F526256"/>
    <w:rsid w:val="5F545068"/>
    <w:rsid w:val="5F553840"/>
    <w:rsid w:val="5F577D10"/>
    <w:rsid w:val="5F593A88"/>
    <w:rsid w:val="5F5A7F88"/>
    <w:rsid w:val="5F5C70D4"/>
    <w:rsid w:val="5F5F4E16"/>
    <w:rsid w:val="5F605420"/>
    <w:rsid w:val="5F631623"/>
    <w:rsid w:val="5F63348B"/>
    <w:rsid w:val="5F65404A"/>
    <w:rsid w:val="5F661D01"/>
    <w:rsid w:val="5F667F53"/>
    <w:rsid w:val="5F677827"/>
    <w:rsid w:val="5F681A93"/>
    <w:rsid w:val="5F681F1D"/>
    <w:rsid w:val="5F683CCB"/>
    <w:rsid w:val="5F687E1D"/>
    <w:rsid w:val="5F697A43"/>
    <w:rsid w:val="5F6B5569"/>
    <w:rsid w:val="5F6B7317"/>
    <w:rsid w:val="5F6D308F"/>
    <w:rsid w:val="5F6E1002"/>
    <w:rsid w:val="5F6E6E08"/>
    <w:rsid w:val="5F705A8F"/>
    <w:rsid w:val="5F7206A6"/>
    <w:rsid w:val="5F773F0E"/>
    <w:rsid w:val="5F784D70"/>
    <w:rsid w:val="5F7A2824"/>
    <w:rsid w:val="5F7A39FE"/>
    <w:rsid w:val="5F7C7B38"/>
    <w:rsid w:val="5F7E529D"/>
    <w:rsid w:val="5F816B3B"/>
    <w:rsid w:val="5F8403D9"/>
    <w:rsid w:val="5F847E7F"/>
    <w:rsid w:val="5F85487D"/>
    <w:rsid w:val="5F8558D9"/>
    <w:rsid w:val="5F887EC9"/>
    <w:rsid w:val="5F8E3006"/>
    <w:rsid w:val="5F8F4751"/>
    <w:rsid w:val="5F905F57"/>
    <w:rsid w:val="5F920D48"/>
    <w:rsid w:val="5F922AF6"/>
    <w:rsid w:val="5F926F9A"/>
    <w:rsid w:val="5F944AC0"/>
    <w:rsid w:val="5F97635E"/>
    <w:rsid w:val="5F9A7BFD"/>
    <w:rsid w:val="5F9C356A"/>
    <w:rsid w:val="5FA12D39"/>
    <w:rsid w:val="5FA34D03"/>
    <w:rsid w:val="5FA47829"/>
    <w:rsid w:val="5FA62A45"/>
    <w:rsid w:val="5FA647F3"/>
    <w:rsid w:val="5FA665A1"/>
    <w:rsid w:val="5FA677DB"/>
    <w:rsid w:val="5FA77E3C"/>
    <w:rsid w:val="5FAA6092"/>
    <w:rsid w:val="5FAB3BB8"/>
    <w:rsid w:val="5FAB555E"/>
    <w:rsid w:val="5FAC0683"/>
    <w:rsid w:val="5FB213EA"/>
    <w:rsid w:val="5FB707AE"/>
    <w:rsid w:val="5FB837BB"/>
    <w:rsid w:val="5FB92779"/>
    <w:rsid w:val="5FB94527"/>
    <w:rsid w:val="5FBA3DFB"/>
    <w:rsid w:val="5FBE1B3D"/>
    <w:rsid w:val="5FC30F01"/>
    <w:rsid w:val="5FC5111D"/>
    <w:rsid w:val="5FC52828"/>
    <w:rsid w:val="5FC553F9"/>
    <w:rsid w:val="5FC627A0"/>
    <w:rsid w:val="5FC66C44"/>
    <w:rsid w:val="5FC829BC"/>
    <w:rsid w:val="5FC92290"/>
    <w:rsid w:val="5FCA04E2"/>
    <w:rsid w:val="5FCF5AF8"/>
    <w:rsid w:val="5FD21144"/>
    <w:rsid w:val="5FD30EEC"/>
    <w:rsid w:val="5FD44EBD"/>
    <w:rsid w:val="5FD50BDC"/>
    <w:rsid w:val="5FD64043"/>
    <w:rsid w:val="5FD72BFF"/>
    <w:rsid w:val="5FDC2A14"/>
    <w:rsid w:val="5FDC6467"/>
    <w:rsid w:val="5FDD1F3F"/>
    <w:rsid w:val="5FDE3F8D"/>
    <w:rsid w:val="5FE44BAF"/>
    <w:rsid w:val="5FE5356E"/>
    <w:rsid w:val="5FE62E42"/>
    <w:rsid w:val="5FE65D8B"/>
    <w:rsid w:val="5FE76832"/>
    <w:rsid w:val="5FE86BBA"/>
    <w:rsid w:val="5FEB14C7"/>
    <w:rsid w:val="5FED2422"/>
    <w:rsid w:val="5FED5F7E"/>
    <w:rsid w:val="5FEF619A"/>
    <w:rsid w:val="5FEF7F48"/>
    <w:rsid w:val="5FF05A6E"/>
    <w:rsid w:val="5FF253B4"/>
    <w:rsid w:val="5FF4555F"/>
    <w:rsid w:val="5FF4730D"/>
    <w:rsid w:val="5FF756B7"/>
    <w:rsid w:val="5FF84C06"/>
    <w:rsid w:val="5FFA3939"/>
    <w:rsid w:val="5FFB2743"/>
    <w:rsid w:val="5FFB4B3F"/>
    <w:rsid w:val="5FFB5ED3"/>
    <w:rsid w:val="5FFD26C3"/>
    <w:rsid w:val="6005151A"/>
    <w:rsid w:val="60065292"/>
    <w:rsid w:val="60082DB8"/>
    <w:rsid w:val="600929DD"/>
    <w:rsid w:val="600D03CE"/>
    <w:rsid w:val="600D4872"/>
    <w:rsid w:val="60116111"/>
    <w:rsid w:val="60121E89"/>
    <w:rsid w:val="601222BF"/>
    <w:rsid w:val="60123C37"/>
    <w:rsid w:val="6014175D"/>
    <w:rsid w:val="60162936"/>
    <w:rsid w:val="60165144"/>
    <w:rsid w:val="601654D5"/>
    <w:rsid w:val="6017021D"/>
    <w:rsid w:val="60222571"/>
    <w:rsid w:val="60251BBC"/>
    <w:rsid w:val="60261490"/>
    <w:rsid w:val="60292F74"/>
    <w:rsid w:val="602A2D2E"/>
    <w:rsid w:val="602C6E9F"/>
    <w:rsid w:val="602D6EC7"/>
    <w:rsid w:val="602F2A3B"/>
    <w:rsid w:val="603566CC"/>
    <w:rsid w:val="603826E4"/>
    <w:rsid w:val="603C70D0"/>
    <w:rsid w:val="603F1B39"/>
    <w:rsid w:val="60432042"/>
    <w:rsid w:val="60460101"/>
    <w:rsid w:val="604858AA"/>
    <w:rsid w:val="60496092"/>
    <w:rsid w:val="604B445B"/>
    <w:rsid w:val="604B6FB7"/>
    <w:rsid w:val="604B79B8"/>
    <w:rsid w:val="604C0EF7"/>
    <w:rsid w:val="604D1FAD"/>
    <w:rsid w:val="604F6C39"/>
    <w:rsid w:val="605129B1"/>
    <w:rsid w:val="6051650D"/>
    <w:rsid w:val="605204D7"/>
    <w:rsid w:val="60522285"/>
    <w:rsid w:val="6054424F"/>
    <w:rsid w:val="60583D40"/>
    <w:rsid w:val="60585031"/>
    <w:rsid w:val="60591866"/>
    <w:rsid w:val="60593614"/>
    <w:rsid w:val="60597AB8"/>
    <w:rsid w:val="605C0804"/>
    <w:rsid w:val="605D4865"/>
    <w:rsid w:val="605E58D0"/>
    <w:rsid w:val="60602BF4"/>
    <w:rsid w:val="6060478C"/>
    <w:rsid w:val="606049A2"/>
    <w:rsid w:val="60630E09"/>
    <w:rsid w:val="60634492"/>
    <w:rsid w:val="60636240"/>
    <w:rsid w:val="60675917"/>
    <w:rsid w:val="606D70BF"/>
    <w:rsid w:val="60712CDB"/>
    <w:rsid w:val="60714E01"/>
    <w:rsid w:val="60744951"/>
    <w:rsid w:val="607466A0"/>
    <w:rsid w:val="6077558E"/>
    <w:rsid w:val="6078146D"/>
    <w:rsid w:val="607E12CC"/>
    <w:rsid w:val="607E307A"/>
    <w:rsid w:val="607E6806"/>
    <w:rsid w:val="60822B6A"/>
    <w:rsid w:val="60844B35"/>
    <w:rsid w:val="60850EA0"/>
    <w:rsid w:val="60854409"/>
    <w:rsid w:val="6086691E"/>
    <w:rsid w:val="60893CCD"/>
    <w:rsid w:val="608A5EC3"/>
    <w:rsid w:val="608B742A"/>
    <w:rsid w:val="608C5797"/>
    <w:rsid w:val="608D48B4"/>
    <w:rsid w:val="608F34D9"/>
    <w:rsid w:val="608F4782"/>
    <w:rsid w:val="60932876"/>
    <w:rsid w:val="60940C49"/>
    <w:rsid w:val="60966616"/>
    <w:rsid w:val="609B4806"/>
    <w:rsid w:val="609D1752"/>
    <w:rsid w:val="609D5BF6"/>
    <w:rsid w:val="609E4634"/>
    <w:rsid w:val="60A521F2"/>
    <w:rsid w:val="60A56859"/>
    <w:rsid w:val="60A61275"/>
    <w:rsid w:val="60A96349"/>
    <w:rsid w:val="60AB70B7"/>
    <w:rsid w:val="60AF592A"/>
    <w:rsid w:val="60B022F1"/>
    <w:rsid w:val="60B13450"/>
    <w:rsid w:val="60B66CB8"/>
    <w:rsid w:val="60B92304"/>
    <w:rsid w:val="60BF5B6D"/>
    <w:rsid w:val="60C2565D"/>
    <w:rsid w:val="60C413D5"/>
    <w:rsid w:val="60C72C73"/>
    <w:rsid w:val="60C83757"/>
    <w:rsid w:val="60CA4511"/>
    <w:rsid w:val="60CA62C0"/>
    <w:rsid w:val="60CC405A"/>
    <w:rsid w:val="60D33493"/>
    <w:rsid w:val="60D40EEC"/>
    <w:rsid w:val="60D42121"/>
    <w:rsid w:val="60D62EB6"/>
    <w:rsid w:val="60D64C64"/>
    <w:rsid w:val="60D86C2E"/>
    <w:rsid w:val="60D96503"/>
    <w:rsid w:val="60DB04CD"/>
    <w:rsid w:val="60DB671F"/>
    <w:rsid w:val="60DD2497"/>
    <w:rsid w:val="60E0467B"/>
    <w:rsid w:val="60E26F9B"/>
    <w:rsid w:val="60E47381"/>
    <w:rsid w:val="60E530F9"/>
    <w:rsid w:val="60E9237B"/>
    <w:rsid w:val="60E94998"/>
    <w:rsid w:val="60E965B5"/>
    <w:rsid w:val="60EA0710"/>
    <w:rsid w:val="60EB070E"/>
    <w:rsid w:val="60EB4BB4"/>
    <w:rsid w:val="60EC092C"/>
    <w:rsid w:val="60EC4488"/>
    <w:rsid w:val="60EE553E"/>
    <w:rsid w:val="60F03F78"/>
    <w:rsid w:val="60F10FEA"/>
    <w:rsid w:val="60F11A9E"/>
    <w:rsid w:val="60F17CF0"/>
    <w:rsid w:val="60F4333C"/>
    <w:rsid w:val="60F439C8"/>
    <w:rsid w:val="60F63558"/>
    <w:rsid w:val="60F670B5"/>
    <w:rsid w:val="60F8107F"/>
    <w:rsid w:val="60FA4DF7"/>
    <w:rsid w:val="60FA6BA5"/>
    <w:rsid w:val="60FB291D"/>
    <w:rsid w:val="60FE457C"/>
    <w:rsid w:val="60FE6E32"/>
    <w:rsid w:val="61001CE1"/>
    <w:rsid w:val="610572F8"/>
    <w:rsid w:val="610619ED"/>
    <w:rsid w:val="610712C2"/>
    <w:rsid w:val="61073070"/>
    <w:rsid w:val="6109328C"/>
    <w:rsid w:val="610B0DB2"/>
    <w:rsid w:val="610C0AC7"/>
    <w:rsid w:val="610E43FE"/>
    <w:rsid w:val="611052AC"/>
    <w:rsid w:val="611330BF"/>
    <w:rsid w:val="61137C66"/>
    <w:rsid w:val="611759A9"/>
    <w:rsid w:val="611B4D6D"/>
    <w:rsid w:val="611D2893"/>
    <w:rsid w:val="6122434D"/>
    <w:rsid w:val="612260FC"/>
    <w:rsid w:val="61235240"/>
    <w:rsid w:val="61243C22"/>
    <w:rsid w:val="6126423F"/>
    <w:rsid w:val="6126799A"/>
    <w:rsid w:val="61273F56"/>
    <w:rsid w:val="612754C0"/>
    <w:rsid w:val="61291238"/>
    <w:rsid w:val="612956DC"/>
    <w:rsid w:val="612C2AD6"/>
    <w:rsid w:val="612E73A5"/>
    <w:rsid w:val="61306A6A"/>
    <w:rsid w:val="613227E3"/>
    <w:rsid w:val="61355E2F"/>
    <w:rsid w:val="6138147B"/>
    <w:rsid w:val="613927A0"/>
    <w:rsid w:val="613A1697"/>
    <w:rsid w:val="613A3445"/>
    <w:rsid w:val="613B1B1E"/>
    <w:rsid w:val="613C71BD"/>
    <w:rsid w:val="613D4CE3"/>
    <w:rsid w:val="613E1BE5"/>
    <w:rsid w:val="61412A26"/>
    <w:rsid w:val="6142679E"/>
    <w:rsid w:val="614479B7"/>
    <w:rsid w:val="61463829"/>
    <w:rsid w:val="6147221F"/>
    <w:rsid w:val="61475B62"/>
    <w:rsid w:val="61477910"/>
    <w:rsid w:val="61480D1A"/>
    <w:rsid w:val="61483DB4"/>
    <w:rsid w:val="614B7400"/>
    <w:rsid w:val="614C1849"/>
    <w:rsid w:val="614D13CA"/>
    <w:rsid w:val="614E0C9F"/>
    <w:rsid w:val="615045C2"/>
    <w:rsid w:val="61504A17"/>
    <w:rsid w:val="6151253D"/>
    <w:rsid w:val="615269E1"/>
    <w:rsid w:val="61532759"/>
    <w:rsid w:val="615564D1"/>
    <w:rsid w:val="61563B00"/>
    <w:rsid w:val="61565DA5"/>
    <w:rsid w:val="61577C0E"/>
    <w:rsid w:val="615C33BC"/>
    <w:rsid w:val="61610632"/>
    <w:rsid w:val="6162474A"/>
    <w:rsid w:val="61644D94"/>
    <w:rsid w:val="61671D60"/>
    <w:rsid w:val="616832DA"/>
    <w:rsid w:val="616927E9"/>
    <w:rsid w:val="616A54FA"/>
    <w:rsid w:val="616C7377"/>
    <w:rsid w:val="616D381B"/>
    <w:rsid w:val="61700EE1"/>
    <w:rsid w:val="617050B9"/>
    <w:rsid w:val="61706E67"/>
    <w:rsid w:val="6171498D"/>
    <w:rsid w:val="61722BDF"/>
    <w:rsid w:val="61724130"/>
    <w:rsid w:val="61734BA9"/>
    <w:rsid w:val="61751B5A"/>
    <w:rsid w:val="617526CF"/>
    <w:rsid w:val="61772657"/>
    <w:rsid w:val="61774699"/>
    <w:rsid w:val="6178019B"/>
    <w:rsid w:val="61783F6D"/>
    <w:rsid w:val="61785D1C"/>
    <w:rsid w:val="617862D8"/>
    <w:rsid w:val="617932CB"/>
    <w:rsid w:val="61796676"/>
    <w:rsid w:val="6180601E"/>
    <w:rsid w:val="6182233B"/>
    <w:rsid w:val="6183303E"/>
    <w:rsid w:val="61834DEC"/>
    <w:rsid w:val="61840B64"/>
    <w:rsid w:val="618648DC"/>
    <w:rsid w:val="61880654"/>
    <w:rsid w:val="618B5A4F"/>
    <w:rsid w:val="618D5C6B"/>
    <w:rsid w:val="618F5234"/>
    <w:rsid w:val="61901208"/>
    <w:rsid w:val="6192502F"/>
    <w:rsid w:val="61931569"/>
    <w:rsid w:val="619459BA"/>
    <w:rsid w:val="61954B1F"/>
    <w:rsid w:val="61956872"/>
    <w:rsid w:val="619568CD"/>
    <w:rsid w:val="61970898"/>
    <w:rsid w:val="619743F4"/>
    <w:rsid w:val="619830D1"/>
    <w:rsid w:val="61994610"/>
    <w:rsid w:val="619C2EE2"/>
    <w:rsid w:val="619C4100"/>
    <w:rsid w:val="619D39D4"/>
    <w:rsid w:val="619D5782"/>
    <w:rsid w:val="619E6E99"/>
    <w:rsid w:val="619F14FA"/>
    <w:rsid w:val="619F599E"/>
    <w:rsid w:val="619F774C"/>
    <w:rsid w:val="61A11716"/>
    <w:rsid w:val="61A22D98"/>
    <w:rsid w:val="61A26D54"/>
    <w:rsid w:val="61A3723C"/>
    <w:rsid w:val="61A7499C"/>
    <w:rsid w:val="61AA08AC"/>
    <w:rsid w:val="61AA6976"/>
    <w:rsid w:val="61AD1E69"/>
    <w:rsid w:val="61AE1315"/>
    <w:rsid w:val="61AE5BE1"/>
    <w:rsid w:val="61AF619D"/>
    <w:rsid w:val="61B03707"/>
    <w:rsid w:val="61B05787"/>
    <w:rsid w:val="61B256D1"/>
    <w:rsid w:val="61B31169"/>
    <w:rsid w:val="61B45A19"/>
    <w:rsid w:val="61B551C2"/>
    <w:rsid w:val="61B9080E"/>
    <w:rsid w:val="61BA63CF"/>
    <w:rsid w:val="61BA66AD"/>
    <w:rsid w:val="61BD0EFD"/>
    <w:rsid w:val="61BD7BD2"/>
    <w:rsid w:val="61BF7DEE"/>
    <w:rsid w:val="61C33850"/>
    <w:rsid w:val="61C4751D"/>
    <w:rsid w:val="61C82C16"/>
    <w:rsid w:val="61C91196"/>
    <w:rsid w:val="61C96577"/>
    <w:rsid w:val="61CB0541"/>
    <w:rsid w:val="61CD42B9"/>
    <w:rsid w:val="61CD4827"/>
    <w:rsid w:val="61CD48C6"/>
    <w:rsid w:val="61CF7201"/>
    <w:rsid w:val="61D218D0"/>
    <w:rsid w:val="61D2367E"/>
    <w:rsid w:val="61D27B22"/>
    <w:rsid w:val="61D35B82"/>
    <w:rsid w:val="61D92C5E"/>
    <w:rsid w:val="61D94A0C"/>
    <w:rsid w:val="61DA69D6"/>
    <w:rsid w:val="61DC274E"/>
    <w:rsid w:val="61DC62AA"/>
    <w:rsid w:val="61DE0274"/>
    <w:rsid w:val="61DF3FED"/>
    <w:rsid w:val="61DF4125"/>
    <w:rsid w:val="61E00186"/>
    <w:rsid w:val="61E12D57"/>
    <w:rsid w:val="61E215D8"/>
    <w:rsid w:val="61E41603"/>
    <w:rsid w:val="61E433B1"/>
    <w:rsid w:val="61E51DD1"/>
    <w:rsid w:val="61E6537B"/>
    <w:rsid w:val="61E67129"/>
    <w:rsid w:val="61E75263"/>
    <w:rsid w:val="61EA60D2"/>
    <w:rsid w:val="61EB172D"/>
    <w:rsid w:val="61EF2482"/>
    <w:rsid w:val="61EF41C6"/>
    <w:rsid w:val="61EF4230"/>
    <w:rsid w:val="61F06098"/>
    <w:rsid w:val="61F07C7B"/>
    <w:rsid w:val="61F335F4"/>
    <w:rsid w:val="61F45CEA"/>
    <w:rsid w:val="61F53810"/>
    <w:rsid w:val="61F730E4"/>
    <w:rsid w:val="61F77588"/>
    <w:rsid w:val="61F9246E"/>
    <w:rsid w:val="61FC06FB"/>
    <w:rsid w:val="61FC4B9F"/>
    <w:rsid w:val="61FE0917"/>
    <w:rsid w:val="61FF5646"/>
    <w:rsid w:val="62004B9F"/>
    <w:rsid w:val="62051CA5"/>
    <w:rsid w:val="620666CF"/>
    <w:rsid w:val="6208709F"/>
    <w:rsid w:val="62096E92"/>
    <w:rsid w:val="620A1069"/>
    <w:rsid w:val="620C6918"/>
    <w:rsid w:val="620D0B5A"/>
    <w:rsid w:val="620F4693"/>
    <w:rsid w:val="62143C96"/>
    <w:rsid w:val="621517BC"/>
    <w:rsid w:val="62195745"/>
    <w:rsid w:val="62195750"/>
    <w:rsid w:val="62196E86"/>
    <w:rsid w:val="621A7FA7"/>
    <w:rsid w:val="621B3775"/>
    <w:rsid w:val="6220088D"/>
    <w:rsid w:val="6221239C"/>
    <w:rsid w:val="62285198"/>
    <w:rsid w:val="622A5268"/>
    <w:rsid w:val="622B7232"/>
    <w:rsid w:val="622C52FC"/>
    <w:rsid w:val="622F1785"/>
    <w:rsid w:val="622F287E"/>
    <w:rsid w:val="62312A9A"/>
    <w:rsid w:val="62314848"/>
    <w:rsid w:val="623202F9"/>
    <w:rsid w:val="623205C0"/>
    <w:rsid w:val="62357B08"/>
    <w:rsid w:val="62360470"/>
    <w:rsid w:val="62364782"/>
    <w:rsid w:val="6237240F"/>
    <w:rsid w:val="623C143F"/>
    <w:rsid w:val="623D49B2"/>
    <w:rsid w:val="623E6F65"/>
    <w:rsid w:val="62404C02"/>
    <w:rsid w:val="62406216"/>
    <w:rsid w:val="62410803"/>
    <w:rsid w:val="6243457B"/>
    <w:rsid w:val="62441BA0"/>
    <w:rsid w:val="624532D2"/>
    <w:rsid w:val="624C1682"/>
    <w:rsid w:val="624C78D4"/>
    <w:rsid w:val="624F3747"/>
    <w:rsid w:val="624F4CCE"/>
    <w:rsid w:val="62500A46"/>
    <w:rsid w:val="6251249F"/>
    <w:rsid w:val="62523DDE"/>
    <w:rsid w:val="62570027"/>
    <w:rsid w:val="62595B4D"/>
    <w:rsid w:val="625A7C0B"/>
    <w:rsid w:val="625B7B17"/>
    <w:rsid w:val="625C2C9A"/>
    <w:rsid w:val="625E2BDD"/>
    <w:rsid w:val="625E3163"/>
    <w:rsid w:val="62602AAB"/>
    <w:rsid w:val="62606EDB"/>
    <w:rsid w:val="6263230B"/>
    <w:rsid w:val="626544F2"/>
    <w:rsid w:val="626611F9"/>
    <w:rsid w:val="626764BC"/>
    <w:rsid w:val="62682234"/>
    <w:rsid w:val="62685D90"/>
    <w:rsid w:val="626A672E"/>
    <w:rsid w:val="626B7BBE"/>
    <w:rsid w:val="626C270F"/>
    <w:rsid w:val="627110E9"/>
    <w:rsid w:val="62740BD9"/>
    <w:rsid w:val="62742987"/>
    <w:rsid w:val="62774225"/>
    <w:rsid w:val="62775FD3"/>
    <w:rsid w:val="62780D32"/>
    <w:rsid w:val="627920B2"/>
    <w:rsid w:val="627959E9"/>
    <w:rsid w:val="627B4AE2"/>
    <w:rsid w:val="627B5AC3"/>
    <w:rsid w:val="627C183B"/>
    <w:rsid w:val="627E3F4F"/>
    <w:rsid w:val="627E55B4"/>
    <w:rsid w:val="627E7362"/>
    <w:rsid w:val="628030DA"/>
    <w:rsid w:val="62864468"/>
    <w:rsid w:val="6287090C"/>
    <w:rsid w:val="62890576"/>
    <w:rsid w:val="628A03FC"/>
    <w:rsid w:val="628B2AA9"/>
    <w:rsid w:val="628E223A"/>
    <w:rsid w:val="628F77C1"/>
    <w:rsid w:val="62913539"/>
    <w:rsid w:val="62935DB1"/>
    <w:rsid w:val="62976109"/>
    <w:rsid w:val="629762BF"/>
    <w:rsid w:val="629923ED"/>
    <w:rsid w:val="629A2C3C"/>
    <w:rsid w:val="629A5F97"/>
    <w:rsid w:val="629D1EDE"/>
    <w:rsid w:val="629D3C8C"/>
    <w:rsid w:val="629F458E"/>
    <w:rsid w:val="62A019CE"/>
    <w:rsid w:val="62A3326C"/>
    <w:rsid w:val="62A36DC8"/>
    <w:rsid w:val="62A52B40"/>
    <w:rsid w:val="62A56FE4"/>
    <w:rsid w:val="62A67D90"/>
    <w:rsid w:val="62A74B0A"/>
    <w:rsid w:val="62A80882"/>
    <w:rsid w:val="62AA0157"/>
    <w:rsid w:val="62AA45FB"/>
    <w:rsid w:val="62AC2121"/>
    <w:rsid w:val="62AD7C47"/>
    <w:rsid w:val="62AE2542"/>
    <w:rsid w:val="62AE40EB"/>
    <w:rsid w:val="62B114E5"/>
    <w:rsid w:val="62B334AF"/>
    <w:rsid w:val="62B45479"/>
    <w:rsid w:val="62B861C5"/>
    <w:rsid w:val="62B9483E"/>
    <w:rsid w:val="62BD2580"/>
    <w:rsid w:val="62BE4D26"/>
    <w:rsid w:val="62C03E1E"/>
    <w:rsid w:val="62C3746A"/>
    <w:rsid w:val="62C55BF8"/>
    <w:rsid w:val="62C715FC"/>
    <w:rsid w:val="62C73DAD"/>
    <w:rsid w:val="62C751AC"/>
    <w:rsid w:val="62C95369"/>
    <w:rsid w:val="62CB0A4E"/>
    <w:rsid w:val="62CF7BBD"/>
    <w:rsid w:val="62D0059F"/>
    <w:rsid w:val="62D3168C"/>
    <w:rsid w:val="62D376AD"/>
    <w:rsid w:val="62D578C9"/>
    <w:rsid w:val="62D653F0"/>
    <w:rsid w:val="62D82F16"/>
    <w:rsid w:val="62DB2A06"/>
    <w:rsid w:val="62DD052C"/>
    <w:rsid w:val="62DD677E"/>
    <w:rsid w:val="62DE2F31"/>
    <w:rsid w:val="62DE4630"/>
    <w:rsid w:val="62E0001C"/>
    <w:rsid w:val="62E053D1"/>
    <w:rsid w:val="62E23D94"/>
    <w:rsid w:val="62E278F0"/>
    <w:rsid w:val="62E33669"/>
    <w:rsid w:val="62E418BB"/>
    <w:rsid w:val="62E47B0C"/>
    <w:rsid w:val="62E53885"/>
    <w:rsid w:val="62E66672"/>
    <w:rsid w:val="62E93375"/>
    <w:rsid w:val="62EA2C49"/>
    <w:rsid w:val="62EA65F7"/>
    <w:rsid w:val="62EC076F"/>
    <w:rsid w:val="62EC4C13"/>
    <w:rsid w:val="62EC69C1"/>
    <w:rsid w:val="62EF200D"/>
    <w:rsid w:val="62F31AFE"/>
    <w:rsid w:val="62F42FAE"/>
    <w:rsid w:val="62F64A26"/>
    <w:rsid w:val="62F76B7F"/>
    <w:rsid w:val="62F85366"/>
    <w:rsid w:val="62F92E8C"/>
    <w:rsid w:val="62F94650"/>
    <w:rsid w:val="62FB09B2"/>
    <w:rsid w:val="62FB6C04"/>
    <w:rsid w:val="62FF66F4"/>
    <w:rsid w:val="630006BE"/>
    <w:rsid w:val="6302508C"/>
    <w:rsid w:val="63057105"/>
    <w:rsid w:val="63057C59"/>
    <w:rsid w:val="630755A9"/>
    <w:rsid w:val="630A2513"/>
    <w:rsid w:val="630A3F6B"/>
    <w:rsid w:val="630A5099"/>
    <w:rsid w:val="630B6EFD"/>
    <w:rsid w:val="630F1EF9"/>
    <w:rsid w:val="63104E4E"/>
    <w:rsid w:val="631126FF"/>
    <w:rsid w:val="6311467A"/>
    <w:rsid w:val="631321A0"/>
    <w:rsid w:val="63147CC6"/>
    <w:rsid w:val="63177ED6"/>
    <w:rsid w:val="631B1A72"/>
    <w:rsid w:val="631C5D0B"/>
    <w:rsid w:val="631F0B45"/>
    <w:rsid w:val="63247F09"/>
    <w:rsid w:val="63251ED3"/>
    <w:rsid w:val="63273E9D"/>
    <w:rsid w:val="6329551F"/>
    <w:rsid w:val="632C14B3"/>
    <w:rsid w:val="632C3261"/>
    <w:rsid w:val="632C5010"/>
    <w:rsid w:val="632D632B"/>
    <w:rsid w:val="63351CAA"/>
    <w:rsid w:val="633610BE"/>
    <w:rsid w:val="63367C3C"/>
    <w:rsid w:val="633B16F7"/>
    <w:rsid w:val="633B5253"/>
    <w:rsid w:val="633D1CE0"/>
    <w:rsid w:val="633D721D"/>
    <w:rsid w:val="63416D0D"/>
    <w:rsid w:val="634560D1"/>
    <w:rsid w:val="634618CB"/>
    <w:rsid w:val="63471E49"/>
    <w:rsid w:val="63497970"/>
    <w:rsid w:val="634A36E8"/>
    <w:rsid w:val="634C52A5"/>
    <w:rsid w:val="634D16D3"/>
    <w:rsid w:val="634F200A"/>
    <w:rsid w:val="63506F50"/>
    <w:rsid w:val="63512CC8"/>
    <w:rsid w:val="63545442"/>
    <w:rsid w:val="63556314"/>
    <w:rsid w:val="635602DE"/>
    <w:rsid w:val="63576530"/>
    <w:rsid w:val="635A7DCF"/>
    <w:rsid w:val="635D78BF"/>
    <w:rsid w:val="6361115D"/>
    <w:rsid w:val="636137B2"/>
    <w:rsid w:val="63633AA7"/>
    <w:rsid w:val="63660521"/>
    <w:rsid w:val="63696264"/>
    <w:rsid w:val="636C18B0"/>
    <w:rsid w:val="636C5ADF"/>
    <w:rsid w:val="636E73D6"/>
    <w:rsid w:val="6372336A"/>
    <w:rsid w:val="63754C08"/>
    <w:rsid w:val="63770981"/>
    <w:rsid w:val="63780255"/>
    <w:rsid w:val="6379568A"/>
    <w:rsid w:val="637A3646"/>
    <w:rsid w:val="637C7D45"/>
    <w:rsid w:val="637E7323"/>
    <w:rsid w:val="637F15E3"/>
    <w:rsid w:val="637F3391"/>
    <w:rsid w:val="637F7835"/>
    <w:rsid w:val="63817322"/>
    <w:rsid w:val="63840DD8"/>
    <w:rsid w:val="638559B0"/>
    <w:rsid w:val="63864720"/>
    <w:rsid w:val="6388493C"/>
    <w:rsid w:val="63897B24"/>
    <w:rsid w:val="638A396F"/>
    <w:rsid w:val="638B61DA"/>
    <w:rsid w:val="638B7F88"/>
    <w:rsid w:val="638C3D00"/>
    <w:rsid w:val="638E56DB"/>
    <w:rsid w:val="638E5CCA"/>
    <w:rsid w:val="639332E1"/>
    <w:rsid w:val="6394356A"/>
    <w:rsid w:val="63972DD1"/>
    <w:rsid w:val="6397692D"/>
    <w:rsid w:val="63993BF4"/>
    <w:rsid w:val="639A01CB"/>
    <w:rsid w:val="639A641D"/>
    <w:rsid w:val="639B1BC7"/>
    <w:rsid w:val="639F57E1"/>
    <w:rsid w:val="63A2677A"/>
    <w:rsid w:val="63A30878"/>
    <w:rsid w:val="63A31776"/>
    <w:rsid w:val="63AA5296"/>
    <w:rsid w:val="63AB062A"/>
    <w:rsid w:val="63AD43A2"/>
    <w:rsid w:val="63AE1EC8"/>
    <w:rsid w:val="63B53257"/>
    <w:rsid w:val="63B75221"/>
    <w:rsid w:val="63B76FCF"/>
    <w:rsid w:val="63BE6EDC"/>
    <w:rsid w:val="63C01BA2"/>
    <w:rsid w:val="63C61B2C"/>
    <w:rsid w:val="63C65464"/>
    <w:rsid w:val="63C74D38"/>
    <w:rsid w:val="63CD0590"/>
    <w:rsid w:val="63D01E3F"/>
    <w:rsid w:val="63D170AC"/>
    <w:rsid w:val="63D17EA6"/>
    <w:rsid w:val="63D3192F"/>
    <w:rsid w:val="63D40BE9"/>
    <w:rsid w:val="63D54188"/>
    <w:rsid w:val="63D556A7"/>
    <w:rsid w:val="63D57455"/>
    <w:rsid w:val="63DA3BD9"/>
    <w:rsid w:val="63DC29E0"/>
    <w:rsid w:val="63DC6A36"/>
    <w:rsid w:val="63DD455C"/>
    <w:rsid w:val="63DF6526"/>
    <w:rsid w:val="63E15DFA"/>
    <w:rsid w:val="63E304B5"/>
    <w:rsid w:val="63E35FAE"/>
    <w:rsid w:val="63E37DC4"/>
    <w:rsid w:val="63E421C2"/>
    <w:rsid w:val="63E43B3C"/>
    <w:rsid w:val="63E80DAE"/>
    <w:rsid w:val="63E853DA"/>
    <w:rsid w:val="63E87188"/>
    <w:rsid w:val="63EC1709"/>
    <w:rsid w:val="63F0428F"/>
    <w:rsid w:val="63F07540"/>
    <w:rsid w:val="63F41FD1"/>
    <w:rsid w:val="63F65F40"/>
    <w:rsid w:val="63F75A4B"/>
    <w:rsid w:val="63F773CC"/>
    <w:rsid w:val="63F84591"/>
    <w:rsid w:val="63FA3360"/>
    <w:rsid w:val="63FA510E"/>
    <w:rsid w:val="63FB4E45"/>
    <w:rsid w:val="63FC70D8"/>
    <w:rsid w:val="63FD075A"/>
    <w:rsid w:val="63FD1B44"/>
    <w:rsid w:val="63FF0976"/>
    <w:rsid w:val="64030466"/>
    <w:rsid w:val="64032214"/>
    <w:rsid w:val="64041AE8"/>
    <w:rsid w:val="64044275"/>
    <w:rsid w:val="640444F7"/>
    <w:rsid w:val="64060252"/>
    <w:rsid w:val="640815D9"/>
    <w:rsid w:val="640A6EFE"/>
    <w:rsid w:val="640B731B"/>
    <w:rsid w:val="640E01F6"/>
    <w:rsid w:val="640F7236"/>
    <w:rsid w:val="64102431"/>
    <w:rsid w:val="641206A9"/>
    <w:rsid w:val="64137F7D"/>
    <w:rsid w:val="6416019A"/>
    <w:rsid w:val="64176B83"/>
    <w:rsid w:val="64192C29"/>
    <w:rsid w:val="64195594"/>
    <w:rsid w:val="641C32D6"/>
    <w:rsid w:val="641D11DC"/>
    <w:rsid w:val="641E0DFC"/>
    <w:rsid w:val="64202DC6"/>
    <w:rsid w:val="6421269A"/>
    <w:rsid w:val="6424218B"/>
    <w:rsid w:val="642450F2"/>
    <w:rsid w:val="64265F03"/>
    <w:rsid w:val="64267CB1"/>
    <w:rsid w:val="64281C7B"/>
    <w:rsid w:val="64283A29"/>
    <w:rsid w:val="64287ECD"/>
    <w:rsid w:val="64296519"/>
    <w:rsid w:val="642B176B"/>
    <w:rsid w:val="642C1431"/>
    <w:rsid w:val="64322AF9"/>
    <w:rsid w:val="643423CE"/>
    <w:rsid w:val="64354398"/>
    <w:rsid w:val="64357EF4"/>
    <w:rsid w:val="64371EBE"/>
    <w:rsid w:val="64383FFB"/>
    <w:rsid w:val="64395C36"/>
    <w:rsid w:val="643C6CB2"/>
    <w:rsid w:val="64412D3D"/>
    <w:rsid w:val="64460353"/>
    <w:rsid w:val="644665A5"/>
    <w:rsid w:val="644840EA"/>
    <w:rsid w:val="64487AEA"/>
    <w:rsid w:val="644D16E1"/>
    <w:rsid w:val="644F4425"/>
    <w:rsid w:val="644F681B"/>
    <w:rsid w:val="644F7208"/>
    <w:rsid w:val="64520AA6"/>
    <w:rsid w:val="64526CF8"/>
    <w:rsid w:val="64542A70"/>
    <w:rsid w:val="6454481E"/>
    <w:rsid w:val="64550596"/>
    <w:rsid w:val="6455525E"/>
    <w:rsid w:val="64572560"/>
    <w:rsid w:val="645760BC"/>
    <w:rsid w:val="645962D8"/>
    <w:rsid w:val="645A392E"/>
    <w:rsid w:val="645C1924"/>
    <w:rsid w:val="645D39F0"/>
    <w:rsid w:val="645E38EF"/>
    <w:rsid w:val="64610655"/>
    <w:rsid w:val="64615A93"/>
    <w:rsid w:val="64630F05"/>
    <w:rsid w:val="646475B1"/>
    <w:rsid w:val="64653612"/>
    <w:rsid w:val="646661D7"/>
    <w:rsid w:val="64682077"/>
    <w:rsid w:val="64696C1E"/>
    <w:rsid w:val="646A4041"/>
    <w:rsid w:val="646A5DEF"/>
    <w:rsid w:val="646B7DB9"/>
    <w:rsid w:val="646D1D84"/>
    <w:rsid w:val="646F1658"/>
    <w:rsid w:val="647130AD"/>
    <w:rsid w:val="647153D0"/>
    <w:rsid w:val="64722EF6"/>
    <w:rsid w:val="64764358"/>
    <w:rsid w:val="647A7079"/>
    <w:rsid w:val="647C54E3"/>
    <w:rsid w:val="647E4A19"/>
    <w:rsid w:val="64833355"/>
    <w:rsid w:val="64852C29"/>
    <w:rsid w:val="64872E45"/>
    <w:rsid w:val="64874BF3"/>
    <w:rsid w:val="6487796F"/>
    <w:rsid w:val="648C180A"/>
    <w:rsid w:val="649015CE"/>
    <w:rsid w:val="64917820"/>
    <w:rsid w:val="64925346"/>
    <w:rsid w:val="64963088"/>
    <w:rsid w:val="649C61C5"/>
    <w:rsid w:val="649D4417"/>
    <w:rsid w:val="64A07804"/>
    <w:rsid w:val="64A324A5"/>
    <w:rsid w:val="64A5243A"/>
    <w:rsid w:val="64A55009"/>
    <w:rsid w:val="64A55079"/>
    <w:rsid w:val="64A6459D"/>
    <w:rsid w:val="64A77044"/>
    <w:rsid w:val="64A82DBC"/>
    <w:rsid w:val="64A84B6A"/>
    <w:rsid w:val="64A92B53"/>
    <w:rsid w:val="64AA08E2"/>
    <w:rsid w:val="64AB3C8E"/>
    <w:rsid w:val="64AD03D2"/>
    <w:rsid w:val="64AD2C74"/>
    <w:rsid w:val="64AD3F2E"/>
    <w:rsid w:val="64B13A1E"/>
    <w:rsid w:val="64B21544"/>
    <w:rsid w:val="64B323F1"/>
    <w:rsid w:val="64B345E2"/>
    <w:rsid w:val="64B53282"/>
    <w:rsid w:val="64B928D3"/>
    <w:rsid w:val="64BB2AEF"/>
    <w:rsid w:val="64BB2CCB"/>
    <w:rsid w:val="64BB664B"/>
    <w:rsid w:val="64BC316F"/>
    <w:rsid w:val="64BD6867"/>
    <w:rsid w:val="64BE0410"/>
    <w:rsid w:val="64C179D9"/>
    <w:rsid w:val="64C23E7D"/>
    <w:rsid w:val="64C73242"/>
    <w:rsid w:val="64C9520C"/>
    <w:rsid w:val="64CB27C0"/>
    <w:rsid w:val="64CC2606"/>
    <w:rsid w:val="64CE1093"/>
    <w:rsid w:val="64CE2822"/>
    <w:rsid w:val="64CE3F49"/>
    <w:rsid w:val="64CF20F6"/>
    <w:rsid w:val="64D37E39"/>
    <w:rsid w:val="64D616D7"/>
    <w:rsid w:val="64D92F75"/>
    <w:rsid w:val="64DA0C9B"/>
    <w:rsid w:val="64DA50F8"/>
    <w:rsid w:val="64DB6CED"/>
    <w:rsid w:val="64DD2A65"/>
    <w:rsid w:val="64DD4813"/>
    <w:rsid w:val="64E02555"/>
    <w:rsid w:val="64E2007C"/>
    <w:rsid w:val="64E21E2A"/>
    <w:rsid w:val="64E738E4"/>
    <w:rsid w:val="64E97D5C"/>
    <w:rsid w:val="64EA6F30"/>
    <w:rsid w:val="64EC4A56"/>
    <w:rsid w:val="64EE7439"/>
    <w:rsid w:val="64F1206D"/>
    <w:rsid w:val="64F14763"/>
    <w:rsid w:val="64F2575D"/>
    <w:rsid w:val="64F47DAF"/>
    <w:rsid w:val="64F531DE"/>
    <w:rsid w:val="64F63B27"/>
    <w:rsid w:val="64FE478A"/>
    <w:rsid w:val="6502427A"/>
    <w:rsid w:val="65046244"/>
    <w:rsid w:val="65051FBC"/>
    <w:rsid w:val="65053D6A"/>
    <w:rsid w:val="65075D34"/>
    <w:rsid w:val="65077AE2"/>
    <w:rsid w:val="650A1380"/>
    <w:rsid w:val="650F1C13"/>
    <w:rsid w:val="6510090A"/>
    <w:rsid w:val="651162CA"/>
    <w:rsid w:val="65130235"/>
    <w:rsid w:val="65136487"/>
    <w:rsid w:val="65165F77"/>
    <w:rsid w:val="651915C4"/>
    <w:rsid w:val="651A5A67"/>
    <w:rsid w:val="651B358E"/>
    <w:rsid w:val="651C6006"/>
    <w:rsid w:val="651D7306"/>
    <w:rsid w:val="651E6BDA"/>
    <w:rsid w:val="651E6DD3"/>
    <w:rsid w:val="65223EC3"/>
    <w:rsid w:val="652266CA"/>
    <w:rsid w:val="65242442"/>
    <w:rsid w:val="65247369"/>
    <w:rsid w:val="6525440C"/>
    <w:rsid w:val="652561BA"/>
    <w:rsid w:val="65270184"/>
    <w:rsid w:val="65273CE0"/>
    <w:rsid w:val="65297A59"/>
    <w:rsid w:val="652A1A23"/>
    <w:rsid w:val="652A4C39"/>
    <w:rsid w:val="652A557F"/>
    <w:rsid w:val="652A5E8C"/>
    <w:rsid w:val="652C06CC"/>
    <w:rsid w:val="652C579B"/>
    <w:rsid w:val="65307C84"/>
    <w:rsid w:val="65332685"/>
    <w:rsid w:val="65373578"/>
    <w:rsid w:val="65384140"/>
    <w:rsid w:val="65387C9C"/>
    <w:rsid w:val="65393A14"/>
    <w:rsid w:val="653B778C"/>
    <w:rsid w:val="653D1756"/>
    <w:rsid w:val="653D3504"/>
    <w:rsid w:val="653D52B2"/>
    <w:rsid w:val="65402FF4"/>
    <w:rsid w:val="65412D20"/>
    <w:rsid w:val="65423943"/>
    <w:rsid w:val="65426D6C"/>
    <w:rsid w:val="65427924"/>
    <w:rsid w:val="65444892"/>
    <w:rsid w:val="6545060B"/>
    <w:rsid w:val="654725D5"/>
    <w:rsid w:val="6549634D"/>
    <w:rsid w:val="654977A5"/>
    <w:rsid w:val="654A79CF"/>
    <w:rsid w:val="65506847"/>
    <w:rsid w:val="65510D5D"/>
    <w:rsid w:val="65515201"/>
    <w:rsid w:val="65536205"/>
    <w:rsid w:val="65537C5E"/>
    <w:rsid w:val="655645C6"/>
    <w:rsid w:val="6558033E"/>
    <w:rsid w:val="655A2308"/>
    <w:rsid w:val="655A40B6"/>
    <w:rsid w:val="655A5E64"/>
    <w:rsid w:val="655C6080"/>
    <w:rsid w:val="655D5954"/>
    <w:rsid w:val="656071F2"/>
    <w:rsid w:val="65613696"/>
    <w:rsid w:val="656211BC"/>
    <w:rsid w:val="65644F35"/>
    <w:rsid w:val="656556D5"/>
    <w:rsid w:val="65665207"/>
    <w:rsid w:val="6569254B"/>
    <w:rsid w:val="656A1E1F"/>
    <w:rsid w:val="656B62C3"/>
    <w:rsid w:val="656D441E"/>
    <w:rsid w:val="656E4858"/>
    <w:rsid w:val="656E7B61"/>
    <w:rsid w:val="65705687"/>
    <w:rsid w:val="65732E61"/>
    <w:rsid w:val="65744545"/>
    <w:rsid w:val="65744A4C"/>
    <w:rsid w:val="65750352"/>
    <w:rsid w:val="65757142"/>
    <w:rsid w:val="657607C4"/>
    <w:rsid w:val="657809E0"/>
    <w:rsid w:val="6578453C"/>
    <w:rsid w:val="657B15F3"/>
    <w:rsid w:val="657C58B7"/>
    <w:rsid w:val="657F3B1C"/>
    <w:rsid w:val="65815AE7"/>
    <w:rsid w:val="65876E75"/>
    <w:rsid w:val="658904F7"/>
    <w:rsid w:val="6589499B"/>
    <w:rsid w:val="658B0713"/>
    <w:rsid w:val="658B24C1"/>
    <w:rsid w:val="658E1FB1"/>
    <w:rsid w:val="65901292"/>
    <w:rsid w:val="65913F08"/>
    <w:rsid w:val="6593581A"/>
    <w:rsid w:val="65953340"/>
    <w:rsid w:val="659550EE"/>
    <w:rsid w:val="65960E66"/>
    <w:rsid w:val="659770B8"/>
    <w:rsid w:val="659777CE"/>
    <w:rsid w:val="659A2704"/>
    <w:rsid w:val="659A4242"/>
    <w:rsid w:val="659C46CE"/>
    <w:rsid w:val="659E34C7"/>
    <w:rsid w:val="659F422A"/>
    <w:rsid w:val="659F5F6D"/>
    <w:rsid w:val="65A17F37"/>
    <w:rsid w:val="65A90B99"/>
    <w:rsid w:val="65AC2438"/>
    <w:rsid w:val="65AD5F85"/>
    <w:rsid w:val="65AE5912"/>
    <w:rsid w:val="65AE61B0"/>
    <w:rsid w:val="65B17A4E"/>
    <w:rsid w:val="65B217B5"/>
    <w:rsid w:val="65B302F4"/>
    <w:rsid w:val="65B81595"/>
    <w:rsid w:val="65BA5394"/>
    <w:rsid w:val="65BC08CD"/>
    <w:rsid w:val="65BD2897"/>
    <w:rsid w:val="65BD4645"/>
    <w:rsid w:val="65BF2006"/>
    <w:rsid w:val="65C01701"/>
    <w:rsid w:val="65C43C25"/>
    <w:rsid w:val="65C5630D"/>
    <w:rsid w:val="65C57872"/>
    <w:rsid w:val="65C6799D"/>
    <w:rsid w:val="65C71020"/>
    <w:rsid w:val="65C75029"/>
    <w:rsid w:val="65C77BFA"/>
    <w:rsid w:val="65C94D98"/>
    <w:rsid w:val="65CB0B10"/>
    <w:rsid w:val="65CB4FB4"/>
    <w:rsid w:val="65CC6636"/>
    <w:rsid w:val="65CD0D2C"/>
    <w:rsid w:val="65CD6046"/>
    <w:rsid w:val="65CE23AE"/>
    <w:rsid w:val="65D10794"/>
    <w:rsid w:val="65D200F0"/>
    <w:rsid w:val="65D26342"/>
    <w:rsid w:val="65D33E68"/>
    <w:rsid w:val="65D35C16"/>
    <w:rsid w:val="65D91895"/>
    <w:rsid w:val="65DC2D1D"/>
    <w:rsid w:val="65DD21C2"/>
    <w:rsid w:val="65DE4CE7"/>
    <w:rsid w:val="65DF45BB"/>
    <w:rsid w:val="65E10333"/>
    <w:rsid w:val="65E120E1"/>
    <w:rsid w:val="65E16585"/>
    <w:rsid w:val="65E24CCA"/>
    <w:rsid w:val="65E376DA"/>
    <w:rsid w:val="65E41BD1"/>
    <w:rsid w:val="65E816C2"/>
    <w:rsid w:val="65E9543A"/>
    <w:rsid w:val="65E9611E"/>
    <w:rsid w:val="65E971E8"/>
    <w:rsid w:val="65EB11B2"/>
    <w:rsid w:val="65EE0CA2"/>
    <w:rsid w:val="65EE2A50"/>
    <w:rsid w:val="65EE3646"/>
    <w:rsid w:val="65EF7E61"/>
    <w:rsid w:val="65F15AA7"/>
    <w:rsid w:val="65F20792"/>
    <w:rsid w:val="65F242EE"/>
    <w:rsid w:val="65F362B8"/>
    <w:rsid w:val="65F46C17"/>
    <w:rsid w:val="65F61537"/>
    <w:rsid w:val="65F75DA9"/>
    <w:rsid w:val="65FA13F5"/>
    <w:rsid w:val="65FC516D"/>
    <w:rsid w:val="65FD2469"/>
    <w:rsid w:val="660109D5"/>
    <w:rsid w:val="660172D2"/>
    <w:rsid w:val="660364FC"/>
    <w:rsid w:val="66042274"/>
    <w:rsid w:val="6606102C"/>
    <w:rsid w:val="66062B18"/>
    <w:rsid w:val="66081D64"/>
    <w:rsid w:val="660921A4"/>
    <w:rsid w:val="66094DDC"/>
    <w:rsid w:val="6609788A"/>
    <w:rsid w:val="660B715E"/>
    <w:rsid w:val="660E6C4E"/>
    <w:rsid w:val="661204ED"/>
    <w:rsid w:val="66154481"/>
    <w:rsid w:val="661701F9"/>
    <w:rsid w:val="66187ACD"/>
    <w:rsid w:val="66195D61"/>
    <w:rsid w:val="661C136B"/>
    <w:rsid w:val="661E3335"/>
    <w:rsid w:val="661F2C0A"/>
    <w:rsid w:val="661F70AE"/>
    <w:rsid w:val="66215C34"/>
    <w:rsid w:val="66216982"/>
    <w:rsid w:val="662326FA"/>
    <w:rsid w:val="66236B9E"/>
    <w:rsid w:val="66240220"/>
    <w:rsid w:val="662419E4"/>
    <w:rsid w:val="66287A2C"/>
    <w:rsid w:val="662A0427"/>
    <w:rsid w:val="662A7F2C"/>
    <w:rsid w:val="662E109F"/>
    <w:rsid w:val="66303069"/>
    <w:rsid w:val="663461AC"/>
    <w:rsid w:val="6635067F"/>
    <w:rsid w:val="6635553A"/>
    <w:rsid w:val="66371671"/>
    <w:rsid w:val="66377F53"/>
    <w:rsid w:val="663A3EE7"/>
    <w:rsid w:val="663A5C95"/>
    <w:rsid w:val="663A7A43"/>
    <w:rsid w:val="663C7C5F"/>
    <w:rsid w:val="66415276"/>
    <w:rsid w:val="664223F2"/>
    <w:rsid w:val="66427786"/>
    <w:rsid w:val="66430FEE"/>
    <w:rsid w:val="66442670"/>
    <w:rsid w:val="664434E2"/>
    <w:rsid w:val="66447A21"/>
    <w:rsid w:val="66456F52"/>
    <w:rsid w:val="66486604"/>
    <w:rsid w:val="66495ED8"/>
    <w:rsid w:val="664D17E4"/>
    <w:rsid w:val="664D59C9"/>
    <w:rsid w:val="66551352"/>
    <w:rsid w:val="6656075B"/>
    <w:rsid w:val="665705F5"/>
    <w:rsid w:val="665C20B0"/>
    <w:rsid w:val="665C5C0C"/>
    <w:rsid w:val="665F74AA"/>
    <w:rsid w:val="66602124"/>
    <w:rsid w:val="666160A2"/>
    <w:rsid w:val="66630D48"/>
    <w:rsid w:val="66636F9A"/>
    <w:rsid w:val="66652D12"/>
    <w:rsid w:val="6666506A"/>
    <w:rsid w:val="66666A8A"/>
    <w:rsid w:val="666A657B"/>
    <w:rsid w:val="666B22F3"/>
    <w:rsid w:val="666D7E19"/>
    <w:rsid w:val="66741351"/>
    <w:rsid w:val="66744448"/>
    <w:rsid w:val="66770C98"/>
    <w:rsid w:val="66772A46"/>
    <w:rsid w:val="6678554A"/>
    <w:rsid w:val="66794A0B"/>
    <w:rsid w:val="667967BE"/>
    <w:rsid w:val="66807B4C"/>
    <w:rsid w:val="66815672"/>
    <w:rsid w:val="668313EA"/>
    <w:rsid w:val="6683763C"/>
    <w:rsid w:val="66862C89"/>
    <w:rsid w:val="66876CE5"/>
    <w:rsid w:val="668922D2"/>
    <w:rsid w:val="668A09CB"/>
    <w:rsid w:val="668A2F70"/>
    <w:rsid w:val="668B215E"/>
    <w:rsid w:val="668B4BF2"/>
    <w:rsid w:val="668C1178"/>
    <w:rsid w:val="668C4743"/>
    <w:rsid w:val="668D0F46"/>
    <w:rsid w:val="668F7EC3"/>
    <w:rsid w:val="669058B5"/>
    <w:rsid w:val="66911D59"/>
    <w:rsid w:val="6692162D"/>
    <w:rsid w:val="66921EF4"/>
    <w:rsid w:val="66925AD1"/>
    <w:rsid w:val="66927F6A"/>
    <w:rsid w:val="669453A6"/>
    <w:rsid w:val="6696302B"/>
    <w:rsid w:val="6696469A"/>
    <w:rsid w:val="66973195"/>
    <w:rsid w:val="66974E96"/>
    <w:rsid w:val="669929BC"/>
    <w:rsid w:val="66994E6C"/>
    <w:rsid w:val="669B163A"/>
    <w:rsid w:val="669D6E2A"/>
    <w:rsid w:val="669F7C60"/>
    <w:rsid w:val="66A01F9C"/>
    <w:rsid w:val="66A15D14"/>
    <w:rsid w:val="66A17AC3"/>
    <w:rsid w:val="66A743CB"/>
    <w:rsid w:val="66AA4BC9"/>
    <w:rsid w:val="66AC731E"/>
    <w:rsid w:val="66B0201E"/>
    <w:rsid w:val="66B07D06"/>
    <w:rsid w:val="66B14497"/>
    <w:rsid w:val="66B15F58"/>
    <w:rsid w:val="66B27816"/>
    <w:rsid w:val="66B45A48"/>
    <w:rsid w:val="66B75538"/>
    <w:rsid w:val="66BB0B84"/>
    <w:rsid w:val="66BD142F"/>
    <w:rsid w:val="66BE0674"/>
    <w:rsid w:val="66BE68C6"/>
    <w:rsid w:val="66C0263F"/>
    <w:rsid w:val="66C37A39"/>
    <w:rsid w:val="66C832A1"/>
    <w:rsid w:val="66CA526B"/>
    <w:rsid w:val="66CD266D"/>
    <w:rsid w:val="66CD4D5B"/>
    <w:rsid w:val="66D02156"/>
    <w:rsid w:val="66D460EA"/>
    <w:rsid w:val="66D55D08"/>
    <w:rsid w:val="66D56414"/>
    <w:rsid w:val="66D64629"/>
    <w:rsid w:val="66D659BE"/>
    <w:rsid w:val="66D6776C"/>
    <w:rsid w:val="66D71736"/>
    <w:rsid w:val="66D734E4"/>
    <w:rsid w:val="66D82907"/>
    <w:rsid w:val="66D83376"/>
    <w:rsid w:val="66DD4F9F"/>
    <w:rsid w:val="66DE4873"/>
    <w:rsid w:val="66DE69DC"/>
    <w:rsid w:val="66DE6E5E"/>
    <w:rsid w:val="66E31E89"/>
    <w:rsid w:val="66E3632D"/>
    <w:rsid w:val="66E73E6D"/>
    <w:rsid w:val="66E75E1D"/>
    <w:rsid w:val="66E86B42"/>
    <w:rsid w:val="66E8749F"/>
    <w:rsid w:val="66EA1469"/>
    <w:rsid w:val="66EA6A9E"/>
    <w:rsid w:val="66EC51E2"/>
    <w:rsid w:val="66EF082E"/>
    <w:rsid w:val="66F127F8"/>
    <w:rsid w:val="66F2031E"/>
    <w:rsid w:val="66F26570"/>
    <w:rsid w:val="66F37E01"/>
    <w:rsid w:val="66F422E8"/>
    <w:rsid w:val="66F61BBC"/>
    <w:rsid w:val="66F6782C"/>
    <w:rsid w:val="66F83B86"/>
    <w:rsid w:val="66F9345B"/>
    <w:rsid w:val="66F978FF"/>
    <w:rsid w:val="66FB5425"/>
    <w:rsid w:val="66FB71D3"/>
    <w:rsid w:val="66FD2B22"/>
    <w:rsid w:val="66FD3A84"/>
    <w:rsid w:val="66FE3167"/>
    <w:rsid w:val="67000C8D"/>
    <w:rsid w:val="67010066"/>
    <w:rsid w:val="67011681"/>
    <w:rsid w:val="67024A05"/>
    <w:rsid w:val="670267B3"/>
    <w:rsid w:val="67064295"/>
    <w:rsid w:val="67064B36"/>
    <w:rsid w:val="67073DC9"/>
    <w:rsid w:val="670818F0"/>
    <w:rsid w:val="67095D94"/>
    <w:rsid w:val="670A38BA"/>
    <w:rsid w:val="670B7518"/>
    <w:rsid w:val="670C7632"/>
    <w:rsid w:val="670D3579"/>
    <w:rsid w:val="67112548"/>
    <w:rsid w:val="671309C0"/>
    <w:rsid w:val="67141D0B"/>
    <w:rsid w:val="671464E6"/>
    <w:rsid w:val="671571E5"/>
    <w:rsid w:val="67174A40"/>
    <w:rsid w:val="67185FD7"/>
    <w:rsid w:val="671958AB"/>
    <w:rsid w:val="671F124A"/>
    <w:rsid w:val="67201F39"/>
    <w:rsid w:val="67212E7F"/>
    <w:rsid w:val="67214D84"/>
    <w:rsid w:val="672274EB"/>
    <w:rsid w:val="672422F9"/>
    <w:rsid w:val="672524A2"/>
    <w:rsid w:val="6727446C"/>
    <w:rsid w:val="67277FC8"/>
    <w:rsid w:val="67281F92"/>
    <w:rsid w:val="672820CD"/>
    <w:rsid w:val="672A5D0A"/>
    <w:rsid w:val="672B2BE5"/>
    <w:rsid w:val="672C3830"/>
    <w:rsid w:val="672E185F"/>
    <w:rsid w:val="67310E46"/>
    <w:rsid w:val="673152EA"/>
    <w:rsid w:val="67332E10"/>
    <w:rsid w:val="67340937"/>
    <w:rsid w:val="67354A82"/>
    <w:rsid w:val="673646AF"/>
    <w:rsid w:val="673864BF"/>
    <w:rsid w:val="67391E9A"/>
    <w:rsid w:val="673A2E3A"/>
    <w:rsid w:val="673B6D38"/>
    <w:rsid w:val="673B7F17"/>
    <w:rsid w:val="673D6B88"/>
    <w:rsid w:val="673E3563"/>
    <w:rsid w:val="673F2120"/>
    <w:rsid w:val="67401089"/>
    <w:rsid w:val="6740552D"/>
    <w:rsid w:val="67441712"/>
    <w:rsid w:val="67472418"/>
    <w:rsid w:val="674A63AC"/>
    <w:rsid w:val="674C10EB"/>
    <w:rsid w:val="674C5C80"/>
    <w:rsid w:val="674D37A6"/>
    <w:rsid w:val="674D4F34"/>
    <w:rsid w:val="675039C2"/>
    <w:rsid w:val="675114E9"/>
    <w:rsid w:val="67530DBD"/>
    <w:rsid w:val="67535261"/>
    <w:rsid w:val="67544B35"/>
    <w:rsid w:val="67566AFF"/>
    <w:rsid w:val="67584625"/>
    <w:rsid w:val="675C3ECF"/>
    <w:rsid w:val="675E01F6"/>
    <w:rsid w:val="675E59B4"/>
    <w:rsid w:val="676254A4"/>
    <w:rsid w:val="6764121C"/>
    <w:rsid w:val="67674435"/>
    <w:rsid w:val="67674868"/>
    <w:rsid w:val="676B07FC"/>
    <w:rsid w:val="676C00D0"/>
    <w:rsid w:val="676F7BC1"/>
    <w:rsid w:val="677121BA"/>
    <w:rsid w:val="677156E7"/>
    <w:rsid w:val="6773320D"/>
    <w:rsid w:val="677551D7"/>
    <w:rsid w:val="67762CFD"/>
    <w:rsid w:val="67762D5D"/>
    <w:rsid w:val="67772A63"/>
    <w:rsid w:val="67775F1E"/>
    <w:rsid w:val="67797462"/>
    <w:rsid w:val="677A33C6"/>
    <w:rsid w:val="677B0314"/>
    <w:rsid w:val="677F6056"/>
    <w:rsid w:val="67801DCE"/>
    <w:rsid w:val="67803B7C"/>
    <w:rsid w:val="67841F6B"/>
    <w:rsid w:val="6784366C"/>
    <w:rsid w:val="67847A24"/>
    <w:rsid w:val="6787315C"/>
    <w:rsid w:val="67881D7C"/>
    <w:rsid w:val="678A5375"/>
    <w:rsid w:val="678C0773"/>
    <w:rsid w:val="678C2521"/>
    <w:rsid w:val="678F6D74"/>
    <w:rsid w:val="679161BB"/>
    <w:rsid w:val="679271CB"/>
    <w:rsid w:val="679338AF"/>
    <w:rsid w:val="679413D5"/>
    <w:rsid w:val="679451D1"/>
    <w:rsid w:val="67955879"/>
    <w:rsid w:val="6796339F"/>
    <w:rsid w:val="679663D1"/>
    <w:rsid w:val="67972ADA"/>
    <w:rsid w:val="679B09B6"/>
    <w:rsid w:val="679D028A"/>
    <w:rsid w:val="67A05FCC"/>
    <w:rsid w:val="67A27F96"/>
    <w:rsid w:val="67A374E7"/>
    <w:rsid w:val="67A94E81"/>
    <w:rsid w:val="67AA4219"/>
    <w:rsid w:val="67AA4D31"/>
    <w:rsid w:val="67AD512E"/>
    <w:rsid w:val="67AF6799"/>
    <w:rsid w:val="67AF7A62"/>
    <w:rsid w:val="67B101D9"/>
    <w:rsid w:val="67B53825"/>
    <w:rsid w:val="67B61F9B"/>
    <w:rsid w:val="67B657F0"/>
    <w:rsid w:val="67B85003"/>
    <w:rsid w:val="67B850C4"/>
    <w:rsid w:val="67BB1972"/>
    <w:rsid w:val="67BD092C"/>
    <w:rsid w:val="67BE30A0"/>
    <w:rsid w:val="67BF6452"/>
    <w:rsid w:val="67C12384"/>
    <w:rsid w:val="67C1666E"/>
    <w:rsid w:val="67C21CB8"/>
    <w:rsid w:val="67C3558A"/>
    <w:rsid w:val="67C63C85"/>
    <w:rsid w:val="67C75D7F"/>
    <w:rsid w:val="67C972D1"/>
    <w:rsid w:val="67CA4DF7"/>
    <w:rsid w:val="67CB3049"/>
    <w:rsid w:val="67CE2B39"/>
    <w:rsid w:val="67CF565F"/>
    <w:rsid w:val="67D06CA0"/>
    <w:rsid w:val="67D143D7"/>
    <w:rsid w:val="67D22629"/>
    <w:rsid w:val="67D46EF3"/>
    <w:rsid w:val="67D53EC8"/>
    <w:rsid w:val="67D57A24"/>
    <w:rsid w:val="67D619EE"/>
    <w:rsid w:val="67D6379C"/>
    <w:rsid w:val="67D77C40"/>
    <w:rsid w:val="67DF4D46"/>
    <w:rsid w:val="67E1286C"/>
    <w:rsid w:val="67E22141"/>
    <w:rsid w:val="67E34AD7"/>
    <w:rsid w:val="67E469E8"/>
    <w:rsid w:val="67E660D5"/>
    <w:rsid w:val="67EC1211"/>
    <w:rsid w:val="67EC1B36"/>
    <w:rsid w:val="67EE0AE5"/>
    <w:rsid w:val="67EE4F89"/>
    <w:rsid w:val="67EE6D37"/>
    <w:rsid w:val="67F0485E"/>
    <w:rsid w:val="67F1641A"/>
    <w:rsid w:val="67F26828"/>
    <w:rsid w:val="67F60660"/>
    <w:rsid w:val="67FA392E"/>
    <w:rsid w:val="67FD6F7B"/>
    <w:rsid w:val="67FF3495"/>
    <w:rsid w:val="68000819"/>
    <w:rsid w:val="68035211"/>
    <w:rsid w:val="6804655B"/>
    <w:rsid w:val="68064081"/>
    <w:rsid w:val="68091DC3"/>
    <w:rsid w:val="68093B71"/>
    <w:rsid w:val="680B51D4"/>
    <w:rsid w:val="680C3022"/>
    <w:rsid w:val="680D18B3"/>
    <w:rsid w:val="680D3662"/>
    <w:rsid w:val="680E2F36"/>
    <w:rsid w:val="68102598"/>
    <w:rsid w:val="68103A7F"/>
    <w:rsid w:val="68104F00"/>
    <w:rsid w:val="68121A65"/>
    <w:rsid w:val="68126ECA"/>
    <w:rsid w:val="681364CD"/>
    <w:rsid w:val="68150768"/>
    <w:rsid w:val="681525F4"/>
    <w:rsid w:val="68190258"/>
    <w:rsid w:val="681A18DB"/>
    <w:rsid w:val="681C0047"/>
    <w:rsid w:val="681C1AF7"/>
    <w:rsid w:val="681F15E7"/>
    <w:rsid w:val="681F6961"/>
    <w:rsid w:val="682054F9"/>
    <w:rsid w:val="682269E1"/>
    <w:rsid w:val="68232E85"/>
    <w:rsid w:val="682409AB"/>
    <w:rsid w:val="68294213"/>
    <w:rsid w:val="68295FC1"/>
    <w:rsid w:val="68297D70"/>
    <w:rsid w:val="682D5AB2"/>
    <w:rsid w:val="682E35D8"/>
    <w:rsid w:val="683010FE"/>
    <w:rsid w:val="68324E76"/>
    <w:rsid w:val="6833007A"/>
    <w:rsid w:val="68364B4E"/>
    <w:rsid w:val="6839090B"/>
    <w:rsid w:val="683A3D2B"/>
    <w:rsid w:val="683C7AA3"/>
    <w:rsid w:val="683E1A6D"/>
    <w:rsid w:val="68403510"/>
    <w:rsid w:val="68410B04"/>
    <w:rsid w:val="6841155D"/>
    <w:rsid w:val="68427E80"/>
    <w:rsid w:val="6844766A"/>
    <w:rsid w:val="684524EC"/>
    <w:rsid w:val="68464DC5"/>
    <w:rsid w:val="68466B73"/>
    <w:rsid w:val="68476448"/>
    <w:rsid w:val="684828EC"/>
    <w:rsid w:val="6848469A"/>
    <w:rsid w:val="684B418A"/>
    <w:rsid w:val="684E5A28"/>
    <w:rsid w:val="685017A0"/>
    <w:rsid w:val="68517606"/>
    <w:rsid w:val="6852376A"/>
    <w:rsid w:val="68530388"/>
    <w:rsid w:val="68550B65"/>
    <w:rsid w:val="685679AF"/>
    <w:rsid w:val="68580655"/>
    <w:rsid w:val="685A43CD"/>
    <w:rsid w:val="685C1EF3"/>
    <w:rsid w:val="685C72AC"/>
    <w:rsid w:val="685E3EBD"/>
    <w:rsid w:val="68610A2F"/>
    <w:rsid w:val="68662D72"/>
    <w:rsid w:val="686B482C"/>
    <w:rsid w:val="686D5DCF"/>
    <w:rsid w:val="686E1C26"/>
    <w:rsid w:val="68703308"/>
    <w:rsid w:val="687150F2"/>
    <w:rsid w:val="687157C8"/>
    <w:rsid w:val="68757459"/>
    <w:rsid w:val="68761FE1"/>
    <w:rsid w:val="68792AA5"/>
    <w:rsid w:val="687E00BB"/>
    <w:rsid w:val="687E630D"/>
    <w:rsid w:val="687F09E7"/>
    <w:rsid w:val="687F3E33"/>
    <w:rsid w:val="68805514"/>
    <w:rsid w:val="68817BAC"/>
    <w:rsid w:val="6884144A"/>
    <w:rsid w:val="688431F8"/>
    <w:rsid w:val="6885769C"/>
    <w:rsid w:val="68872D61"/>
    <w:rsid w:val="68880F3A"/>
    <w:rsid w:val="68886D51"/>
    <w:rsid w:val="688B4586"/>
    <w:rsid w:val="688F22C8"/>
    <w:rsid w:val="6896122A"/>
    <w:rsid w:val="689615CB"/>
    <w:rsid w:val="68975621"/>
    <w:rsid w:val="689773CF"/>
    <w:rsid w:val="68996CA3"/>
    <w:rsid w:val="689A2A1B"/>
    <w:rsid w:val="689C2C37"/>
    <w:rsid w:val="689E250C"/>
    <w:rsid w:val="689E69AF"/>
    <w:rsid w:val="689F6284"/>
    <w:rsid w:val="689F7CED"/>
    <w:rsid w:val="68A03C61"/>
    <w:rsid w:val="68A8338A"/>
    <w:rsid w:val="68AD0A5F"/>
    <w:rsid w:val="68AE0A41"/>
    <w:rsid w:val="68AE2423"/>
    <w:rsid w:val="68AF4719"/>
    <w:rsid w:val="68B06D4A"/>
    <w:rsid w:val="68B22800"/>
    <w:rsid w:val="68B24209"/>
    <w:rsid w:val="68B25FB7"/>
    <w:rsid w:val="68B41D2F"/>
    <w:rsid w:val="68B43ADD"/>
    <w:rsid w:val="68B610FB"/>
    <w:rsid w:val="68B7537B"/>
    <w:rsid w:val="68BB130F"/>
    <w:rsid w:val="68BB30BE"/>
    <w:rsid w:val="68BC3E50"/>
    <w:rsid w:val="68BC5EB7"/>
    <w:rsid w:val="68BE670A"/>
    <w:rsid w:val="68C206F6"/>
    <w:rsid w:val="68C22BD8"/>
    <w:rsid w:val="68C301C4"/>
    <w:rsid w:val="68C46D27"/>
    <w:rsid w:val="68C47A98"/>
    <w:rsid w:val="68C55418"/>
    <w:rsid w:val="68C55AD9"/>
    <w:rsid w:val="68C61A62"/>
    <w:rsid w:val="68C63810"/>
    <w:rsid w:val="68C77CB4"/>
    <w:rsid w:val="68C857DA"/>
    <w:rsid w:val="68CA1553"/>
    <w:rsid w:val="68CA50AF"/>
    <w:rsid w:val="68CB0E27"/>
    <w:rsid w:val="68CB61CB"/>
    <w:rsid w:val="68CB7079"/>
    <w:rsid w:val="68CD1043"/>
    <w:rsid w:val="68CD2DF1"/>
    <w:rsid w:val="68CE15AD"/>
    <w:rsid w:val="68D06492"/>
    <w:rsid w:val="68D20407"/>
    <w:rsid w:val="68D423D1"/>
    <w:rsid w:val="68D47785"/>
    <w:rsid w:val="68D66149"/>
    <w:rsid w:val="68D67EF7"/>
    <w:rsid w:val="68D91796"/>
    <w:rsid w:val="68DB550E"/>
    <w:rsid w:val="68DC4DE2"/>
    <w:rsid w:val="68E00D76"/>
    <w:rsid w:val="68E2552C"/>
    <w:rsid w:val="68E32614"/>
    <w:rsid w:val="68E5638C"/>
    <w:rsid w:val="68E679A2"/>
    <w:rsid w:val="68E86DBE"/>
    <w:rsid w:val="68E87C2B"/>
    <w:rsid w:val="68EA74FF"/>
    <w:rsid w:val="68EC14C9"/>
    <w:rsid w:val="68EC23C5"/>
    <w:rsid w:val="68EF1E86"/>
    <w:rsid w:val="68F16ADF"/>
    <w:rsid w:val="68F20AA9"/>
    <w:rsid w:val="68F22139"/>
    <w:rsid w:val="68F22857"/>
    <w:rsid w:val="68F24605"/>
    <w:rsid w:val="68F4037D"/>
    <w:rsid w:val="68F760C0"/>
    <w:rsid w:val="68F91E38"/>
    <w:rsid w:val="68FA510C"/>
    <w:rsid w:val="68FB1AE6"/>
    <w:rsid w:val="68FB5BB0"/>
    <w:rsid w:val="68FC4F16"/>
    <w:rsid w:val="68FF1DBA"/>
    <w:rsid w:val="69012A9A"/>
    <w:rsid w:val="690305C1"/>
    <w:rsid w:val="69036813"/>
    <w:rsid w:val="690507DD"/>
    <w:rsid w:val="69054339"/>
    <w:rsid w:val="690600B1"/>
    <w:rsid w:val="69074555"/>
    <w:rsid w:val="69076303"/>
    <w:rsid w:val="69092D7D"/>
    <w:rsid w:val="690C1B6B"/>
    <w:rsid w:val="690D771B"/>
    <w:rsid w:val="69120E69"/>
    <w:rsid w:val="69124CA8"/>
    <w:rsid w:val="691802F6"/>
    <w:rsid w:val="69193F53"/>
    <w:rsid w:val="69195361"/>
    <w:rsid w:val="691B1DAE"/>
    <w:rsid w:val="691B3B5C"/>
    <w:rsid w:val="691F190F"/>
    <w:rsid w:val="69232A11"/>
    <w:rsid w:val="69236EB5"/>
    <w:rsid w:val="69242584"/>
    <w:rsid w:val="692549DB"/>
    <w:rsid w:val="692576E8"/>
    <w:rsid w:val="69272501"/>
    <w:rsid w:val="69280027"/>
    <w:rsid w:val="692844CB"/>
    <w:rsid w:val="692A0243"/>
    <w:rsid w:val="692C5D69"/>
    <w:rsid w:val="692D1AE1"/>
    <w:rsid w:val="692D388F"/>
    <w:rsid w:val="69310AF9"/>
    <w:rsid w:val="693115D2"/>
    <w:rsid w:val="69316E2F"/>
    <w:rsid w:val="6933534A"/>
    <w:rsid w:val="6935749A"/>
    <w:rsid w:val="69366BE8"/>
    <w:rsid w:val="69390486"/>
    <w:rsid w:val="693B555A"/>
    <w:rsid w:val="693C22F9"/>
    <w:rsid w:val="69401815"/>
    <w:rsid w:val="6942733B"/>
    <w:rsid w:val="694330B3"/>
    <w:rsid w:val="6943500E"/>
    <w:rsid w:val="69450BD9"/>
    <w:rsid w:val="6945507D"/>
    <w:rsid w:val="69470DF5"/>
    <w:rsid w:val="69472BA3"/>
    <w:rsid w:val="69486D80"/>
    <w:rsid w:val="69491CA4"/>
    <w:rsid w:val="694927E7"/>
    <w:rsid w:val="694A4441"/>
    <w:rsid w:val="694A61EF"/>
    <w:rsid w:val="694C640B"/>
    <w:rsid w:val="694D5CE0"/>
    <w:rsid w:val="694E2071"/>
    <w:rsid w:val="694F3806"/>
    <w:rsid w:val="694F7CAA"/>
    <w:rsid w:val="69513A22"/>
    <w:rsid w:val="6954706E"/>
    <w:rsid w:val="69572814"/>
    <w:rsid w:val="69583DAB"/>
    <w:rsid w:val="69586B5E"/>
    <w:rsid w:val="695A0B28"/>
    <w:rsid w:val="695B03FD"/>
    <w:rsid w:val="695D4175"/>
    <w:rsid w:val="695E1B9A"/>
    <w:rsid w:val="69603C65"/>
    <w:rsid w:val="6962178B"/>
    <w:rsid w:val="696279DD"/>
    <w:rsid w:val="696466D2"/>
    <w:rsid w:val="696574CD"/>
    <w:rsid w:val="69676DA1"/>
    <w:rsid w:val="69692B1A"/>
    <w:rsid w:val="696C260A"/>
    <w:rsid w:val="69733331"/>
    <w:rsid w:val="69733998"/>
    <w:rsid w:val="69747651"/>
    <w:rsid w:val="69763488"/>
    <w:rsid w:val="69766163"/>
    <w:rsid w:val="69766FE4"/>
    <w:rsid w:val="697808F8"/>
    <w:rsid w:val="69787200"/>
    <w:rsid w:val="697A3B33"/>
    <w:rsid w:val="697B1C0E"/>
    <w:rsid w:val="697D4817"/>
    <w:rsid w:val="697D65C5"/>
    <w:rsid w:val="697F2CA2"/>
    <w:rsid w:val="698060B5"/>
    <w:rsid w:val="6985191D"/>
    <w:rsid w:val="69861312"/>
    <w:rsid w:val="69877444"/>
    <w:rsid w:val="6988390C"/>
    <w:rsid w:val="698A6F34"/>
    <w:rsid w:val="698C4A5A"/>
    <w:rsid w:val="698C6808"/>
    <w:rsid w:val="698D4023"/>
    <w:rsid w:val="698E2580"/>
    <w:rsid w:val="698F00A6"/>
    <w:rsid w:val="69915F15"/>
    <w:rsid w:val="69937B96"/>
    <w:rsid w:val="6994390F"/>
    <w:rsid w:val="69951B60"/>
    <w:rsid w:val="69962A3F"/>
    <w:rsid w:val="69990F25"/>
    <w:rsid w:val="699D6B55"/>
    <w:rsid w:val="699F653B"/>
    <w:rsid w:val="69A23EF2"/>
    <w:rsid w:val="69A2427D"/>
    <w:rsid w:val="69A2602B"/>
    <w:rsid w:val="69A41DA4"/>
    <w:rsid w:val="69A91168"/>
    <w:rsid w:val="69A973BA"/>
    <w:rsid w:val="69AC0C58"/>
    <w:rsid w:val="69AE3BC4"/>
    <w:rsid w:val="69B0699A"/>
    <w:rsid w:val="69B31FE7"/>
    <w:rsid w:val="69B5322F"/>
    <w:rsid w:val="69B61AD7"/>
    <w:rsid w:val="69B72B3B"/>
    <w:rsid w:val="69B905E2"/>
    <w:rsid w:val="69B94B8C"/>
    <w:rsid w:val="69BA15C7"/>
    <w:rsid w:val="69BB70ED"/>
    <w:rsid w:val="69BE2739"/>
    <w:rsid w:val="69BF6BDD"/>
    <w:rsid w:val="69C04704"/>
    <w:rsid w:val="69C2222A"/>
    <w:rsid w:val="69C42446"/>
    <w:rsid w:val="69C441F4"/>
    <w:rsid w:val="69C4482A"/>
    <w:rsid w:val="69C45FA2"/>
    <w:rsid w:val="69C46DBE"/>
    <w:rsid w:val="69C51D1A"/>
    <w:rsid w:val="69CB5582"/>
    <w:rsid w:val="69CC5F83"/>
    <w:rsid w:val="69CF4947"/>
    <w:rsid w:val="69D106BF"/>
    <w:rsid w:val="69D32689"/>
    <w:rsid w:val="69D34437"/>
    <w:rsid w:val="69D361E5"/>
    <w:rsid w:val="69D44760"/>
    <w:rsid w:val="69D739F8"/>
    <w:rsid w:val="69D77ED5"/>
    <w:rsid w:val="69D837FB"/>
    <w:rsid w:val="69DA174D"/>
    <w:rsid w:val="69DA3A17"/>
    <w:rsid w:val="69DA57C5"/>
    <w:rsid w:val="69DC778F"/>
    <w:rsid w:val="69E55F18"/>
    <w:rsid w:val="69E74C2E"/>
    <w:rsid w:val="69E91EAC"/>
    <w:rsid w:val="69E95A08"/>
    <w:rsid w:val="69EB1FDC"/>
    <w:rsid w:val="69EC374B"/>
    <w:rsid w:val="69EC6364"/>
    <w:rsid w:val="69EF1C7F"/>
    <w:rsid w:val="69F04FE9"/>
    <w:rsid w:val="69F10030"/>
    <w:rsid w:val="69F10D61"/>
    <w:rsid w:val="69F24922"/>
    <w:rsid w:val="69F261B3"/>
    <w:rsid w:val="69F36887"/>
    <w:rsid w:val="69F60125"/>
    <w:rsid w:val="69F66F81"/>
    <w:rsid w:val="69F76873"/>
    <w:rsid w:val="69F778DA"/>
    <w:rsid w:val="69F94B3F"/>
    <w:rsid w:val="69FC398E"/>
    <w:rsid w:val="69FC6390"/>
    <w:rsid w:val="69FD14B4"/>
    <w:rsid w:val="69FF347E"/>
    <w:rsid w:val="6A06242E"/>
    <w:rsid w:val="6A06480C"/>
    <w:rsid w:val="6A097E59"/>
    <w:rsid w:val="6A0A597F"/>
    <w:rsid w:val="6A0F339A"/>
    <w:rsid w:val="6A101BD5"/>
    <w:rsid w:val="6A102AF1"/>
    <w:rsid w:val="6A114F5F"/>
    <w:rsid w:val="6A115CF4"/>
    <w:rsid w:val="6A1231B1"/>
    <w:rsid w:val="6A16109D"/>
    <w:rsid w:val="6A1645DB"/>
    <w:rsid w:val="6A18009C"/>
    <w:rsid w:val="6A1A2066"/>
    <w:rsid w:val="6A1A44A6"/>
    <w:rsid w:val="6A1C4030"/>
    <w:rsid w:val="6A1D643E"/>
    <w:rsid w:val="6A1F58CE"/>
    <w:rsid w:val="6A205B14"/>
    <w:rsid w:val="6A22716C"/>
    <w:rsid w:val="6A227B68"/>
    <w:rsid w:val="6A2904FB"/>
    <w:rsid w:val="6A29793A"/>
    <w:rsid w:val="6A2B2437"/>
    <w:rsid w:val="6A2C3B47"/>
    <w:rsid w:val="6A2E0035"/>
    <w:rsid w:val="6A2F4413"/>
    <w:rsid w:val="6A31115D"/>
    <w:rsid w:val="6A333127"/>
    <w:rsid w:val="6A3452AB"/>
    <w:rsid w:val="6A366774"/>
    <w:rsid w:val="6A3751B8"/>
    <w:rsid w:val="6A3D5D54"/>
    <w:rsid w:val="6A3D7B02"/>
    <w:rsid w:val="6A3E206F"/>
    <w:rsid w:val="6A3F49EE"/>
    <w:rsid w:val="6A3F7D1E"/>
    <w:rsid w:val="6A403D14"/>
    <w:rsid w:val="6A415844"/>
    <w:rsid w:val="6A4175F2"/>
    <w:rsid w:val="6A42336B"/>
    <w:rsid w:val="6A440E91"/>
    <w:rsid w:val="6A4426DA"/>
    <w:rsid w:val="6A4610AD"/>
    <w:rsid w:val="6A462E5B"/>
    <w:rsid w:val="6A4D243B"/>
    <w:rsid w:val="6A4E61B3"/>
    <w:rsid w:val="6A50293B"/>
    <w:rsid w:val="6A507835"/>
    <w:rsid w:val="6A520EC7"/>
    <w:rsid w:val="6A527A52"/>
    <w:rsid w:val="6A570BC4"/>
    <w:rsid w:val="6A5A6906"/>
    <w:rsid w:val="6A5C0A63"/>
    <w:rsid w:val="6A5C0D00"/>
    <w:rsid w:val="6A5D63E6"/>
    <w:rsid w:val="6A6031E4"/>
    <w:rsid w:val="6A617821"/>
    <w:rsid w:val="6A633A0D"/>
    <w:rsid w:val="6A647785"/>
    <w:rsid w:val="6A656223"/>
    <w:rsid w:val="6A675E13"/>
    <w:rsid w:val="6A687275"/>
    <w:rsid w:val="6A690733"/>
    <w:rsid w:val="6A69499A"/>
    <w:rsid w:val="6A6B0B13"/>
    <w:rsid w:val="6A6C42EE"/>
    <w:rsid w:val="6A6E4160"/>
    <w:rsid w:val="6A6E56DF"/>
    <w:rsid w:val="6A6F3EF0"/>
    <w:rsid w:val="6A742748"/>
    <w:rsid w:val="6A7554EE"/>
    <w:rsid w:val="6A766A07"/>
    <w:rsid w:val="6A774258"/>
    <w:rsid w:val="6A7A6FA8"/>
    <w:rsid w:val="6A7B2192"/>
    <w:rsid w:val="6A7C062B"/>
    <w:rsid w:val="6A7E25F5"/>
    <w:rsid w:val="6A7F45BF"/>
    <w:rsid w:val="6A80706E"/>
    <w:rsid w:val="6A835E5D"/>
    <w:rsid w:val="6A841BD5"/>
    <w:rsid w:val="6A845731"/>
    <w:rsid w:val="6A863CA0"/>
    <w:rsid w:val="6A885221"/>
    <w:rsid w:val="6A8A7284"/>
    <w:rsid w:val="6A8C669E"/>
    <w:rsid w:val="6A8F4802"/>
    <w:rsid w:val="6A90057A"/>
    <w:rsid w:val="6A902328"/>
    <w:rsid w:val="6A9260A0"/>
    <w:rsid w:val="6A94006A"/>
    <w:rsid w:val="6A955B90"/>
    <w:rsid w:val="6A9737B1"/>
    <w:rsid w:val="6A99742E"/>
    <w:rsid w:val="6A9A6D03"/>
    <w:rsid w:val="6A9C0CCD"/>
    <w:rsid w:val="6A9F07BD"/>
    <w:rsid w:val="6AA06A0F"/>
    <w:rsid w:val="6AA14535"/>
    <w:rsid w:val="6AA3205B"/>
    <w:rsid w:val="6AA638F9"/>
    <w:rsid w:val="6AA656A7"/>
    <w:rsid w:val="6AA81420"/>
    <w:rsid w:val="6AA858C3"/>
    <w:rsid w:val="6AAC30B7"/>
    <w:rsid w:val="6AAD576F"/>
    <w:rsid w:val="6AAE27AE"/>
    <w:rsid w:val="6AAF0A00"/>
    <w:rsid w:val="6AAF57D6"/>
    <w:rsid w:val="6AB10E17"/>
    <w:rsid w:val="6AB26742"/>
    <w:rsid w:val="6AB73D58"/>
    <w:rsid w:val="6AB75B07"/>
    <w:rsid w:val="6AB9362D"/>
    <w:rsid w:val="6ABA1153"/>
    <w:rsid w:val="6ABD7B87"/>
    <w:rsid w:val="6ABE0C43"/>
    <w:rsid w:val="6ABF49BB"/>
    <w:rsid w:val="6ABF7D22"/>
    <w:rsid w:val="6AC10733"/>
    <w:rsid w:val="6AC326FD"/>
    <w:rsid w:val="6AC50223"/>
    <w:rsid w:val="6AC65D4A"/>
    <w:rsid w:val="6AC83870"/>
    <w:rsid w:val="6ACA3A8C"/>
    <w:rsid w:val="6ACD0E86"/>
    <w:rsid w:val="6ACE4BFE"/>
    <w:rsid w:val="6ACE6451"/>
    <w:rsid w:val="6ACF2E50"/>
    <w:rsid w:val="6AD00976"/>
    <w:rsid w:val="6AD06BC8"/>
    <w:rsid w:val="6AD14E1A"/>
    <w:rsid w:val="6AD42215"/>
    <w:rsid w:val="6AD466B8"/>
    <w:rsid w:val="6AD47417"/>
    <w:rsid w:val="6AD52FA2"/>
    <w:rsid w:val="6AD57A84"/>
    <w:rsid w:val="6AD66A78"/>
    <w:rsid w:val="6ADC37BF"/>
    <w:rsid w:val="6ADE12E5"/>
    <w:rsid w:val="6ADF09E7"/>
    <w:rsid w:val="6ADF6E0B"/>
    <w:rsid w:val="6AE24FE6"/>
    <w:rsid w:val="6AE34B4E"/>
    <w:rsid w:val="6AE368FC"/>
    <w:rsid w:val="6AE508C6"/>
    <w:rsid w:val="6AE83F12"/>
    <w:rsid w:val="6AEA102A"/>
    <w:rsid w:val="6AEB57B0"/>
    <w:rsid w:val="6AEC311A"/>
    <w:rsid w:val="6AEE132F"/>
    <w:rsid w:val="6AEF34F2"/>
    <w:rsid w:val="6AF01A9B"/>
    <w:rsid w:val="6AF02DC7"/>
    <w:rsid w:val="6AF030AD"/>
    <w:rsid w:val="6AF0379C"/>
    <w:rsid w:val="6AF208ED"/>
    <w:rsid w:val="6AF503DD"/>
    <w:rsid w:val="6AF52D3C"/>
    <w:rsid w:val="6AF56028"/>
    <w:rsid w:val="6AF64881"/>
    <w:rsid w:val="6AF67FAD"/>
    <w:rsid w:val="6AF86AEC"/>
    <w:rsid w:val="6AF87E20"/>
    <w:rsid w:val="6AF91C7B"/>
    <w:rsid w:val="6AF97ECD"/>
    <w:rsid w:val="6AFC5C0F"/>
    <w:rsid w:val="6AFC79BD"/>
    <w:rsid w:val="6AFE295E"/>
    <w:rsid w:val="6AFF54C2"/>
    <w:rsid w:val="6B0074AE"/>
    <w:rsid w:val="6B030D4C"/>
    <w:rsid w:val="6B056872"/>
    <w:rsid w:val="6B0D1BCA"/>
    <w:rsid w:val="6B0E38E3"/>
    <w:rsid w:val="6B0F149F"/>
    <w:rsid w:val="6B0F76F1"/>
    <w:rsid w:val="6B105217"/>
    <w:rsid w:val="6B105C42"/>
    <w:rsid w:val="6B120F8F"/>
    <w:rsid w:val="6B1747F7"/>
    <w:rsid w:val="6B192137"/>
    <w:rsid w:val="6B1A35C7"/>
    <w:rsid w:val="6B20545A"/>
    <w:rsid w:val="6B225676"/>
    <w:rsid w:val="6B286A04"/>
    <w:rsid w:val="6B2904EB"/>
    <w:rsid w:val="6B2B3DFF"/>
    <w:rsid w:val="6B2D401B"/>
    <w:rsid w:val="6B2D5DC9"/>
    <w:rsid w:val="6B2D7B77"/>
    <w:rsid w:val="6B2E73DA"/>
    <w:rsid w:val="6B3158B9"/>
    <w:rsid w:val="6B322639"/>
    <w:rsid w:val="6B3453A9"/>
    <w:rsid w:val="6B35052E"/>
    <w:rsid w:val="6B361121"/>
    <w:rsid w:val="6B3D24B0"/>
    <w:rsid w:val="6B3D425E"/>
    <w:rsid w:val="6B4032A1"/>
    <w:rsid w:val="6B4078AA"/>
    <w:rsid w:val="6B4450F3"/>
    <w:rsid w:val="6B453112"/>
    <w:rsid w:val="6B460C38"/>
    <w:rsid w:val="6B482C03"/>
    <w:rsid w:val="6B485DEE"/>
    <w:rsid w:val="6B4A0729"/>
    <w:rsid w:val="6B4A24D7"/>
    <w:rsid w:val="6B4A697B"/>
    <w:rsid w:val="6B4D1FC7"/>
    <w:rsid w:val="6B4F21E3"/>
    <w:rsid w:val="6B4F3F91"/>
    <w:rsid w:val="6B516267"/>
    <w:rsid w:val="6B517D09"/>
    <w:rsid w:val="6B524C0F"/>
    <w:rsid w:val="6B546DA9"/>
    <w:rsid w:val="6B5B14AB"/>
    <w:rsid w:val="6B5E2426"/>
    <w:rsid w:val="6B6551A2"/>
    <w:rsid w:val="6B673089"/>
    <w:rsid w:val="6B67752D"/>
    <w:rsid w:val="6B680BAF"/>
    <w:rsid w:val="6B686E01"/>
    <w:rsid w:val="6B6C069F"/>
    <w:rsid w:val="6B6C4B43"/>
    <w:rsid w:val="6B6D3586"/>
    <w:rsid w:val="6B6D4417"/>
    <w:rsid w:val="6B6D5964"/>
    <w:rsid w:val="6B712159"/>
    <w:rsid w:val="6B721A2E"/>
    <w:rsid w:val="6B742A91"/>
    <w:rsid w:val="6B7457A6"/>
    <w:rsid w:val="6B76151E"/>
    <w:rsid w:val="6B777044"/>
    <w:rsid w:val="6B7834E8"/>
    <w:rsid w:val="6B792DBC"/>
    <w:rsid w:val="6B795713"/>
    <w:rsid w:val="6B7B2FD8"/>
    <w:rsid w:val="6B7B4D86"/>
    <w:rsid w:val="6B7B670D"/>
    <w:rsid w:val="6B7C465A"/>
    <w:rsid w:val="6B7C4FE6"/>
    <w:rsid w:val="6B7E4876"/>
    <w:rsid w:val="6B7E6624"/>
    <w:rsid w:val="6B824366"/>
    <w:rsid w:val="6B855C05"/>
    <w:rsid w:val="6B864EA6"/>
    <w:rsid w:val="6B8A321B"/>
    <w:rsid w:val="6B8A4FC9"/>
    <w:rsid w:val="6B8B3FD7"/>
    <w:rsid w:val="6B8D54D2"/>
    <w:rsid w:val="6B8D6867"/>
    <w:rsid w:val="6B8E4AB9"/>
    <w:rsid w:val="6B8F438D"/>
    <w:rsid w:val="6B906960"/>
    <w:rsid w:val="6B9145AA"/>
    <w:rsid w:val="6B916358"/>
    <w:rsid w:val="6B923E7E"/>
    <w:rsid w:val="6B9351E8"/>
    <w:rsid w:val="6B97756C"/>
    <w:rsid w:val="6B9876E6"/>
    <w:rsid w:val="6B99520C"/>
    <w:rsid w:val="6B9971AC"/>
    <w:rsid w:val="6B9E4576"/>
    <w:rsid w:val="6B9E5223"/>
    <w:rsid w:val="6BA02A3F"/>
    <w:rsid w:val="6BA240C1"/>
    <w:rsid w:val="6BA442DD"/>
    <w:rsid w:val="6BA50055"/>
    <w:rsid w:val="6BA77929"/>
    <w:rsid w:val="6BAA2589"/>
    <w:rsid w:val="6BAA566B"/>
    <w:rsid w:val="6BAB3F30"/>
    <w:rsid w:val="6BAB5731"/>
    <w:rsid w:val="6BAC13E3"/>
    <w:rsid w:val="6BAC3191"/>
    <w:rsid w:val="6BAC4F3F"/>
    <w:rsid w:val="6BAD2D8D"/>
    <w:rsid w:val="6BAE3BBB"/>
    <w:rsid w:val="6BAF67DE"/>
    <w:rsid w:val="6BB24174"/>
    <w:rsid w:val="6BB32772"/>
    <w:rsid w:val="6BB42046"/>
    <w:rsid w:val="6BB43DF4"/>
    <w:rsid w:val="6BB77FE6"/>
    <w:rsid w:val="6BBA3D96"/>
    <w:rsid w:val="6BBC163F"/>
    <w:rsid w:val="6BBD0EFB"/>
    <w:rsid w:val="6BBD714D"/>
    <w:rsid w:val="6BC16965"/>
    <w:rsid w:val="6BC229B5"/>
    <w:rsid w:val="6BC26511"/>
    <w:rsid w:val="6BC71D79"/>
    <w:rsid w:val="6BC8789F"/>
    <w:rsid w:val="6BCA186A"/>
    <w:rsid w:val="6BCD70C1"/>
    <w:rsid w:val="6BD03DC8"/>
    <w:rsid w:val="6BD050D2"/>
    <w:rsid w:val="6BD149A6"/>
    <w:rsid w:val="6BD24E60"/>
    <w:rsid w:val="6BD334AD"/>
    <w:rsid w:val="6BD36970"/>
    <w:rsid w:val="6BD446A2"/>
    <w:rsid w:val="6BD9385B"/>
    <w:rsid w:val="6BDA7CFF"/>
    <w:rsid w:val="6BDF5315"/>
    <w:rsid w:val="6BE0108D"/>
    <w:rsid w:val="6BE060EC"/>
    <w:rsid w:val="6BE14233"/>
    <w:rsid w:val="6BE7241B"/>
    <w:rsid w:val="6BE741CA"/>
    <w:rsid w:val="6BE956D3"/>
    <w:rsid w:val="6BEA2D94"/>
    <w:rsid w:val="6BEA5A68"/>
    <w:rsid w:val="6BEB1F0C"/>
    <w:rsid w:val="6BEC2892"/>
    <w:rsid w:val="6BEE37AA"/>
    <w:rsid w:val="6BEF307E"/>
    <w:rsid w:val="6BF012D0"/>
    <w:rsid w:val="6BF43F27"/>
    <w:rsid w:val="6BF72930"/>
    <w:rsid w:val="6BF905D1"/>
    <w:rsid w:val="6BF95CAB"/>
    <w:rsid w:val="6BFB5EC7"/>
    <w:rsid w:val="6BFF571D"/>
    <w:rsid w:val="6C0066FC"/>
    <w:rsid w:val="6C007039"/>
    <w:rsid w:val="6C022DB1"/>
    <w:rsid w:val="6C060AF4"/>
    <w:rsid w:val="6C066D46"/>
    <w:rsid w:val="6C0703C8"/>
    <w:rsid w:val="6C07661A"/>
    <w:rsid w:val="6C0905E4"/>
    <w:rsid w:val="6C092392"/>
    <w:rsid w:val="6C094140"/>
    <w:rsid w:val="6C0C1E82"/>
    <w:rsid w:val="6C0C3C30"/>
    <w:rsid w:val="6C0D1B10"/>
    <w:rsid w:val="6C0E79A8"/>
    <w:rsid w:val="6C10344F"/>
    <w:rsid w:val="6C1052FE"/>
    <w:rsid w:val="6C111246"/>
    <w:rsid w:val="6C130FF5"/>
    <w:rsid w:val="6C1368F9"/>
    <w:rsid w:val="6C150D37"/>
    <w:rsid w:val="6C16685D"/>
    <w:rsid w:val="6C1D5E3D"/>
    <w:rsid w:val="6C1F1BB5"/>
    <w:rsid w:val="6C1F3963"/>
    <w:rsid w:val="6C1F5711"/>
    <w:rsid w:val="6C2319EC"/>
    <w:rsid w:val="6C24541E"/>
    <w:rsid w:val="6C292B88"/>
    <w:rsid w:val="6C2B2308"/>
    <w:rsid w:val="6C2B259B"/>
    <w:rsid w:val="6C2C42D2"/>
    <w:rsid w:val="6C2E1DF8"/>
    <w:rsid w:val="6C2E3BA6"/>
    <w:rsid w:val="6C2F419B"/>
    <w:rsid w:val="6C303DC2"/>
    <w:rsid w:val="6C3118E9"/>
    <w:rsid w:val="6C336069"/>
    <w:rsid w:val="6C33740F"/>
    <w:rsid w:val="6C343E13"/>
    <w:rsid w:val="6C3513D9"/>
    <w:rsid w:val="6C3523FD"/>
    <w:rsid w:val="6C353187"/>
    <w:rsid w:val="6C3668AB"/>
    <w:rsid w:val="6C383D9C"/>
    <w:rsid w:val="6C3D3EF7"/>
    <w:rsid w:val="6C3E1AFA"/>
    <w:rsid w:val="6C3F5DB4"/>
    <w:rsid w:val="6C423AF6"/>
    <w:rsid w:val="6C4258A4"/>
    <w:rsid w:val="6C430BE3"/>
    <w:rsid w:val="6C44161C"/>
    <w:rsid w:val="6C447394"/>
    <w:rsid w:val="6C44786E"/>
    <w:rsid w:val="6C453310"/>
    <w:rsid w:val="6C465394"/>
    <w:rsid w:val="6C467142"/>
    <w:rsid w:val="6C483D51"/>
    <w:rsid w:val="6C4909E0"/>
    <w:rsid w:val="6C496C32"/>
    <w:rsid w:val="6C4B7530"/>
    <w:rsid w:val="6C4E5FF7"/>
    <w:rsid w:val="6C506213"/>
    <w:rsid w:val="6C507FC1"/>
    <w:rsid w:val="6C517895"/>
    <w:rsid w:val="6C523D39"/>
    <w:rsid w:val="6C53185F"/>
    <w:rsid w:val="6C53360D"/>
    <w:rsid w:val="6C546E14"/>
    <w:rsid w:val="6C547ACA"/>
    <w:rsid w:val="6C556836"/>
    <w:rsid w:val="6C5608C9"/>
    <w:rsid w:val="6C57134F"/>
    <w:rsid w:val="6C5775A1"/>
    <w:rsid w:val="6C5850C7"/>
    <w:rsid w:val="6C5A272A"/>
    <w:rsid w:val="6C5A499B"/>
    <w:rsid w:val="6C5C0714"/>
    <w:rsid w:val="6C5C4BB7"/>
    <w:rsid w:val="6C5D448C"/>
    <w:rsid w:val="6C5D623A"/>
    <w:rsid w:val="6C636C38"/>
    <w:rsid w:val="6C6415DA"/>
    <w:rsid w:val="6C6677E4"/>
    <w:rsid w:val="6C686B68"/>
    <w:rsid w:val="6C6B0957"/>
    <w:rsid w:val="6C6B6BA9"/>
    <w:rsid w:val="6C6D2921"/>
    <w:rsid w:val="6C727F37"/>
    <w:rsid w:val="6C757A27"/>
    <w:rsid w:val="6C7672FB"/>
    <w:rsid w:val="6C7739CB"/>
    <w:rsid w:val="6C7751CD"/>
    <w:rsid w:val="6C783074"/>
    <w:rsid w:val="6C7A3290"/>
    <w:rsid w:val="6C7C7C45"/>
    <w:rsid w:val="6C7D068A"/>
    <w:rsid w:val="6C7E26F9"/>
    <w:rsid w:val="6C8252D0"/>
    <w:rsid w:val="6C826EF9"/>
    <w:rsid w:val="6C830396"/>
    <w:rsid w:val="6C832144"/>
    <w:rsid w:val="6C853CEF"/>
    <w:rsid w:val="6C863145"/>
    <w:rsid w:val="6C865790"/>
    <w:rsid w:val="6C884C89"/>
    <w:rsid w:val="6C886152"/>
    <w:rsid w:val="6C8E0AE9"/>
    <w:rsid w:val="6C90660F"/>
    <w:rsid w:val="6C9205D9"/>
    <w:rsid w:val="6C922387"/>
    <w:rsid w:val="6C9360FF"/>
    <w:rsid w:val="6C955B85"/>
    <w:rsid w:val="6C975BF0"/>
    <w:rsid w:val="6C9854C4"/>
    <w:rsid w:val="6C991968"/>
    <w:rsid w:val="6C9A748E"/>
    <w:rsid w:val="6C9B45C8"/>
    <w:rsid w:val="6C9C6D62"/>
    <w:rsid w:val="6CA1081C"/>
    <w:rsid w:val="6CA125CA"/>
    <w:rsid w:val="6CA32D5A"/>
    <w:rsid w:val="6CA43E69"/>
    <w:rsid w:val="6CA65E33"/>
    <w:rsid w:val="6CA67BE1"/>
    <w:rsid w:val="6CA833F3"/>
    <w:rsid w:val="6CA87DFD"/>
    <w:rsid w:val="6CA95923"/>
    <w:rsid w:val="6CA96D0D"/>
    <w:rsid w:val="6CAB3449"/>
    <w:rsid w:val="6CAD0F6F"/>
    <w:rsid w:val="6CAD71C1"/>
    <w:rsid w:val="6CB06CB1"/>
    <w:rsid w:val="6CB22A29"/>
    <w:rsid w:val="6CB341B8"/>
    <w:rsid w:val="6CB44BB6"/>
    <w:rsid w:val="6CB56076"/>
    <w:rsid w:val="6CB70040"/>
    <w:rsid w:val="6CB71DEE"/>
    <w:rsid w:val="6CB73B9C"/>
    <w:rsid w:val="6CBC7404"/>
    <w:rsid w:val="6CBD4D91"/>
    <w:rsid w:val="6CBD4F2A"/>
    <w:rsid w:val="6CC2668D"/>
    <w:rsid w:val="6CC275B8"/>
    <w:rsid w:val="6CC462B9"/>
    <w:rsid w:val="6CC55C7A"/>
    <w:rsid w:val="6CC8174C"/>
    <w:rsid w:val="6CCA5F05"/>
    <w:rsid w:val="6CCB5899"/>
    <w:rsid w:val="6CCE7137"/>
    <w:rsid w:val="6CD04C5E"/>
    <w:rsid w:val="6CD26C28"/>
    <w:rsid w:val="6CD56718"/>
    <w:rsid w:val="6CD7423E"/>
    <w:rsid w:val="6CD75FEC"/>
    <w:rsid w:val="6CD7688C"/>
    <w:rsid w:val="6CD97FB6"/>
    <w:rsid w:val="6CDC2EEB"/>
    <w:rsid w:val="6CDE381E"/>
    <w:rsid w:val="6CDF30F3"/>
    <w:rsid w:val="6CE11523"/>
    <w:rsid w:val="6CE348FB"/>
    <w:rsid w:val="6CE35047"/>
    <w:rsid w:val="6CE801F9"/>
    <w:rsid w:val="6CEB1A97"/>
    <w:rsid w:val="6CED3A62"/>
    <w:rsid w:val="6CEF1588"/>
    <w:rsid w:val="6CF05300"/>
    <w:rsid w:val="6CF070AE"/>
    <w:rsid w:val="6CF21078"/>
    <w:rsid w:val="6CF271BB"/>
    <w:rsid w:val="6CF272CA"/>
    <w:rsid w:val="6CF3094C"/>
    <w:rsid w:val="6CF50B68"/>
    <w:rsid w:val="6CF6423E"/>
    <w:rsid w:val="6CF654A1"/>
    <w:rsid w:val="6CF675C5"/>
    <w:rsid w:val="6CF71C10"/>
    <w:rsid w:val="6CF91ED1"/>
    <w:rsid w:val="6CFB1519"/>
    <w:rsid w:val="6CFC5A53"/>
    <w:rsid w:val="6D0023D2"/>
    <w:rsid w:val="6D003795"/>
    <w:rsid w:val="6D072751"/>
    <w:rsid w:val="6D0843F7"/>
    <w:rsid w:val="6D0C7E65"/>
    <w:rsid w:val="6D0E3B1E"/>
    <w:rsid w:val="6D0F1C2A"/>
    <w:rsid w:val="6D125276"/>
    <w:rsid w:val="6D15307C"/>
    <w:rsid w:val="6D156B14"/>
    <w:rsid w:val="6D170ADE"/>
    <w:rsid w:val="6D187612"/>
    <w:rsid w:val="6D1945D1"/>
    <w:rsid w:val="6D216A4E"/>
    <w:rsid w:val="6D231231"/>
    <w:rsid w:val="6D237483"/>
    <w:rsid w:val="6D2531FB"/>
    <w:rsid w:val="6D264001"/>
    <w:rsid w:val="6D266F73"/>
    <w:rsid w:val="6D2A1241"/>
    <w:rsid w:val="6D2A25C0"/>
    <w:rsid w:val="6D2A3F3C"/>
    <w:rsid w:val="6D2B458A"/>
    <w:rsid w:val="6D2B6338"/>
    <w:rsid w:val="6D2B6E52"/>
    <w:rsid w:val="6D30394E"/>
    <w:rsid w:val="6D323B6A"/>
    <w:rsid w:val="6D3276C6"/>
    <w:rsid w:val="6D341690"/>
    <w:rsid w:val="6D365258"/>
    <w:rsid w:val="6D372F2F"/>
    <w:rsid w:val="6D37348E"/>
    <w:rsid w:val="6D3B47D0"/>
    <w:rsid w:val="6D3C22F3"/>
    <w:rsid w:val="6D400035"/>
    <w:rsid w:val="6D413DAD"/>
    <w:rsid w:val="6D4318D3"/>
    <w:rsid w:val="6D433682"/>
    <w:rsid w:val="6D4449B9"/>
    <w:rsid w:val="6D447B64"/>
    <w:rsid w:val="6D4511BA"/>
    <w:rsid w:val="6D45564C"/>
    <w:rsid w:val="6D46118D"/>
    <w:rsid w:val="6D461EAA"/>
    <w:rsid w:val="6D463172"/>
    <w:rsid w:val="6D464F20"/>
    <w:rsid w:val="6D482916"/>
    <w:rsid w:val="6D486AFE"/>
    <w:rsid w:val="6D4A2C62"/>
    <w:rsid w:val="6D4C69DA"/>
    <w:rsid w:val="6D4D2752"/>
    <w:rsid w:val="6D4D62AE"/>
    <w:rsid w:val="6D4F2026"/>
    <w:rsid w:val="6D513FF0"/>
    <w:rsid w:val="6D52044D"/>
    <w:rsid w:val="6D5238C5"/>
    <w:rsid w:val="6D527D69"/>
    <w:rsid w:val="6D543B83"/>
    <w:rsid w:val="6D554F6F"/>
    <w:rsid w:val="6D56641F"/>
    <w:rsid w:val="6D57712D"/>
    <w:rsid w:val="6D5835D1"/>
    <w:rsid w:val="6D5A61BC"/>
    <w:rsid w:val="6D5B0955"/>
    <w:rsid w:val="6D5C2995"/>
    <w:rsid w:val="6D605FE2"/>
    <w:rsid w:val="6D6244DF"/>
    <w:rsid w:val="6D65184A"/>
    <w:rsid w:val="6D6535F8"/>
    <w:rsid w:val="6D6630DF"/>
    <w:rsid w:val="6D6830E8"/>
    <w:rsid w:val="6D6A3304"/>
    <w:rsid w:val="6D6A6E60"/>
    <w:rsid w:val="6D6B1F60"/>
    <w:rsid w:val="6D6F091A"/>
    <w:rsid w:val="6D6F26C8"/>
    <w:rsid w:val="6D716441"/>
    <w:rsid w:val="6D747CDF"/>
    <w:rsid w:val="6D763A57"/>
    <w:rsid w:val="6D772A37"/>
    <w:rsid w:val="6D7935F8"/>
    <w:rsid w:val="6D7952F5"/>
    <w:rsid w:val="6D7B72BF"/>
    <w:rsid w:val="6D7C6B93"/>
    <w:rsid w:val="6D7E46BA"/>
    <w:rsid w:val="6D8141AA"/>
    <w:rsid w:val="6D82064E"/>
    <w:rsid w:val="6D875C64"/>
    <w:rsid w:val="6D8819DC"/>
    <w:rsid w:val="6D8F2D6B"/>
    <w:rsid w:val="6D910891"/>
    <w:rsid w:val="6D920165"/>
    <w:rsid w:val="6D943EDD"/>
    <w:rsid w:val="6D952BF9"/>
    <w:rsid w:val="6D964261"/>
    <w:rsid w:val="6D981752"/>
    <w:rsid w:val="6D981C1F"/>
    <w:rsid w:val="6D992397"/>
    <w:rsid w:val="6D995997"/>
    <w:rsid w:val="6D997745"/>
    <w:rsid w:val="6D9B170F"/>
    <w:rsid w:val="6D9B21BC"/>
    <w:rsid w:val="6D9D4134"/>
    <w:rsid w:val="6D9D51D9"/>
    <w:rsid w:val="6D9D5488"/>
    <w:rsid w:val="6D9E2FAE"/>
    <w:rsid w:val="6D9F6A54"/>
    <w:rsid w:val="6DA142D1"/>
    <w:rsid w:val="6DA2484C"/>
    <w:rsid w:val="6DA41436"/>
    <w:rsid w:val="6DA57E98"/>
    <w:rsid w:val="6DA71186"/>
    <w:rsid w:val="6DA71E62"/>
    <w:rsid w:val="6DAA5EF7"/>
    <w:rsid w:val="6DAC56CB"/>
    <w:rsid w:val="6DB34098"/>
    <w:rsid w:val="6DB545B6"/>
    <w:rsid w:val="6DB56889"/>
    <w:rsid w:val="6DB66549"/>
    <w:rsid w:val="6DB77BCC"/>
    <w:rsid w:val="6DB97DE8"/>
    <w:rsid w:val="6DBB2146"/>
    <w:rsid w:val="6DBD740C"/>
    <w:rsid w:val="6DBE44F3"/>
    <w:rsid w:val="6DBE71AC"/>
    <w:rsid w:val="6DC20A4A"/>
    <w:rsid w:val="6DC26C9C"/>
    <w:rsid w:val="6DC47BDA"/>
    <w:rsid w:val="6DC5053A"/>
    <w:rsid w:val="6DCA3DA3"/>
    <w:rsid w:val="6DCA78FF"/>
    <w:rsid w:val="6DCD73EF"/>
    <w:rsid w:val="6DD32C57"/>
    <w:rsid w:val="6DD34202"/>
    <w:rsid w:val="6DD4077E"/>
    <w:rsid w:val="6DD62748"/>
    <w:rsid w:val="6DDD3AD6"/>
    <w:rsid w:val="6DDF784E"/>
    <w:rsid w:val="6DE02FB4"/>
    <w:rsid w:val="6DE07122"/>
    <w:rsid w:val="6DE213D7"/>
    <w:rsid w:val="6DE22E9A"/>
    <w:rsid w:val="6DE2733E"/>
    <w:rsid w:val="6DE5298B"/>
    <w:rsid w:val="6DE637D5"/>
    <w:rsid w:val="6DE74955"/>
    <w:rsid w:val="6DE83B08"/>
    <w:rsid w:val="6DE9247B"/>
    <w:rsid w:val="6DEA7FA1"/>
    <w:rsid w:val="6DEC41C0"/>
    <w:rsid w:val="6DEE183F"/>
    <w:rsid w:val="6DEF7365"/>
    <w:rsid w:val="6DF1132F"/>
    <w:rsid w:val="6DF337EC"/>
    <w:rsid w:val="6DF35D8B"/>
    <w:rsid w:val="6DF64B98"/>
    <w:rsid w:val="6DF901E4"/>
    <w:rsid w:val="6DFD5F26"/>
    <w:rsid w:val="6DFE4B54"/>
    <w:rsid w:val="6DFF777D"/>
    <w:rsid w:val="6E001573"/>
    <w:rsid w:val="6E0125FA"/>
    <w:rsid w:val="6E0252EB"/>
    <w:rsid w:val="6E032E11"/>
    <w:rsid w:val="6E0472B5"/>
    <w:rsid w:val="6E05302D"/>
    <w:rsid w:val="6E0948CB"/>
    <w:rsid w:val="6E096679"/>
    <w:rsid w:val="6E0C6169"/>
    <w:rsid w:val="6E0C7F17"/>
    <w:rsid w:val="6E0D6F64"/>
    <w:rsid w:val="6E0E3C8F"/>
    <w:rsid w:val="6E0E4C0E"/>
    <w:rsid w:val="6E0F17B6"/>
    <w:rsid w:val="6E0F721D"/>
    <w:rsid w:val="6E104395"/>
    <w:rsid w:val="6E105C5A"/>
    <w:rsid w:val="6E166FE8"/>
    <w:rsid w:val="6E190F3F"/>
    <w:rsid w:val="6E192634"/>
    <w:rsid w:val="6E1B63AC"/>
    <w:rsid w:val="6E1D2124"/>
    <w:rsid w:val="6E1D3ED3"/>
    <w:rsid w:val="6E1F40EF"/>
    <w:rsid w:val="6E201C15"/>
    <w:rsid w:val="6E214420"/>
    <w:rsid w:val="6E2214E9"/>
    <w:rsid w:val="6E227CFA"/>
    <w:rsid w:val="6E234487"/>
    <w:rsid w:val="6E237DA5"/>
    <w:rsid w:val="6E24261A"/>
    <w:rsid w:val="6E245261"/>
    <w:rsid w:val="6E253AAA"/>
    <w:rsid w:val="6E25722B"/>
    <w:rsid w:val="6E272E6B"/>
    <w:rsid w:val="6E272FA3"/>
    <w:rsid w:val="6E296D1B"/>
    <w:rsid w:val="6E2D0DB9"/>
    <w:rsid w:val="6E2E7CDD"/>
    <w:rsid w:val="6E3000AA"/>
    <w:rsid w:val="6E313E22"/>
    <w:rsid w:val="6E31797E"/>
    <w:rsid w:val="6E363B46"/>
    <w:rsid w:val="6E376FDC"/>
    <w:rsid w:val="6E3D27C7"/>
    <w:rsid w:val="6E3F02ED"/>
    <w:rsid w:val="6E3F10AD"/>
    <w:rsid w:val="6E3F209B"/>
    <w:rsid w:val="6E443B55"/>
    <w:rsid w:val="6E454381"/>
    <w:rsid w:val="6E46167B"/>
    <w:rsid w:val="6E4A0CB9"/>
    <w:rsid w:val="6E4B7158"/>
    <w:rsid w:val="6E4C0C5C"/>
    <w:rsid w:val="6E4D1326"/>
    <w:rsid w:val="6E4E5C4C"/>
    <w:rsid w:val="6E514CED"/>
    <w:rsid w:val="6E5378F4"/>
    <w:rsid w:val="6E55366C"/>
    <w:rsid w:val="6E560005"/>
    <w:rsid w:val="6E565636"/>
    <w:rsid w:val="6E5673E4"/>
    <w:rsid w:val="6E573888"/>
    <w:rsid w:val="6E5B2C4D"/>
    <w:rsid w:val="6E5D69C5"/>
    <w:rsid w:val="6E5F273D"/>
    <w:rsid w:val="6E5F44EB"/>
    <w:rsid w:val="6E6164B5"/>
    <w:rsid w:val="6E645FA5"/>
    <w:rsid w:val="6E65267E"/>
    <w:rsid w:val="6E663ACB"/>
    <w:rsid w:val="6E692E0F"/>
    <w:rsid w:val="6E6A0AD0"/>
    <w:rsid w:val="6E6C6C08"/>
    <w:rsid w:val="6E712470"/>
    <w:rsid w:val="6E7206C2"/>
    <w:rsid w:val="6E74559D"/>
    <w:rsid w:val="6E773871"/>
    <w:rsid w:val="6E775CD9"/>
    <w:rsid w:val="6E777A87"/>
    <w:rsid w:val="6E7A30D3"/>
    <w:rsid w:val="6E7C509D"/>
    <w:rsid w:val="6E7D0905"/>
    <w:rsid w:val="6E7D2BD0"/>
    <w:rsid w:val="6E7F693B"/>
    <w:rsid w:val="6E810905"/>
    <w:rsid w:val="6E8201DA"/>
    <w:rsid w:val="6E833036"/>
    <w:rsid w:val="6E8403F6"/>
    <w:rsid w:val="6E843F52"/>
    <w:rsid w:val="6E8977BA"/>
    <w:rsid w:val="6E91041D"/>
    <w:rsid w:val="6E922B12"/>
    <w:rsid w:val="6E934195"/>
    <w:rsid w:val="6E937A81"/>
    <w:rsid w:val="6E944902"/>
    <w:rsid w:val="6E9A19C7"/>
    <w:rsid w:val="6E9C129B"/>
    <w:rsid w:val="6E9D2DF9"/>
    <w:rsid w:val="6E9D42A7"/>
    <w:rsid w:val="6E9D67AE"/>
    <w:rsid w:val="6EA12D56"/>
    <w:rsid w:val="6EA14B04"/>
    <w:rsid w:val="6EA37262"/>
    <w:rsid w:val="6EA4236F"/>
    <w:rsid w:val="6EA445F4"/>
    <w:rsid w:val="6EAB25C5"/>
    <w:rsid w:val="6EAB3BD4"/>
    <w:rsid w:val="6EAD16FA"/>
    <w:rsid w:val="6EAE0FCF"/>
    <w:rsid w:val="6EB10CF1"/>
    <w:rsid w:val="6EB1286D"/>
    <w:rsid w:val="6EB14973"/>
    <w:rsid w:val="6EB20ABF"/>
    <w:rsid w:val="6EB26D11"/>
    <w:rsid w:val="6EB44A35"/>
    <w:rsid w:val="6EB5235D"/>
    <w:rsid w:val="6EB55EC5"/>
    <w:rsid w:val="6EB563D5"/>
    <w:rsid w:val="6EBA220A"/>
    <w:rsid w:val="6EBA5BC5"/>
    <w:rsid w:val="6EBC193D"/>
    <w:rsid w:val="6EBF142E"/>
    <w:rsid w:val="6EC03BD0"/>
    <w:rsid w:val="6EC10D02"/>
    <w:rsid w:val="6EC16F54"/>
    <w:rsid w:val="6EC24A7A"/>
    <w:rsid w:val="6EC66318"/>
    <w:rsid w:val="6EC702DA"/>
    <w:rsid w:val="6EC704FA"/>
    <w:rsid w:val="6EC95E08"/>
    <w:rsid w:val="6ECB392F"/>
    <w:rsid w:val="6ED36C87"/>
    <w:rsid w:val="6ED678C6"/>
    <w:rsid w:val="6ED749C9"/>
    <w:rsid w:val="6ED8604B"/>
    <w:rsid w:val="6ED92677"/>
    <w:rsid w:val="6EDB46BB"/>
    <w:rsid w:val="6EDC1FE0"/>
    <w:rsid w:val="6EDC3D8E"/>
    <w:rsid w:val="6EDC420D"/>
    <w:rsid w:val="6EE10E81"/>
    <w:rsid w:val="6EE175F6"/>
    <w:rsid w:val="6EE23D3D"/>
    <w:rsid w:val="6EE24726"/>
    <w:rsid w:val="6EE36ECA"/>
    <w:rsid w:val="6EE37AB3"/>
    <w:rsid w:val="6EE40E94"/>
    <w:rsid w:val="6EE478A3"/>
    <w:rsid w:val="6EE60768"/>
    <w:rsid w:val="6EE64C0C"/>
    <w:rsid w:val="6EE8530F"/>
    <w:rsid w:val="6EEA6711"/>
    <w:rsid w:val="6EEB3FD1"/>
    <w:rsid w:val="6EEC5FF7"/>
    <w:rsid w:val="6EEE3AC1"/>
    <w:rsid w:val="6EEE586F"/>
    <w:rsid w:val="6EF35E67"/>
    <w:rsid w:val="6EF410D7"/>
    <w:rsid w:val="6EF47329"/>
    <w:rsid w:val="6EF966EE"/>
    <w:rsid w:val="6EFC4430"/>
    <w:rsid w:val="6EFC61DE"/>
    <w:rsid w:val="6EFD5AB2"/>
    <w:rsid w:val="6EFF6FDB"/>
    <w:rsid w:val="6F046E40"/>
    <w:rsid w:val="6F084D68"/>
    <w:rsid w:val="6F08619F"/>
    <w:rsid w:val="6F086931"/>
    <w:rsid w:val="6F094457"/>
    <w:rsid w:val="6F0A08FB"/>
    <w:rsid w:val="6F0D03EB"/>
    <w:rsid w:val="6F0F4163"/>
    <w:rsid w:val="6F101C89"/>
    <w:rsid w:val="6F1057E5"/>
    <w:rsid w:val="6F1277AF"/>
    <w:rsid w:val="6F152DFC"/>
    <w:rsid w:val="6F1562FA"/>
    <w:rsid w:val="6F1572A0"/>
    <w:rsid w:val="6F1654F2"/>
    <w:rsid w:val="6F165A6E"/>
    <w:rsid w:val="6F1A48B6"/>
    <w:rsid w:val="6F1A49D2"/>
    <w:rsid w:val="6F1A6664"/>
    <w:rsid w:val="6F1C7E7D"/>
    <w:rsid w:val="6F1E6154"/>
    <w:rsid w:val="6F1E7F02"/>
    <w:rsid w:val="6F212F57"/>
    <w:rsid w:val="6F225983"/>
    <w:rsid w:val="6F2319BD"/>
    <w:rsid w:val="6F23376B"/>
    <w:rsid w:val="6F235519"/>
    <w:rsid w:val="6F2474E3"/>
    <w:rsid w:val="6F282B2F"/>
    <w:rsid w:val="6F2968A7"/>
    <w:rsid w:val="6F2D45E9"/>
    <w:rsid w:val="6F2F2ADA"/>
    <w:rsid w:val="6F321C00"/>
    <w:rsid w:val="6F321E6A"/>
    <w:rsid w:val="6F32398A"/>
    <w:rsid w:val="6F34478A"/>
    <w:rsid w:val="6F347726"/>
    <w:rsid w:val="6F377216"/>
    <w:rsid w:val="6F385CDC"/>
    <w:rsid w:val="6F394D3C"/>
    <w:rsid w:val="6F3C2DD2"/>
    <w:rsid w:val="6F3C5AED"/>
    <w:rsid w:val="6F3D4C29"/>
    <w:rsid w:val="6F3D6F7D"/>
    <w:rsid w:val="6F3E05A4"/>
    <w:rsid w:val="6F3E2352"/>
    <w:rsid w:val="6F3F60CB"/>
    <w:rsid w:val="6F427072"/>
    <w:rsid w:val="6F457B85"/>
    <w:rsid w:val="6F4638FD"/>
    <w:rsid w:val="6F4656AB"/>
    <w:rsid w:val="6F47002E"/>
    <w:rsid w:val="6F481423"/>
    <w:rsid w:val="6F4B0F13"/>
    <w:rsid w:val="6F4B2A10"/>
    <w:rsid w:val="6F4C2993"/>
    <w:rsid w:val="6F4F27B2"/>
    <w:rsid w:val="6F506DEB"/>
    <w:rsid w:val="6F5161E8"/>
    <w:rsid w:val="6F5222A2"/>
    <w:rsid w:val="6F524050"/>
    <w:rsid w:val="6F541B76"/>
    <w:rsid w:val="6F543924"/>
    <w:rsid w:val="6F55769C"/>
    <w:rsid w:val="6F563B40"/>
    <w:rsid w:val="6F566693"/>
    <w:rsid w:val="6F5704A1"/>
    <w:rsid w:val="6F5778B8"/>
    <w:rsid w:val="6F5A1052"/>
    <w:rsid w:val="6F5C4ECE"/>
    <w:rsid w:val="6F5E0C47"/>
    <w:rsid w:val="6F5F1413"/>
    <w:rsid w:val="6F6103BB"/>
    <w:rsid w:val="6F631DB9"/>
    <w:rsid w:val="6F634E18"/>
    <w:rsid w:val="6F655B31"/>
    <w:rsid w:val="6F667AFB"/>
    <w:rsid w:val="6F685621"/>
    <w:rsid w:val="6F692303"/>
    <w:rsid w:val="6F6A186C"/>
    <w:rsid w:val="6F6A75EB"/>
    <w:rsid w:val="6F6B5112"/>
    <w:rsid w:val="6F6F075E"/>
    <w:rsid w:val="6F6F3EC3"/>
    <w:rsid w:val="6F6F69B0"/>
    <w:rsid w:val="6F71097A"/>
    <w:rsid w:val="6F742218"/>
    <w:rsid w:val="6F745D74"/>
    <w:rsid w:val="6F776FE8"/>
    <w:rsid w:val="6F7915DC"/>
    <w:rsid w:val="6F79782E"/>
    <w:rsid w:val="6F7A7103"/>
    <w:rsid w:val="6F7E3097"/>
    <w:rsid w:val="6F7E4E45"/>
    <w:rsid w:val="6F7E6BF3"/>
    <w:rsid w:val="6F81464C"/>
    <w:rsid w:val="6F83245B"/>
    <w:rsid w:val="6F8561D3"/>
    <w:rsid w:val="6F8A5598"/>
    <w:rsid w:val="6F8B50A9"/>
    <w:rsid w:val="6F8B7580"/>
    <w:rsid w:val="6F8C2A74"/>
    <w:rsid w:val="6F8C57B4"/>
    <w:rsid w:val="6F8C7562"/>
    <w:rsid w:val="6F9208F0"/>
    <w:rsid w:val="6F92269E"/>
    <w:rsid w:val="6F9251A5"/>
    <w:rsid w:val="6F9603E0"/>
    <w:rsid w:val="6F984159"/>
    <w:rsid w:val="6F9A0CD2"/>
    <w:rsid w:val="6F9C6257"/>
    <w:rsid w:val="6FA10B33"/>
    <w:rsid w:val="6FA50623"/>
    <w:rsid w:val="6FA54BDF"/>
    <w:rsid w:val="6FA81EC2"/>
    <w:rsid w:val="6FA8452B"/>
    <w:rsid w:val="6FAB550E"/>
    <w:rsid w:val="6FAB5682"/>
    <w:rsid w:val="6FAC19B2"/>
    <w:rsid w:val="6FAC7C04"/>
    <w:rsid w:val="6FB22D40"/>
    <w:rsid w:val="6FB42615"/>
    <w:rsid w:val="6FB55045"/>
    <w:rsid w:val="6FB62831"/>
    <w:rsid w:val="6FB6642C"/>
    <w:rsid w:val="6FB95E7D"/>
    <w:rsid w:val="6FBB7E47"/>
    <w:rsid w:val="6FC00FB9"/>
    <w:rsid w:val="6FC0720B"/>
    <w:rsid w:val="6FC30AAA"/>
    <w:rsid w:val="6FC35680"/>
    <w:rsid w:val="6FC57A24"/>
    <w:rsid w:val="6FCA1E38"/>
    <w:rsid w:val="6FCC5BB0"/>
    <w:rsid w:val="6FCC795E"/>
    <w:rsid w:val="6FCD76B3"/>
    <w:rsid w:val="6FCE2275"/>
    <w:rsid w:val="6FD1766A"/>
    <w:rsid w:val="6FD20CED"/>
    <w:rsid w:val="6FD35191"/>
    <w:rsid w:val="6FD44A65"/>
    <w:rsid w:val="6FD57B29"/>
    <w:rsid w:val="6FD64C81"/>
    <w:rsid w:val="6FD902CD"/>
    <w:rsid w:val="6FD91113"/>
    <w:rsid w:val="6FDA3881"/>
    <w:rsid w:val="6FDB4045"/>
    <w:rsid w:val="6FE22AAB"/>
    <w:rsid w:val="6FE27182"/>
    <w:rsid w:val="6FE44A4D"/>
    <w:rsid w:val="6FE56C72"/>
    <w:rsid w:val="6FE70C3C"/>
    <w:rsid w:val="6FE74798"/>
    <w:rsid w:val="6FE80510"/>
    <w:rsid w:val="6FE949B4"/>
    <w:rsid w:val="6FED5B27"/>
    <w:rsid w:val="6FEF1BDF"/>
    <w:rsid w:val="6FEF7AF1"/>
    <w:rsid w:val="6FF033C7"/>
    <w:rsid w:val="6FF15617"/>
    <w:rsid w:val="6FF2492F"/>
    <w:rsid w:val="6FF31971"/>
    <w:rsid w:val="6FF46EB5"/>
    <w:rsid w:val="6FF84BF7"/>
    <w:rsid w:val="6FFB0243"/>
    <w:rsid w:val="6FFC43C3"/>
    <w:rsid w:val="6FFC5590"/>
    <w:rsid w:val="6FFE1126"/>
    <w:rsid w:val="70001CFE"/>
    <w:rsid w:val="70003AAC"/>
    <w:rsid w:val="70004226"/>
    <w:rsid w:val="70025A76"/>
    <w:rsid w:val="700403B3"/>
    <w:rsid w:val="70090BB2"/>
    <w:rsid w:val="700C06A3"/>
    <w:rsid w:val="700C2451"/>
    <w:rsid w:val="700C41FF"/>
    <w:rsid w:val="700D1209"/>
    <w:rsid w:val="700E441B"/>
    <w:rsid w:val="700F1F41"/>
    <w:rsid w:val="701070E4"/>
    <w:rsid w:val="70111815"/>
    <w:rsid w:val="70117A67"/>
    <w:rsid w:val="70131A31"/>
    <w:rsid w:val="701778DC"/>
    <w:rsid w:val="70180D6C"/>
    <w:rsid w:val="70194B6E"/>
    <w:rsid w:val="70194DCD"/>
    <w:rsid w:val="701B2CE2"/>
    <w:rsid w:val="701D01BA"/>
    <w:rsid w:val="701E1872"/>
    <w:rsid w:val="701E4A7D"/>
    <w:rsid w:val="70223A22"/>
    <w:rsid w:val="70251764"/>
    <w:rsid w:val="70291255"/>
    <w:rsid w:val="702A0B29"/>
    <w:rsid w:val="702B1923"/>
    <w:rsid w:val="702C48A1"/>
    <w:rsid w:val="70310109"/>
    <w:rsid w:val="703419D5"/>
    <w:rsid w:val="7036127C"/>
    <w:rsid w:val="703A6FBE"/>
    <w:rsid w:val="703D260A"/>
    <w:rsid w:val="703F2826"/>
    <w:rsid w:val="70402199"/>
    <w:rsid w:val="7040659E"/>
    <w:rsid w:val="704228A0"/>
    <w:rsid w:val="70447E3C"/>
    <w:rsid w:val="704936A5"/>
    <w:rsid w:val="70497201"/>
    <w:rsid w:val="704C6CF1"/>
    <w:rsid w:val="704F233D"/>
    <w:rsid w:val="705120FE"/>
    <w:rsid w:val="70512559"/>
    <w:rsid w:val="705270BF"/>
    <w:rsid w:val="70567B70"/>
    <w:rsid w:val="705838E8"/>
    <w:rsid w:val="70585696"/>
    <w:rsid w:val="70587444"/>
    <w:rsid w:val="705A7660"/>
    <w:rsid w:val="705C4CCE"/>
    <w:rsid w:val="7063281E"/>
    <w:rsid w:val="70643451"/>
    <w:rsid w:val="70666005"/>
    <w:rsid w:val="7068100F"/>
    <w:rsid w:val="706A31E5"/>
    <w:rsid w:val="706A53C9"/>
    <w:rsid w:val="706A7177"/>
    <w:rsid w:val="706D1DD0"/>
    <w:rsid w:val="707149AA"/>
    <w:rsid w:val="7073427E"/>
    <w:rsid w:val="70765B1C"/>
    <w:rsid w:val="707A560C"/>
    <w:rsid w:val="707B75D6"/>
    <w:rsid w:val="707D334E"/>
    <w:rsid w:val="707D50FC"/>
    <w:rsid w:val="707E5BF6"/>
    <w:rsid w:val="707F70C6"/>
    <w:rsid w:val="70806342"/>
    <w:rsid w:val="70807BE7"/>
    <w:rsid w:val="708104E7"/>
    <w:rsid w:val="70814BED"/>
    <w:rsid w:val="70856B87"/>
    <w:rsid w:val="70860455"/>
    <w:rsid w:val="7086142A"/>
    <w:rsid w:val="70862203"/>
    <w:rsid w:val="70877D29"/>
    <w:rsid w:val="70886912"/>
    <w:rsid w:val="70893AA1"/>
    <w:rsid w:val="708B7819"/>
    <w:rsid w:val="708D156E"/>
    <w:rsid w:val="708E730A"/>
    <w:rsid w:val="70910F61"/>
    <w:rsid w:val="70911BAC"/>
    <w:rsid w:val="70912956"/>
    <w:rsid w:val="70926DFA"/>
    <w:rsid w:val="709366CE"/>
    <w:rsid w:val="70944D11"/>
    <w:rsid w:val="70952446"/>
    <w:rsid w:val="70962A36"/>
    <w:rsid w:val="7099175E"/>
    <w:rsid w:val="709A7A5C"/>
    <w:rsid w:val="709A7AA0"/>
    <w:rsid w:val="709B37D5"/>
    <w:rsid w:val="709C1A26"/>
    <w:rsid w:val="709C34A3"/>
    <w:rsid w:val="709D754D"/>
    <w:rsid w:val="709F32C5"/>
    <w:rsid w:val="709F5073"/>
    <w:rsid w:val="70A00DEB"/>
    <w:rsid w:val="70A10113"/>
    <w:rsid w:val="70A128B4"/>
    <w:rsid w:val="70A20F92"/>
    <w:rsid w:val="70A26911"/>
    <w:rsid w:val="70A628A5"/>
    <w:rsid w:val="70A72179"/>
    <w:rsid w:val="70A91CF6"/>
    <w:rsid w:val="70A95AA7"/>
    <w:rsid w:val="70A95EF1"/>
    <w:rsid w:val="70AB1C6A"/>
    <w:rsid w:val="70AC59E2"/>
    <w:rsid w:val="70AD3C34"/>
    <w:rsid w:val="70B0102E"/>
    <w:rsid w:val="70B05326"/>
    <w:rsid w:val="70B07280"/>
    <w:rsid w:val="70B34FC2"/>
    <w:rsid w:val="70B64CD9"/>
    <w:rsid w:val="70B66C1B"/>
    <w:rsid w:val="70B86135"/>
    <w:rsid w:val="70BB79D3"/>
    <w:rsid w:val="70BC3E77"/>
    <w:rsid w:val="70BF5715"/>
    <w:rsid w:val="70C1323B"/>
    <w:rsid w:val="70C268FE"/>
    <w:rsid w:val="70C63971"/>
    <w:rsid w:val="70C76378"/>
    <w:rsid w:val="70CC1BE0"/>
    <w:rsid w:val="70D171F6"/>
    <w:rsid w:val="70D2369A"/>
    <w:rsid w:val="70D25448"/>
    <w:rsid w:val="70D527EE"/>
    <w:rsid w:val="70D867D7"/>
    <w:rsid w:val="70D941F3"/>
    <w:rsid w:val="70DA42FD"/>
    <w:rsid w:val="70DB74A5"/>
    <w:rsid w:val="70DF5DB7"/>
    <w:rsid w:val="70E24F2A"/>
    <w:rsid w:val="70E37655"/>
    <w:rsid w:val="70E46F2A"/>
    <w:rsid w:val="70E707C8"/>
    <w:rsid w:val="70ED4030"/>
    <w:rsid w:val="70ED5389"/>
    <w:rsid w:val="70F03B20"/>
    <w:rsid w:val="70F1747B"/>
    <w:rsid w:val="70F30040"/>
    <w:rsid w:val="70F7553D"/>
    <w:rsid w:val="70F76C5D"/>
    <w:rsid w:val="70F84783"/>
    <w:rsid w:val="70F8731D"/>
    <w:rsid w:val="70F96E79"/>
    <w:rsid w:val="70FA674D"/>
    <w:rsid w:val="70FC24C5"/>
    <w:rsid w:val="70FC4273"/>
    <w:rsid w:val="7103616B"/>
    <w:rsid w:val="710364D6"/>
    <w:rsid w:val="71066EA0"/>
    <w:rsid w:val="710870BC"/>
    <w:rsid w:val="71092E34"/>
    <w:rsid w:val="71094BE2"/>
    <w:rsid w:val="710A39B3"/>
    <w:rsid w:val="710B095A"/>
    <w:rsid w:val="710D6480"/>
    <w:rsid w:val="710E21F8"/>
    <w:rsid w:val="710F114D"/>
    <w:rsid w:val="71122145"/>
    <w:rsid w:val="71137CA9"/>
    <w:rsid w:val="71153587"/>
    <w:rsid w:val="711772FF"/>
    <w:rsid w:val="711A0B9D"/>
    <w:rsid w:val="711D41EA"/>
    <w:rsid w:val="711E68DF"/>
    <w:rsid w:val="711F0677"/>
    <w:rsid w:val="711F4406"/>
    <w:rsid w:val="711F61B4"/>
    <w:rsid w:val="7121017E"/>
    <w:rsid w:val="71211F2C"/>
    <w:rsid w:val="71233EF6"/>
    <w:rsid w:val="71235C9B"/>
    <w:rsid w:val="71241105"/>
    <w:rsid w:val="712612F0"/>
    <w:rsid w:val="712832BA"/>
    <w:rsid w:val="71285227"/>
    <w:rsid w:val="712A5284"/>
    <w:rsid w:val="712B4B58"/>
    <w:rsid w:val="712D08D1"/>
    <w:rsid w:val="713003C1"/>
    <w:rsid w:val="71300F9A"/>
    <w:rsid w:val="71333A0D"/>
    <w:rsid w:val="713502C9"/>
    <w:rsid w:val="713A123F"/>
    <w:rsid w:val="713A2FED"/>
    <w:rsid w:val="713C0B14"/>
    <w:rsid w:val="713C6D66"/>
    <w:rsid w:val="713D663A"/>
    <w:rsid w:val="713E2ADE"/>
    <w:rsid w:val="713F23B2"/>
    <w:rsid w:val="714125CE"/>
    <w:rsid w:val="71436346"/>
    <w:rsid w:val="71461992"/>
    <w:rsid w:val="7148570A"/>
    <w:rsid w:val="714B51FB"/>
    <w:rsid w:val="714E3E6E"/>
    <w:rsid w:val="71526C4B"/>
    <w:rsid w:val="71573B9F"/>
    <w:rsid w:val="715776FB"/>
    <w:rsid w:val="71581B4D"/>
    <w:rsid w:val="71593474"/>
    <w:rsid w:val="715A71EC"/>
    <w:rsid w:val="715B301F"/>
    <w:rsid w:val="715B5300"/>
    <w:rsid w:val="715B786B"/>
    <w:rsid w:val="715E4F2E"/>
    <w:rsid w:val="7161057A"/>
    <w:rsid w:val="716167D1"/>
    <w:rsid w:val="716A38D3"/>
    <w:rsid w:val="716A5681"/>
    <w:rsid w:val="716D5171"/>
    <w:rsid w:val="71704C61"/>
    <w:rsid w:val="71727196"/>
    <w:rsid w:val="717402AD"/>
    <w:rsid w:val="71777D9E"/>
    <w:rsid w:val="717B7362"/>
    <w:rsid w:val="717B788E"/>
    <w:rsid w:val="717C7162"/>
    <w:rsid w:val="717E112C"/>
    <w:rsid w:val="717E5165"/>
    <w:rsid w:val="71810C1C"/>
    <w:rsid w:val="718129CA"/>
    <w:rsid w:val="71842267"/>
    <w:rsid w:val="71860023"/>
    <w:rsid w:val="71862C3F"/>
    <w:rsid w:val="718720E0"/>
    <w:rsid w:val="718764FD"/>
    <w:rsid w:val="718801FD"/>
    <w:rsid w:val="71883D59"/>
    <w:rsid w:val="718B3849"/>
    <w:rsid w:val="718D6871"/>
    <w:rsid w:val="718E33CD"/>
    <w:rsid w:val="718E5B9A"/>
    <w:rsid w:val="718F158B"/>
    <w:rsid w:val="718F50E7"/>
    <w:rsid w:val="718F6E95"/>
    <w:rsid w:val="71902C0D"/>
    <w:rsid w:val="71930603"/>
    <w:rsid w:val="71940098"/>
    <w:rsid w:val="71956476"/>
    <w:rsid w:val="71973F9C"/>
    <w:rsid w:val="719777C6"/>
    <w:rsid w:val="71995F66"/>
    <w:rsid w:val="719A5311"/>
    <w:rsid w:val="719B7F30"/>
    <w:rsid w:val="719E17CE"/>
    <w:rsid w:val="719E357C"/>
    <w:rsid w:val="719E532A"/>
    <w:rsid w:val="71A16BC9"/>
    <w:rsid w:val="71A32941"/>
    <w:rsid w:val="71A52B5D"/>
    <w:rsid w:val="71A566B9"/>
    <w:rsid w:val="71A861A9"/>
    <w:rsid w:val="71A87F57"/>
    <w:rsid w:val="71A94D21"/>
    <w:rsid w:val="71AA1F21"/>
    <w:rsid w:val="71AA3F58"/>
    <w:rsid w:val="71AB5C99"/>
    <w:rsid w:val="71AB6B41"/>
    <w:rsid w:val="71B132B0"/>
    <w:rsid w:val="71B21356"/>
    <w:rsid w:val="71B2527A"/>
    <w:rsid w:val="71B52E43"/>
    <w:rsid w:val="71B57E05"/>
    <w:rsid w:val="71B96CEF"/>
    <w:rsid w:val="71BB5EDC"/>
    <w:rsid w:val="71BC0BD5"/>
    <w:rsid w:val="71BC1C54"/>
    <w:rsid w:val="71BC3A02"/>
    <w:rsid w:val="71BE59CD"/>
    <w:rsid w:val="71C034F3"/>
    <w:rsid w:val="71C1325E"/>
    <w:rsid w:val="71C31235"/>
    <w:rsid w:val="71C32FE3"/>
    <w:rsid w:val="71C54FAD"/>
    <w:rsid w:val="71C823A7"/>
    <w:rsid w:val="71C86D23"/>
    <w:rsid w:val="71CA25C3"/>
    <w:rsid w:val="71CD6C87"/>
    <w:rsid w:val="71D074AE"/>
    <w:rsid w:val="71D15700"/>
    <w:rsid w:val="71D27F8A"/>
    <w:rsid w:val="71D40D4C"/>
    <w:rsid w:val="71D46F9E"/>
    <w:rsid w:val="71D90A58"/>
    <w:rsid w:val="71D92806"/>
    <w:rsid w:val="71DE37D2"/>
    <w:rsid w:val="71E43D41"/>
    <w:rsid w:val="71E60A7F"/>
    <w:rsid w:val="71E847F7"/>
    <w:rsid w:val="71E865E8"/>
    <w:rsid w:val="71E955B4"/>
    <w:rsid w:val="71EA67C2"/>
    <w:rsid w:val="71EC3F35"/>
    <w:rsid w:val="71EC42E8"/>
    <w:rsid w:val="71ED1E0E"/>
    <w:rsid w:val="71EF5B86"/>
    <w:rsid w:val="71F118FE"/>
    <w:rsid w:val="71F55298"/>
    <w:rsid w:val="71F62B06"/>
    <w:rsid w:val="71F633B8"/>
    <w:rsid w:val="71F92EA9"/>
    <w:rsid w:val="71FA4ED0"/>
    <w:rsid w:val="71FB09CF"/>
    <w:rsid w:val="71FB5F2B"/>
    <w:rsid w:val="71FD64F5"/>
    <w:rsid w:val="71FE04BF"/>
    <w:rsid w:val="71FE33F0"/>
    <w:rsid w:val="71FE401B"/>
    <w:rsid w:val="72004F7C"/>
    <w:rsid w:val="720138DA"/>
    <w:rsid w:val="72016FD6"/>
    <w:rsid w:val="72021D5D"/>
    <w:rsid w:val="72023B0B"/>
    <w:rsid w:val="72035AD5"/>
    <w:rsid w:val="720400E0"/>
    <w:rsid w:val="720438FD"/>
    <w:rsid w:val="720535FB"/>
    <w:rsid w:val="720A0D8E"/>
    <w:rsid w:val="720A68E1"/>
    <w:rsid w:val="720A6E64"/>
    <w:rsid w:val="720C498A"/>
    <w:rsid w:val="720D425E"/>
    <w:rsid w:val="72143FCE"/>
    <w:rsid w:val="72144F7F"/>
    <w:rsid w:val="721675B7"/>
    <w:rsid w:val="721750DD"/>
    <w:rsid w:val="721B5EDD"/>
    <w:rsid w:val="721D0945"/>
    <w:rsid w:val="721E46BD"/>
    <w:rsid w:val="721E646B"/>
    <w:rsid w:val="721F6DC4"/>
    <w:rsid w:val="722021E3"/>
    <w:rsid w:val="722241AD"/>
    <w:rsid w:val="72231CD3"/>
    <w:rsid w:val="722577FA"/>
    <w:rsid w:val="72273572"/>
    <w:rsid w:val="72281098"/>
    <w:rsid w:val="72292A47"/>
    <w:rsid w:val="722A4E10"/>
    <w:rsid w:val="722C6DDA"/>
    <w:rsid w:val="722F7759"/>
    <w:rsid w:val="72330169"/>
    <w:rsid w:val="72342F2E"/>
    <w:rsid w:val="7235270A"/>
    <w:rsid w:val="72382FD7"/>
    <w:rsid w:val="7238752D"/>
    <w:rsid w:val="7239253B"/>
    <w:rsid w:val="72395053"/>
    <w:rsid w:val="723D0FE7"/>
    <w:rsid w:val="723D2D95"/>
    <w:rsid w:val="723E37DC"/>
    <w:rsid w:val="72402885"/>
    <w:rsid w:val="724070EF"/>
    <w:rsid w:val="7242215A"/>
    <w:rsid w:val="72430567"/>
    <w:rsid w:val="724834E8"/>
    <w:rsid w:val="72491DCF"/>
    <w:rsid w:val="724951FB"/>
    <w:rsid w:val="724A3704"/>
    <w:rsid w:val="724A45D8"/>
    <w:rsid w:val="724C2FD8"/>
    <w:rsid w:val="724E4FA2"/>
    <w:rsid w:val="725325B9"/>
    <w:rsid w:val="72541E8D"/>
    <w:rsid w:val="72545F4C"/>
    <w:rsid w:val="72553024"/>
    <w:rsid w:val="725615F1"/>
    <w:rsid w:val="7258197D"/>
    <w:rsid w:val="72600832"/>
    <w:rsid w:val="72604CD6"/>
    <w:rsid w:val="7261417E"/>
    <w:rsid w:val="726227FC"/>
    <w:rsid w:val="72634067"/>
    <w:rsid w:val="726357A8"/>
    <w:rsid w:val="72654D21"/>
    <w:rsid w:val="72663C76"/>
    <w:rsid w:val="72666375"/>
    <w:rsid w:val="72676064"/>
    <w:rsid w:val="726943F1"/>
    <w:rsid w:val="726A16B0"/>
    <w:rsid w:val="726E11A1"/>
    <w:rsid w:val="726E2F4F"/>
    <w:rsid w:val="72710C91"/>
    <w:rsid w:val="727147ED"/>
    <w:rsid w:val="72734A09"/>
    <w:rsid w:val="727662A7"/>
    <w:rsid w:val="72766AE8"/>
    <w:rsid w:val="727744F1"/>
    <w:rsid w:val="72783DCD"/>
    <w:rsid w:val="727B1B10"/>
    <w:rsid w:val="727D7636"/>
    <w:rsid w:val="727E15AC"/>
    <w:rsid w:val="727E6F0A"/>
    <w:rsid w:val="72810D89"/>
    <w:rsid w:val="7285606E"/>
    <w:rsid w:val="7289468C"/>
    <w:rsid w:val="72897D89"/>
    <w:rsid w:val="728B26A8"/>
    <w:rsid w:val="728C1627"/>
    <w:rsid w:val="728C5ACB"/>
    <w:rsid w:val="729329B5"/>
    <w:rsid w:val="72952BD1"/>
    <w:rsid w:val="7298621E"/>
    <w:rsid w:val="72995877"/>
    <w:rsid w:val="729D41F8"/>
    <w:rsid w:val="729F135A"/>
    <w:rsid w:val="729F57FE"/>
    <w:rsid w:val="72A14FA0"/>
    <w:rsid w:val="72A20E4A"/>
    <w:rsid w:val="72A25FFA"/>
    <w:rsid w:val="72A471DF"/>
    <w:rsid w:val="72A5093A"/>
    <w:rsid w:val="72A545BB"/>
    <w:rsid w:val="72A72905"/>
    <w:rsid w:val="72A81DAB"/>
    <w:rsid w:val="72AA0B55"/>
    <w:rsid w:val="72AE77EF"/>
    <w:rsid w:val="72AF5315"/>
    <w:rsid w:val="72B017B9"/>
    <w:rsid w:val="72B648F6"/>
    <w:rsid w:val="72B8241C"/>
    <w:rsid w:val="72BA1761"/>
    <w:rsid w:val="72BA43E6"/>
    <w:rsid w:val="72BF19FC"/>
    <w:rsid w:val="72C2555F"/>
    <w:rsid w:val="72C35F13"/>
    <w:rsid w:val="72C40DC1"/>
    <w:rsid w:val="72C62D8B"/>
    <w:rsid w:val="72CA214F"/>
    <w:rsid w:val="72CB03A1"/>
    <w:rsid w:val="72CB7757"/>
    <w:rsid w:val="72CC1769"/>
    <w:rsid w:val="72CC4119"/>
    <w:rsid w:val="72CE1C3F"/>
    <w:rsid w:val="72CE6C93"/>
    <w:rsid w:val="72D11724"/>
    <w:rsid w:val="72D134DE"/>
    <w:rsid w:val="72D138E0"/>
    <w:rsid w:val="72D27981"/>
    <w:rsid w:val="72D27A14"/>
    <w:rsid w:val="72D37256"/>
    <w:rsid w:val="72D52FCE"/>
    <w:rsid w:val="72D54D7C"/>
    <w:rsid w:val="72D80809"/>
    <w:rsid w:val="72D80D10"/>
    <w:rsid w:val="72D9124F"/>
    <w:rsid w:val="72DA05E4"/>
    <w:rsid w:val="72DA4A88"/>
    <w:rsid w:val="72DB435C"/>
    <w:rsid w:val="72DB610A"/>
    <w:rsid w:val="72DF3E4C"/>
    <w:rsid w:val="72E01973"/>
    <w:rsid w:val="72E14254"/>
    <w:rsid w:val="72E15E16"/>
    <w:rsid w:val="72E17BC5"/>
    <w:rsid w:val="72E2393D"/>
    <w:rsid w:val="72E76216"/>
    <w:rsid w:val="72E90827"/>
    <w:rsid w:val="72ED47BB"/>
    <w:rsid w:val="72F21DD2"/>
    <w:rsid w:val="72F378F8"/>
    <w:rsid w:val="72F431B5"/>
    <w:rsid w:val="72F43A7B"/>
    <w:rsid w:val="72F5576B"/>
    <w:rsid w:val="72F71196"/>
    <w:rsid w:val="72F773E8"/>
    <w:rsid w:val="72F83160"/>
    <w:rsid w:val="72FA0C86"/>
    <w:rsid w:val="72FA2410"/>
    <w:rsid w:val="72FC67AC"/>
    <w:rsid w:val="72FD17EF"/>
    <w:rsid w:val="72FD2525"/>
    <w:rsid w:val="72FF629D"/>
    <w:rsid w:val="73041B05"/>
    <w:rsid w:val="730833A3"/>
    <w:rsid w:val="73090EC9"/>
    <w:rsid w:val="730B69EF"/>
    <w:rsid w:val="730C11D1"/>
    <w:rsid w:val="730D17D9"/>
    <w:rsid w:val="730D7F7C"/>
    <w:rsid w:val="730E4732"/>
    <w:rsid w:val="731070EB"/>
    <w:rsid w:val="73115D42"/>
    <w:rsid w:val="73122968"/>
    <w:rsid w:val="73133AF6"/>
    <w:rsid w:val="73137F9A"/>
    <w:rsid w:val="731415C3"/>
    <w:rsid w:val="7318735E"/>
    <w:rsid w:val="731A1328"/>
    <w:rsid w:val="731A30D6"/>
    <w:rsid w:val="731A4E85"/>
    <w:rsid w:val="731C0BFD"/>
    <w:rsid w:val="731C29AB"/>
    <w:rsid w:val="731F5D5E"/>
    <w:rsid w:val="73216213"/>
    <w:rsid w:val="73223D39"/>
    <w:rsid w:val="732357A1"/>
    <w:rsid w:val="7327134F"/>
    <w:rsid w:val="73271812"/>
    <w:rsid w:val="732775A1"/>
    <w:rsid w:val="732B52E4"/>
    <w:rsid w:val="732E119E"/>
    <w:rsid w:val="732E2674"/>
    <w:rsid w:val="733221CE"/>
    <w:rsid w:val="73326672"/>
    <w:rsid w:val="73335F46"/>
    <w:rsid w:val="73337E12"/>
    <w:rsid w:val="73351CBE"/>
    <w:rsid w:val="73360E06"/>
    <w:rsid w:val="73373C88"/>
    <w:rsid w:val="733749E1"/>
    <w:rsid w:val="73375A36"/>
    <w:rsid w:val="733A1083"/>
    <w:rsid w:val="733D0B73"/>
    <w:rsid w:val="7341521C"/>
    <w:rsid w:val="734343DB"/>
    <w:rsid w:val="734946AB"/>
    <w:rsid w:val="734A1857"/>
    <w:rsid w:val="734A5E8F"/>
    <w:rsid w:val="734B14E2"/>
    <w:rsid w:val="734D7008"/>
    <w:rsid w:val="73504D4A"/>
    <w:rsid w:val="735302B6"/>
    <w:rsid w:val="7353032E"/>
    <w:rsid w:val="7354659D"/>
    <w:rsid w:val="73593BFF"/>
    <w:rsid w:val="735A6AC0"/>
    <w:rsid w:val="735C36EF"/>
    <w:rsid w:val="735C549D"/>
    <w:rsid w:val="735D2FC3"/>
    <w:rsid w:val="735F1228"/>
    <w:rsid w:val="736158D4"/>
    <w:rsid w:val="736305DA"/>
    <w:rsid w:val="736A39E4"/>
    <w:rsid w:val="736A5E0C"/>
    <w:rsid w:val="736B1B84"/>
    <w:rsid w:val="736B3932"/>
    <w:rsid w:val="736D1458"/>
    <w:rsid w:val="736D2365"/>
    <w:rsid w:val="736D3206"/>
    <w:rsid w:val="736D76AA"/>
    <w:rsid w:val="73734595"/>
    <w:rsid w:val="737427E7"/>
    <w:rsid w:val="737547B1"/>
    <w:rsid w:val="73763DFC"/>
    <w:rsid w:val="73766299"/>
    <w:rsid w:val="737A3B75"/>
    <w:rsid w:val="737A5923"/>
    <w:rsid w:val="737A6252"/>
    <w:rsid w:val="737C169B"/>
    <w:rsid w:val="737E18B7"/>
    <w:rsid w:val="73810B43"/>
    <w:rsid w:val="73814F04"/>
    <w:rsid w:val="73816CB2"/>
    <w:rsid w:val="738A16FE"/>
    <w:rsid w:val="738D1AFA"/>
    <w:rsid w:val="738D38A8"/>
    <w:rsid w:val="7392533D"/>
    <w:rsid w:val="73942E89"/>
    <w:rsid w:val="73943609"/>
    <w:rsid w:val="73981633"/>
    <w:rsid w:val="73993FFB"/>
    <w:rsid w:val="739B4217"/>
    <w:rsid w:val="739C2D04"/>
    <w:rsid w:val="739C3AEB"/>
    <w:rsid w:val="739E28D4"/>
    <w:rsid w:val="739F538A"/>
    <w:rsid w:val="73A3131E"/>
    <w:rsid w:val="73A3438C"/>
    <w:rsid w:val="73A40BF2"/>
    <w:rsid w:val="73A62BBC"/>
    <w:rsid w:val="73AB01D2"/>
    <w:rsid w:val="73AD5CF9"/>
    <w:rsid w:val="73AF381F"/>
    <w:rsid w:val="73B057E9"/>
    <w:rsid w:val="73B47087"/>
    <w:rsid w:val="73B76B77"/>
    <w:rsid w:val="73B77896"/>
    <w:rsid w:val="73B928EF"/>
    <w:rsid w:val="73BA096B"/>
    <w:rsid w:val="73BB0416"/>
    <w:rsid w:val="73BB6668"/>
    <w:rsid w:val="73BE1CB4"/>
    <w:rsid w:val="73BE1FD7"/>
    <w:rsid w:val="73BF47DD"/>
    <w:rsid w:val="73C179F6"/>
    <w:rsid w:val="73C51AD5"/>
    <w:rsid w:val="73C77EB7"/>
    <w:rsid w:val="73C938E4"/>
    <w:rsid w:val="73CA68AB"/>
    <w:rsid w:val="73CC2623"/>
    <w:rsid w:val="73CF5C6F"/>
    <w:rsid w:val="73D05762"/>
    <w:rsid w:val="73D23906"/>
    <w:rsid w:val="73D31542"/>
    <w:rsid w:val="73D414D7"/>
    <w:rsid w:val="73D51803"/>
    <w:rsid w:val="73D56FFD"/>
    <w:rsid w:val="73D6524F"/>
    <w:rsid w:val="73D72D76"/>
    <w:rsid w:val="73DA13E5"/>
    <w:rsid w:val="73DC038C"/>
    <w:rsid w:val="73DD4830"/>
    <w:rsid w:val="73E01C2A"/>
    <w:rsid w:val="73E060CE"/>
    <w:rsid w:val="73E13BF4"/>
    <w:rsid w:val="73E26041"/>
    <w:rsid w:val="73E368AE"/>
    <w:rsid w:val="73E55492"/>
    <w:rsid w:val="73E62FB9"/>
    <w:rsid w:val="73EC4A73"/>
    <w:rsid w:val="73ED2599"/>
    <w:rsid w:val="73ED3653"/>
    <w:rsid w:val="73F05BE5"/>
    <w:rsid w:val="73F13E37"/>
    <w:rsid w:val="73F676A0"/>
    <w:rsid w:val="73FC27DC"/>
    <w:rsid w:val="73FF354D"/>
    <w:rsid w:val="74017DF2"/>
    <w:rsid w:val="74024296"/>
    <w:rsid w:val="74082F2F"/>
    <w:rsid w:val="740C216B"/>
    <w:rsid w:val="741144D9"/>
    <w:rsid w:val="74122000"/>
    <w:rsid w:val="741300E6"/>
    <w:rsid w:val="741320F9"/>
    <w:rsid w:val="74160B04"/>
    <w:rsid w:val="741713C4"/>
    <w:rsid w:val="74185868"/>
    <w:rsid w:val="741E09A4"/>
    <w:rsid w:val="741E2752"/>
    <w:rsid w:val="741E793C"/>
    <w:rsid w:val="742012E7"/>
    <w:rsid w:val="7420296E"/>
    <w:rsid w:val="74221477"/>
    <w:rsid w:val="74237D69"/>
    <w:rsid w:val="74251D33"/>
    <w:rsid w:val="74277859"/>
    <w:rsid w:val="742835D1"/>
    <w:rsid w:val="7428537F"/>
    <w:rsid w:val="742A10F7"/>
    <w:rsid w:val="742B065D"/>
    <w:rsid w:val="742F2BB2"/>
    <w:rsid w:val="742F5B33"/>
    <w:rsid w:val="74312486"/>
    <w:rsid w:val="74327ACF"/>
    <w:rsid w:val="74330443"/>
    <w:rsid w:val="74363C01"/>
    <w:rsid w:val="74365CEE"/>
    <w:rsid w:val="74381A66"/>
    <w:rsid w:val="74393307"/>
    <w:rsid w:val="743957DE"/>
    <w:rsid w:val="743958FD"/>
    <w:rsid w:val="743B29FC"/>
    <w:rsid w:val="743B50B2"/>
    <w:rsid w:val="743C3BD1"/>
    <w:rsid w:val="743D52CE"/>
    <w:rsid w:val="7440091B"/>
    <w:rsid w:val="74406592"/>
    <w:rsid w:val="744106BD"/>
    <w:rsid w:val="744228E5"/>
    <w:rsid w:val="74435A84"/>
    <w:rsid w:val="74485A21"/>
    <w:rsid w:val="74486D25"/>
    <w:rsid w:val="74492F6B"/>
    <w:rsid w:val="744B56A6"/>
    <w:rsid w:val="744C0277"/>
    <w:rsid w:val="744C5512"/>
    <w:rsid w:val="744D4DE6"/>
    <w:rsid w:val="744F5002"/>
    <w:rsid w:val="7450412C"/>
    <w:rsid w:val="745229A8"/>
    <w:rsid w:val="74555143"/>
    <w:rsid w:val="745560D3"/>
    <w:rsid w:val="745919DD"/>
    <w:rsid w:val="745A3D6D"/>
    <w:rsid w:val="745E0F4B"/>
    <w:rsid w:val="745E3944"/>
    <w:rsid w:val="745E64BA"/>
    <w:rsid w:val="7463285B"/>
    <w:rsid w:val="74661C88"/>
    <w:rsid w:val="74684D4D"/>
    <w:rsid w:val="746855E8"/>
    <w:rsid w:val="74687E72"/>
    <w:rsid w:val="746D7236"/>
    <w:rsid w:val="746E5488"/>
    <w:rsid w:val="746F1200"/>
    <w:rsid w:val="747173C1"/>
    <w:rsid w:val="74736F42"/>
    <w:rsid w:val="747405C4"/>
    <w:rsid w:val="74744A68"/>
    <w:rsid w:val="74745D74"/>
    <w:rsid w:val="747607E0"/>
    <w:rsid w:val="7478113F"/>
    <w:rsid w:val="747870C0"/>
    <w:rsid w:val="74797D94"/>
    <w:rsid w:val="747A48F2"/>
    <w:rsid w:val="747D0F28"/>
    <w:rsid w:val="747D13C7"/>
    <w:rsid w:val="747D1B6F"/>
    <w:rsid w:val="747E1443"/>
    <w:rsid w:val="747F58E7"/>
    <w:rsid w:val="7480340D"/>
    <w:rsid w:val="74820F33"/>
    <w:rsid w:val="74836A59"/>
    <w:rsid w:val="74850A24"/>
    <w:rsid w:val="74856C75"/>
    <w:rsid w:val="7487654A"/>
    <w:rsid w:val="748D1686"/>
    <w:rsid w:val="748E5B2A"/>
    <w:rsid w:val="748F3650"/>
    <w:rsid w:val="748F53FE"/>
    <w:rsid w:val="74911176"/>
    <w:rsid w:val="74933140"/>
    <w:rsid w:val="74936C9D"/>
    <w:rsid w:val="74940C67"/>
    <w:rsid w:val="74977C4C"/>
    <w:rsid w:val="749869A9"/>
    <w:rsid w:val="74996569"/>
    <w:rsid w:val="749D3FBF"/>
    <w:rsid w:val="749E5641"/>
    <w:rsid w:val="749F7495"/>
    <w:rsid w:val="74A43161"/>
    <w:rsid w:val="74A4534E"/>
    <w:rsid w:val="74AF6730"/>
    <w:rsid w:val="74B3733F"/>
    <w:rsid w:val="74B41D45"/>
    <w:rsid w:val="74B44E65"/>
    <w:rsid w:val="74BB10C8"/>
    <w:rsid w:val="74BB2697"/>
    <w:rsid w:val="74BD01BD"/>
    <w:rsid w:val="74BD640F"/>
    <w:rsid w:val="74C01A5C"/>
    <w:rsid w:val="74C10C71"/>
    <w:rsid w:val="74C26F1A"/>
    <w:rsid w:val="74C27582"/>
    <w:rsid w:val="74C50E20"/>
    <w:rsid w:val="74C57072"/>
    <w:rsid w:val="74C652C4"/>
    <w:rsid w:val="74C80140"/>
    <w:rsid w:val="74C94DB4"/>
    <w:rsid w:val="74CA6436"/>
    <w:rsid w:val="74CC21AE"/>
    <w:rsid w:val="74D06143"/>
    <w:rsid w:val="74D84FF7"/>
    <w:rsid w:val="74D925D0"/>
    <w:rsid w:val="74DB6631"/>
    <w:rsid w:val="74DC4AE7"/>
    <w:rsid w:val="74E120FE"/>
    <w:rsid w:val="74E409DF"/>
    <w:rsid w:val="74E4514E"/>
    <w:rsid w:val="74E53270"/>
    <w:rsid w:val="74E53FCC"/>
    <w:rsid w:val="74E67714"/>
    <w:rsid w:val="74E76FE8"/>
    <w:rsid w:val="74E97204"/>
    <w:rsid w:val="74EB6AD9"/>
    <w:rsid w:val="74EC366F"/>
    <w:rsid w:val="74EF2805"/>
    <w:rsid w:val="74F04A56"/>
    <w:rsid w:val="74F05765"/>
    <w:rsid w:val="74F160B9"/>
    <w:rsid w:val="74F31E31"/>
    <w:rsid w:val="74F33BDF"/>
    <w:rsid w:val="74F471D8"/>
    <w:rsid w:val="74F51705"/>
    <w:rsid w:val="74F636CF"/>
    <w:rsid w:val="74F71921"/>
    <w:rsid w:val="74F811F5"/>
    <w:rsid w:val="74F82FA3"/>
    <w:rsid w:val="74FA6D1C"/>
    <w:rsid w:val="74FC0CE6"/>
    <w:rsid w:val="74FD05BA"/>
    <w:rsid w:val="74FE25E0"/>
    <w:rsid w:val="75006EBC"/>
    <w:rsid w:val="75041948"/>
    <w:rsid w:val="75045DEC"/>
    <w:rsid w:val="7505015D"/>
    <w:rsid w:val="75063912"/>
    <w:rsid w:val="750641BE"/>
    <w:rsid w:val="75071439"/>
    <w:rsid w:val="75083E42"/>
    <w:rsid w:val="750A2CD7"/>
    <w:rsid w:val="7510653F"/>
    <w:rsid w:val="75120509"/>
    <w:rsid w:val="75151DA7"/>
    <w:rsid w:val="75162363"/>
    <w:rsid w:val="75175B20"/>
    <w:rsid w:val="75181898"/>
    <w:rsid w:val="75183646"/>
    <w:rsid w:val="751853F4"/>
    <w:rsid w:val="751A1F3D"/>
    <w:rsid w:val="751A670B"/>
    <w:rsid w:val="751D0C5C"/>
    <w:rsid w:val="751F2C26"/>
    <w:rsid w:val="751F7E65"/>
    <w:rsid w:val="7521074C"/>
    <w:rsid w:val="75223F3C"/>
    <w:rsid w:val="75263FB5"/>
    <w:rsid w:val="75267B11"/>
    <w:rsid w:val="752913AF"/>
    <w:rsid w:val="752C70F1"/>
    <w:rsid w:val="752D5343"/>
    <w:rsid w:val="752F1C88"/>
    <w:rsid w:val="75320483"/>
    <w:rsid w:val="75322959"/>
    <w:rsid w:val="7533222E"/>
    <w:rsid w:val="753366D1"/>
    <w:rsid w:val="75355FA6"/>
    <w:rsid w:val="75357D54"/>
    <w:rsid w:val="7537041A"/>
    <w:rsid w:val="75385A96"/>
    <w:rsid w:val="753A35BC"/>
    <w:rsid w:val="753D4E5A"/>
    <w:rsid w:val="753F0BD2"/>
    <w:rsid w:val="753F5076"/>
    <w:rsid w:val="75412C30"/>
    <w:rsid w:val="7541494A"/>
    <w:rsid w:val="754310F5"/>
    <w:rsid w:val="75461F61"/>
    <w:rsid w:val="75466405"/>
    <w:rsid w:val="75475CD9"/>
    <w:rsid w:val="75497CA3"/>
    <w:rsid w:val="754B3A1B"/>
    <w:rsid w:val="754D1541"/>
    <w:rsid w:val="754D6952"/>
    <w:rsid w:val="7551281B"/>
    <w:rsid w:val="75524DAA"/>
    <w:rsid w:val="7553467E"/>
    <w:rsid w:val="75596138"/>
    <w:rsid w:val="755D0CCD"/>
    <w:rsid w:val="755E374E"/>
    <w:rsid w:val="755F74C6"/>
    <w:rsid w:val="7560709A"/>
    <w:rsid w:val="756127E1"/>
    <w:rsid w:val="75614FED"/>
    <w:rsid w:val="756248C1"/>
    <w:rsid w:val="75630D65"/>
    <w:rsid w:val="75646EC9"/>
    <w:rsid w:val="75652031"/>
    <w:rsid w:val="756643B1"/>
    <w:rsid w:val="75680129"/>
    <w:rsid w:val="7568637B"/>
    <w:rsid w:val="756920F3"/>
    <w:rsid w:val="75695C4F"/>
    <w:rsid w:val="756D76A3"/>
    <w:rsid w:val="756F65F9"/>
    <w:rsid w:val="75703482"/>
    <w:rsid w:val="75720FA8"/>
    <w:rsid w:val="75722D56"/>
    <w:rsid w:val="75734D20"/>
    <w:rsid w:val="75774810"/>
    <w:rsid w:val="7577493F"/>
    <w:rsid w:val="757A1C0A"/>
    <w:rsid w:val="757A7E5C"/>
    <w:rsid w:val="757C3BD5"/>
    <w:rsid w:val="757C5983"/>
    <w:rsid w:val="757E4064"/>
    <w:rsid w:val="758111EB"/>
    <w:rsid w:val="75834F63"/>
    <w:rsid w:val="758807CB"/>
    <w:rsid w:val="7589009F"/>
    <w:rsid w:val="758962F1"/>
    <w:rsid w:val="758B56EE"/>
    <w:rsid w:val="758D193E"/>
    <w:rsid w:val="758E3908"/>
    <w:rsid w:val="758F6705"/>
    <w:rsid w:val="75925086"/>
    <w:rsid w:val="75947170"/>
    <w:rsid w:val="759727BC"/>
    <w:rsid w:val="75986535"/>
    <w:rsid w:val="75994786"/>
    <w:rsid w:val="759A04FF"/>
    <w:rsid w:val="759A1ED5"/>
    <w:rsid w:val="759A405B"/>
    <w:rsid w:val="759D7844"/>
    <w:rsid w:val="759E3B4B"/>
    <w:rsid w:val="759F78C3"/>
    <w:rsid w:val="75A1363B"/>
    <w:rsid w:val="75A31161"/>
    <w:rsid w:val="75A5137D"/>
    <w:rsid w:val="75A872AC"/>
    <w:rsid w:val="75A924F0"/>
    <w:rsid w:val="75AB270C"/>
    <w:rsid w:val="75AB47B9"/>
    <w:rsid w:val="75AB6268"/>
    <w:rsid w:val="75AD0232"/>
    <w:rsid w:val="75AD70BD"/>
    <w:rsid w:val="75AE7B06"/>
    <w:rsid w:val="75AF3FAA"/>
    <w:rsid w:val="75B0387E"/>
    <w:rsid w:val="75B07D22"/>
    <w:rsid w:val="75B275F6"/>
    <w:rsid w:val="75B34697"/>
    <w:rsid w:val="75B50E95"/>
    <w:rsid w:val="75B618B0"/>
    <w:rsid w:val="75B74C0D"/>
    <w:rsid w:val="75B75911"/>
    <w:rsid w:val="75B94E29"/>
    <w:rsid w:val="75B96BD7"/>
    <w:rsid w:val="75BA294F"/>
    <w:rsid w:val="75BC66C7"/>
    <w:rsid w:val="75BE243F"/>
    <w:rsid w:val="75C13CDD"/>
    <w:rsid w:val="75C37A55"/>
    <w:rsid w:val="75C64E50"/>
    <w:rsid w:val="75C8506C"/>
    <w:rsid w:val="75CB690A"/>
    <w:rsid w:val="75CD4430"/>
    <w:rsid w:val="75CD61DE"/>
    <w:rsid w:val="75CF63FA"/>
    <w:rsid w:val="75D03F20"/>
    <w:rsid w:val="75D237F5"/>
    <w:rsid w:val="75D44E5F"/>
    <w:rsid w:val="75D67789"/>
    <w:rsid w:val="75D7232A"/>
    <w:rsid w:val="75D73501"/>
    <w:rsid w:val="75DA6B4D"/>
    <w:rsid w:val="75DA72E1"/>
    <w:rsid w:val="75E11C8A"/>
    <w:rsid w:val="75E17EDC"/>
    <w:rsid w:val="75E53957"/>
    <w:rsid w:val="75E83018"/>
    <w:rsid w:val="75E97BB2"/>
    <w:rsid w:val="75EA07A0"/>
    <w:rsid w:val="75EB0D5A"/>
    <w:rsid w:val="75EB48B6"/>
    <w:rsid w:val="75EC41E5"/>
    <w:rsid w:val="75EE05B1"/>
    <w:rsid w:val="75F068C7"/>
    <w:rsid w:val="75F21505"/>
    <w:rsid w:val="75F32F93"/>
    <w:rsid w:val="75F53987"/>
    <w:rsid w:val="75F8749D"/>
    <w:rsid w:val="75FC4D15"/>
    <w:rsid w:val="75FE45EA"/>
    <w:rsid w:val="75FE6CDF"/>
    <w:rsid w:val="76004806"/>
    <w:rsid w:val="760065B4"/>
    <w:rsid w:val="7601057E"/>
    <w:rsid w:val="7603676F"/>
    <w:rsid w:val="76042551"/>
    <w:rsid w:val="76051E1C"/>
    <w:rsid w:val="76053BCA"/>
    <w:rsid w:val="76056DC8"/>
    <w:rsid w:val="760616F0"/>
    <w:rsid w:val="760A3A7A"/>
    <w:rsid w:val="760B4F58"/>
    <w:rsid w:val="760D5A65"/>
    <w:rsid w:val="760F4A49"/>
    <w:rsid w:val="761008FC"/>
    <w:rsid w:val="761107C1"/>
    <w:rsid w:val="76124539"/>
    <w:rsid w:val="7617436A"/>
    <w:rsid w:val="761756AB"/>
    <w:rsid w:val="761B0FC1"/>
    <w:rsid w:val="761B33ED"/>
    <w:rsid w:val="761E2EDE"/>
    <w:rsid w:val="761E4C8C"/>
    <w:rsid w:val="761E6A3A"/>
    <w:rsid w:val="76255774"/>
    <w:rsid w:val="762A3631"/>
    <w:rsid w:val="762A7AD4"/>
    <w:rsid w:val="762C55FB"/>
    <w:rsid w:val="76312C11"/>
    <w:rsid w:val="76313873"/>
    <w:rsid w:val="763226C4"/>
    <w:rsid w:val="7635099D"/>
    <w:rsid w:val="763664AB"/>
    <w:rsid w:val="76391AC6"/>
    <w:rsid w:val="763B583E"/>
    <w:rsid w:val="763C15B6"/>
    <w:rsid w:val="763C54EF"/>
    <w:rsid w:val="763E2F56"/>
    <w:rsid w:val="76407334"/>
    <w:rsid w:val="7641097A"/>
    <w:rsid w:val="76426132"/>
    <w:rsid w:val="7647162A"/>
    <w:rsid w:val="764A31FD"/>
    <w:rsid w:val="764A3ADC"/>
    <w:rsid w:val="764C17F9"/>
    <w:rsid w:val="764D0C4D"/>
    <w:rsid w:val="764F753B"/>
    <w:rsid w:val="76522B87"/>
    <w:rsid w:val="76544B51"/>
    <w:rsid w:val="76562678"/>
    <w:rsid w:val="7657019E"/>
    <w:rsid w:val="765734F7"/>
    <w:rsid w:val="76585175"/>
    <w:rsid w:val="765863F0"/>
    <w:rsid w:val="765A00C6"/>
    <w:rsid w:val="765E152C"/>
    <w:rsid w:val="766502CD"/>
    <w:rsid w:val="76676633"/>
    <w:rsid w:val="766C340E"/>
    <w:rsid w:val="766C3C49"/>
    <w:rsid w:val="766D1C84"/>
    <w:rsid w:val="766F54E7"/>
    <w:rsid w:val="76721858"/>
    <w:rsid w:val="76774A37"/>
    <w:rsid w:val="767825EE"/>
    <w:rsid w:val="7678411E"/>
    <w:rsid w:val="767B3E8C"/>
    <w:rsid w:val="767D5E56"/>
    <w:rsid w:val="76803F70"/>
    <w:rsid w:val="76805946"/>
    <w:rsid w:val="76816FC9"/>
    <w:rsid w:val="7681712F"/>
    <w:rsid w:val="76817D1A"/>
    <w:rsid w:val="7684708D"/>
    <w:rsid w:val="7686417E"/>
    <w:rsid w:val="7688510D"/>
    <w:rsid w:val="768865A9"/>
    <w:rsid w:val="768A40CF"/>
    <w:rsid w:val="769136B0"/>
    <w:rsid w:val="769413F2"/>
    <w:rsid w:val="769431A0"/>
    <w:rsid w:val="76966F18"/>
    <w:rsid w:val="769A6A08"/>
    <w:rsid w:val="769B32FE"/>
    <w:rsid w:val="769C5AF2"/>
    <w:rsid w:val="769D02A6"/>
    <w:rsid w:val="769D2054"/>
    <w:rsid w:val="76A07D97"/>
    <w:rsid w:val="76A21E80"/>
    <w:rsid w:val="76A27830"/>
    <w:rsid w:val="76A42B08"/>
    <w:rsid w:val="76A76DE0"/>
    <w:rsid w:val="76A827A7"/>
    <w:rsid w:val="76AA29C3"/>
    <w:rsid w:val="76AF1D88"/>
    <w:rsid w:val="76AF7619"/>
    <w:rsid w:val="76B145C7"/>
    <w:rsid w:val="76B178AE"/>
    <w:rsid w:val="76B24594"/>
    <w:rsid w:val="76B35749"/>
    <w:rsid w:val="76B37ACA"/>
    <w:rsid w:val="76B4114C"/>
    <w:rsid w:val="76B77650"/>
    <w:rsid w:val="76B949B4"/>
    <w:rsid w:val="76BA516A"/>
    <w:rsid w:val="76BD44A5"/>
    <w:rsid w:val="76BF646F"/>
    <w:rsid w:val="76C03F95"/>
    <w:rsid w:val="76C21ABB"/>
    <w:rsid w:val="76C26739"/>
    <w:rsid w:val="76C27D0D"/>
    <w:rsid w:val="76C620EC"/>
    <w:rsid w:val="76C75323"/>
    <w:rsid w:val="76CA0A26"/>
    <w:rsid w:val="76CB4175"/>
    <w:rsid w:val="76CE66B2"/>
    <w:rsid w:val="76D0242A"/>
    <w:rsid w:val="76D11CFE"/>
    <w:rsid w:val="76D637B8"/>
    <w:rsid w:val="76D872C4"/>
    <w:rsid w:val="76D87530"/>
    <w:rsid w:val="76D91E95"/>
    <w:rsid w:val="76D96E05"/>
    <w:rsid w:val="76DA32A9"/>
    <w:rsid w:val="76DC5C45"/>
    <w:rsid w:val="76DD1F36"/>
    <w:rsid w:val="76DD68F5"/>
    <w:rsid w:val="76E41A31"/>
    <w:rsid w:val="76E47C83"/>
    <w:rsid w:val="76E53009"/>
    <w:rsid w:val="76E557A9"/>
    <w:rsid w:val="76E710ED"/>
    <w:rsid w:val="76E7740C"/>
    <w:rsid w:val="76E86DB9"/>
    <w:rsid w:val="76EA1012"/>
    <w:rsid w:val="76EE0B02"/>
    <w:rsid w:val="76EF282F"/>
    <w:rsid w:val="76F1414E"/>
    <w:rsid w:val="76F96D50"/>
    <w:rsid w:val="76FB4FCD"/>
    <w:rsid w:val="76FB6D7B"/>
    <w:rsid w:val="76FC2F56"/>
    <w:rsid w:val="76FD35AD"/>
    <w:rsid w:val="76FF4ABD"/>
    <w:rsid w:val="77000835"/>
    <w:rsid w:val="77015847"/>
    <w:rsid w:val="77020109"/>
    <w:rsid w:val="77040325"/>
    <w:rsid w:val="770519A8"/>
    <w:rsid w:val="77066BDD"/>
    <w:rsid w:val="7707059A"/>
    <w:rsid w:val="77073972"/>
    <w:rsid w:val="77085C60"/>
    <w:rsid w:val="77091498"/>
    <w:rsid w:val="770C71DA"/>
    <w:rsid w:val="770E4D00"/>
    <w:rsid w:val="77147E3D"/>
    <w:rsid w:val="771542E1"/>
    <w:rsid w:val="77157517"/>
    <w:rsid w:val="771727DF"/>
    <w:rsid w:val="7718792D"/>
    <w:rsid w:val="771A18F7"/>
    <w:rsid w:val="771B741D"/>
    <w:rsid w:val="771C30D8"/>
    <w:rsid w:val="77204A34"/>
    <w:rsid w:val="772248CD"/>
    <w:rsid w:val="772462D2"/>
    <w:rsid w:val="772806C8"/>
    <w:rsid w:val="77291B3A"/>
    <w:rsid w:val="772A02AD"/>
    <w:rsid w:val="7730111A"/>
    <w:rsid w:val="773109EF"/>
    <w:rsid w:val="7731279D"/>
    <w:rsid w:val="77330388"/>
    <w:rsid w:val="77336515"/>
    <w:rsid w:val="7735228D"/>
    <w:rsid w:val="77366005"/>
    <w:rsid w:val="77383B2B"/>
    <w:rsid w:val="773A75E0"/>
    <w:rsid w:val="773B361B"/>
    <w:rsid w:val="773C186D"/>
    <w:rsid w:val="773C1979"/>
    <w:rsid w:val="773D168B"/>
    <w:rsid w:val="773D7394"/>
    <w:rsid w:val="773D784B"/>
    <w:rsid w:val="773F135E"/>
    <w:rsid w:val="774150D6"/>
    <w:rsid w:val="77422BFC"/>
    <w:rsid w:val="774249AA"/>
    <w:rsid w:val="77440722"/>
    <w:rsid w:val="77453774"/>
    <w:rsid w:val="77470212"/>
    <w:rsid w:val="77471FC0"/>
    <w:rsid w:val="77493F8A"/>
    <w:rsid w:val="77495D38"/>
    <w:rsid w:val="774C75D7"/>
    <w:rsid w:val="774E334F"/>
    <w:rsid w:val="774E76A8"/>
    <w:rsid w:val="77517F24"/>
    <w:rsid w:val="77521091"/>
    <w:rsid w:val="77536BB7"/>
    <w:rsid w:val="77560455"/>
    <w:rsid w:val="7756054B"/>
    <w:rsid w:val="77572F15"/>
    <w:rsid w:val="7758241F"/>
    <w:rsid w:val="775841CD"/>
    <w:rsid w:val="775A7F45"/>
    <w:rsid w:val="775C1F10"/>
    <w:rsid w:val="775D17E4"/>
    <w:rsid w:val="775D3592"/>
    <w:rsid w:val="775D7A36"/>
    <w:rsid w:val="775E386E"/>
    <w:rsid w:val="775F37AE"/>
    <w:rsid w:val="775F500F"/>
    <w:rsid w:val="77601ABD"/>
    <w:rsid w:val="776135CD"/>
    <w:rsid w:val="77617526"/>
    <w:rsid w:val="7762504C"/>
    <w:rsid w:val="776668EA"/>
    <w:rsid w:val="77672662"/>
    <w:rsid w:val="776808B4"/>
    <w:rsid w:val="776823B8"/>
    <w:rsid w:val="77692B6F"/>
    <w:rsid w:val="776C1A27"/>
    <w:rsid w:val="776D5ECB"/>
    <w:rsid w:val="776E39F1"/>
    <w:rsid w:val="776F6DFF"/>
    <w:rsid w:val="77701517"/>
    <w:rsid w:val="7771703D"/>
    <w:rsid w:val="7772528F"/>
    <w:rsid w:val="77762421"/>
    <w:rsid w:val="77767B68"/>
    <w:rsid w:val="7777017C"/>
    <w:rsid w:val="77770AF7"/>
    <w:rsid w:val="777728A5"/>
    <w:rsid w:val="777756F9"/>
    <w:rsid w:val="7778661E"/>
    <w:rsid w:val="77791C41"/>
    <w:rsid w:val="777C610E"/>
    <w:rsid w:val="777F175A"/>
    <w:rsid w:val="777F5BFE"/>
    <w:rsid w:val="77811976"/>
    <w:rsid w:val="778124EB"/>
    <w:rsid w:val="77822FF8"/>
    <w:rsid w:val="778356EE"/>
    <w:rsid w:val="77846D70"/>
    <w:rsid w:val="77866F8C"/>
    <w:rsid w:val="77867424"/>
    <w:rsid w:val="778B45A3"/>
    <w:rsid w:val="778B6351"/>
    <w:rsid w:val="778D031B"/>
    <w:rsid w:val="778D20C9"/>
    <w:rsid w:val="778E4093"/>
    <w:rsid w:val="77903967"/>
    <w:rsid w:val="7792058C"/>
    <w:rsid w:val="77925931"/>
    <w:rsid w:val="779276DF"/>
    <w:rsid w:val="77927CB6"/>
    <w:rsid w:val="77974CF6"/>
    <w:rsid w:val="77A00C99"/>
    <w:rsid w:val="77A15B74"/>
    <w:rsid w:val="77A16C9F"/>
    <w:rsid w:val="77A56AD2"/>
    <w:rsid w:val="77A6318B"/>
    <w:rsid w:val="77A7108A"/>
    <w:rsid w:val="77A86F03"/>
    <w:rsid w:val="77A967D7"/>
    <w:rsid w:val="77AB69F3"/>
    <w:rsid w:val="77AC106C"/>
    <w:rsid w:val="77AC37C1"/>
    <w:rsid w:val="77B11365"/>
    <w:rsid w:val="77B21B30"/>
    <w:rsid w:val="77B43AFA"/>
    <w:rsid w:val="77B54E0F"/>
    <w:rsid w:val="77B5517C"/>
    <w:rsid w:val="77B56B1F"/>
    <w:rsid w:val="77B70EF4"/>
    <w:rsid w:val="77B77146"/>
    <w:rsid w:val="77BA4E88"/>
    <w:rsid w:val="77BC6478"/>
    <w:rsid w:val="77BE3B3C"/>
    <w:rsid w:val="77BF249E"/>
    <w:rsid w:val="77C17FC5"/>
    <w:rsid w:val="77C225AF"/>
    <w:rsid w:val="77C27899"/>
    <w:rsid w:val="77C33996"/>
    <w:rsid w:val="77C33D3D"/>
    <w:rsid w:val="77C47AB5"/>
    <w:rsid w:val="77C63C23"/>
    <w:rsid w:val="77C67389"/>
    <w:rsid w:val="77C82A4B"/>
    <w:rsid w:val="77C83101"/>
    <w:rsid w:val="77C875A5"/>
    <w:rsid w:val="77CB2BEA"/>
    <w:rsid w:val="77CB4ADD"/>
    <w:rsid w:val="77CC60A6"/>
    <w:rsid w:val="77CD0717"/>
    <w:rsid w:val="77CD4BBB"/>
    <w:rsid w:val="77CD6969"/>
    <w:rsid w:val="77CF26E1"/>
    <w:rsid w:val="77D32D01"/>
    <w:rsid w:val="77D47CF8"/>
    <w:rsid w:val="77D575CC"/>
    <w:rsid w:val="77D632DB"/>
    <w:rsid w:val="77DB72D8"/>
    <w:rsid w:val="77DF669D"/>
    <w:rsid w:val="77E12415"/>
    <w:rsid w:val="77E37F3B"/>
    <w:rsid w:val="77E51F05"/>
    <w:rsid w:val="77E65C7D"/>
    <w:rsid w:val="77EA751B"/>
    <w:rsid w:val="77EB5041"/>
    <w:rsid w:val="77EC720D"/>
    <w:rsid w:val="77EF4B32"/>
    <w:rsid w:val="77F008AA"/>
    <w:rsid w:val="77F02658"/>
    <w:rsid w:val="77F04406"/>
    <w:rsid w:val="77F307A1"/>
    <w:rsid w:val="77F3737B"/>
    <w:rsid w:val="77F43EF6"/>
    <w:rsid w:val="77FA5285"/>
    <w:rsid w:val="77FC37D0"/>
    <w:rsid w:val="77FD0061"/>
    <w:rsid w:val="77FE4D75"/>
    <w:rsid w:val="77FF289B"/>
    <w:rsid w:val="78006D3F"/>
    <w:rsid w:val="780126CE"/>
    <w:rsid w:val="78014865"/>
    <w:rsid w:val="780305DD"/>
    <w:rsid w:val="7803238B"/>
    <w:rsid w:val="780340CB"/>
    <w:rsid w:val="78034139"/>
    <w:rsid w:val="78044AA5"/>
    <w:rsid w:val="78047EB1"/>
    <w:rsid w:val="78054355"/>
    <w:rsid w:val="78056103"/>
    <w:rsid w:val="780659D7"/>
    <w:rsid w:val="780A4E31"/>
    <w:rsid w:val="780C62C6"/>
    <w:rsid w:val="780F09F4"/>
    <w:rsid w:val="781345DA"/>
    <w:rsid w:val="78150DE2"/>
    <w:rsid w:val="78153E6C"/>
    <w:rsid w:val="78160310"/>
    <w:rsid w:val="78177BE5"/>
    <w:rsid w:val="78187B12"/>
    <w:rsid w:val="78191BAF"/>
    <w:rsid w:val="781A1483"/>
    <w:rsid w:val="781B5927"/>
    <w:rsid w:val="781C344D"/>
    <w:rsid w:val="781C51FB"/>
    <w:rsid w:val="781F40D3"/>
    <w:rsid w:val="7820772A"/>
    <w:rsid w:val="78210A63"/>
    <w:rsid w:val="78212811"/>
    <w:rsid w:val="78236589"/>
    <w:rsid w:val="78267E28"/>
    <w:rsid w:val="78280044"/>
    <w:rsid w:val="78295179"/>
    <w:rsid w:val="782B182B"/>
    <w:rsid w:val="782B3132"/>
    <w:rsid w:val="78304587"/>
    <w:rsid w:val="78322C70"/>
    <w:rsid w:val="78362761"/>
    <w:rsid w:val="7836450F"/>
    <w:rsid w:val="78372035"/>
    <w:rsid w:val="783C764B"/>
    <w:rsid w:val="783D3578"/>
    <w:rsid w:val="783E1615"/>
    <w:rsid w:val="783E7867"/>
    <w:rsid w:val="783F0EE9"/>
    <w:rsid w:val="7840713B"/>
    <w:rsid w:val="78411105"/>
    <w:rsid w:val="78414C61"/>
    <w:rsid w:val="78454752"/>
    <w:rsid w:val="78461E4F"/>
    <w:rsid w:val="78462278"/>
    <w:rsid w:val="78482494"/>
    <w:rsid w:val="78484242"/>
    <w:rsid w:val="78497340"/>
    <w:rsid w:val="784A0535"/>
    <w:rsid w:val="784A1C60"/>
    <w:rsid w:val="784A620C"/>
    <w:rsid w:val="785250C1"/>
    <w:rsid w:val="78542BE7"/>
    <w:rsid w:val="785726D7"/>
    <w:rsid w:val="785B21C7"/>
    <w:rsid w:val="785B3F75"/>
    <w:rsid w:val="785C5E6F"/>
    <w:rsid w:val="785E3A65"/>
    <w:rsid w:val="785E5813"/>
    <w:rsid w:val="785F4137"/>
    <w:rsid w:val="7860158C"/>
    <w:rsid w:val="78621EDA"/>
    <w:rsid w:val="786234EA"/>
    <w:rsid w:val="7863107C"/>
    <w:rsid w:val="786313D0"/>
    <w:rsid w:val="78632E2A"/>
    <w:rsid w:val="78647878"/>
    <w:rsid w:val="78653EBF"/>
    <w:rsid w:val="786541B6"/>
    <w:rsid w:val="78680440"/>
    <w:rsid w:val="786A240A"/>
    <w:rsid w:val="786B1CDE"/>
    <w:rsid w:val="786B28F7"/>
    <w:rsid w:val="786C7F30"/>
    <w:rsid w:val="786D3CA8"/>
    <w:rsid w:val="786F17CF"/>
    <w:rsid w:val="786F2396"/>
    <w:rsid w:val="786F7A21"/>
    <w:rsid w:val="787004C9"/>
    <w:rsid w:val="787119EB"/>
    <w:rsid w:val="787153FD"/>
    <w:rsid w:val="78715547"/>
    <w:rsid w:val="78743289"/>
    <w:rsid w:val="7875067F"/>
    <w:rsid w:val="7879264D"/>
    <w:rsid w:val="787A616E"/>
    <w:rsid w:val="787B4617"/>
    <w:rsid w:val="787B6523"/>
    <w:rsid w:val="787D038F"/>
    <w:rsid w:val="787E1A12"/>
    <w:rsid w:val="787E5EB6"/>
    <w:rsid w:val="78826884"/>
    <w:rsid w:val="788274D1"/>
    <w:rsid w:val="7883171E"/>
    <w:rsid w:val="788334CC"/>
    <w:rsid w:val="788947D3"/>
    <w:rsid w:val="788C3154"/>
    <w:rsid w:val="788D51C3"/>
    <w:rsid w:val="788D60F9"/>
    <w:rsid w:val="788D7EA7"/>
    <w:rsid w:val="78900807"/>
    <w:rsid w:val="78917997"/>
    <w:rsid w:val="7892260E"/>
    <w:rsid w:val="7892370F"/>
    <w:rsid w:val="78931A17"/>
    <w:rsid w:val="78935770"/>
    <w:rsid w:val="789456D9"/>
    <w:rsid w:val="78947487"/>
    <w:rsid w:val="78972AD3"/>
    <w:rsid w:val="7899684C"/>
    <w:rsid w:val="789C2A72"/>
    <w:rsid w:val="789D27E0"/>
    <w:rsid w:val="789D6CAA"/>
    <w:rsid w:val="789E0306"/>
    <w:rsid w:val="78A141F4"/>
    <w:rsid w:val="78A23952"/>
    <w:rsid w:val="78A376CA"/>
    <w:rsid w:val="78A37F4B"/>
    <w:rsid w:val="78A53EF7"/>
    <w:rsid w:val="78A551F0"/>
    <w:rsid w:val="78A81C8F"/>
    <w:rsid w:val="78A82F32"/>
    <w:rsid w:val="78A90480"/>
    <w:rsid w:val="78AA0A59"/>
    <w:rsid w:val="78AC47D1"/>
    <w:rsid w:val="78AD22F7"/>
    <w:rsid w:val="78AF42C1"/>
    <w:rsid w:val="78AF606F"/>
    <w:rsid w:val="78B10039"/>
    <w:rsid w:val="78B11DE7"/>
    <w:rsid w:val="78B1691B"/>
    <w:rsid w:val="78B2790D"/>
    <w:rsid w:val="78B47B29"/>
    <w:rsid w:val="78B813C8"/>
    <w:rsid w:val="78B97A17"/>
    <w:rsid w:val="78BB0EB8"/>
    <w:rsid w:val="78BB4A14"/>
    <w:rsid w:val="78BF7473"/>
    <w:rsid w:val="78C064CE"/>
    <w:rsid w:val="78C14F6C"/>
    <w:rsid w:val="78C338C8"/>
    <w:rsid w:val="78C53AE4"/>
    <w:rsid w:val="78C55892"/>
    <w:rsid w:val="78C6401A"/>
    <w:rsid w:val="78C7785D"/>
    <w:rsid w:val="78C95383"/>
    <w:rsid w:val="78CA4C57"/>
    <w:rsid w:val="78CC09CF"/>
    <w:rsid w:val="78CC0A0F"/>
    <w:rsid w:val="78CE2999"/>
    <w:rsid w:val="78CE772E"/>
    <w:rsid w:val="78CF226D"/>
    <w:rsid w:val="78D12489"/>
    <w:rsid w:val="78D14237"/>
    <w:rsid w:val="78D2231F"/>
    <w:rsid w:val="78D34F15"/>
    <w:rsid w:val="78D36201"/>
    <w:rsid w:val="78D6184E"/>
    <w:rsid w:val="78D9175B"/>
    <w:rsid w:val="78DA7590"/>
    <w:rsid w:val="78DB50B6"/>
    <w:rsid w:val="78DD2BDC"/>
    <w:rsid w:val="78DE0702"/>
    <w:rsid w:val="78E026CC"/>
    <w:rsid w:val="78E20B9D"/>
    <w:rsid w:val="78E26444"/>
    <w:rsid w:val="78E35D19"/>
    <w:rsid w:val="78E421BD"/>
    <w:rsid w:val="78EC1071"/>
    <w:rsid w:val="78EC2E1F"/>
    <w:rsid w:val="78EE303B"/>
    <w:rsid w:val="78EF29B1"/>
    <w:rsid w:val="78F0442C"/>
    <w:rsid w:val="78F543CA"/>
    <w:rsid w:val="78F63C9E"/>
    <w:rsid w:val="78F96641"/>
    <w:rsid w:val="78F976F0"/>
    <w:rsid w:val="78FB12B4"/>
    <w:rsid w:val="78FB4AF5"/>
    <w:rsid w:val="78FD327E"/>
    <w:rsid w:val="78FD502C"/>
    <w:rsid w:val="79030169"/>
    <w:rsid w:val="79053EE1"/>
    <w:rsid w:val="790939D1"/>
    <w:rsid w:val="790C34C1"/>
    <w:rsid w:val="790F0CA6"/>
    <w:rsid w:val="79110AD8"/>
    <w:rsid w:val="79142376"/>
    <w:rsid w:val="79144124"/>
    <w:rsid w:val="791660EE"/>
    <w:rsid w:val="79181E66"/>
    <w:rsid w:val="791954AD"/>
    <w:rsid w:val="7919798C"/>
    <w:rsid w:val="791A5BDE"/>
    <w:rsid w:val="791B54B2"/>
    <w:rsid w:val="791E4FA3"/>
    <w:rsid w:val="791E7E8F"/>
    <w:rsid w:val="791F1447"/>
    <w:rsid w:val="79201ABE"/>
    <w:rsid w:val="792151BF"/>
    <w:rsid w:val="79216A1F"/>
    <w:rsid w:val="79226841"/>
    <w:rsid w:val="79254583"/>
    <w:rsid w:val="79273E57"/>
    <w:rsid w:val="7927654D"/>
    <w:rsid w:val="79283B12"/>
    <w:rsid w:val="79294073"/>
    <w:rsid w:val="79297BCF"/>
    <w:rsid w:val="792A2901"/>
    <w:rsid w:val="792E168A"/>
    <w:rsid w:val="79312F28"/>
    <w:rsid w:val="79330A4E"/>
    <w:rsid w:val="79352A18"/>
    <w:rsid w:val="793547C6"/>
    <w:rsid w:val="79363762"/>
    <w:rsid w:val="79366578"/>
    <w:rsid w:val="79366790"/>
    <w:rsid w:val="793729BE"/>
    <w:rsid w:val="793842B6"/>
    <w:rsid w:val="79393B8B"/>
    <w:rsid w:val="79394945"/>
    <w:rsid w:val="793F3897"/>
    <w:rsid w:val="79404F19"/>
    <w:rsid w:val="79425135"/>
    <w:rsid w:val="7942728A"/>
    <w:rsid w:val="79440EAD"/>
    <w:rsid w:val="794669D3"/>
    <w:rsid w:val="79480103"/>
    <w:rsid w:val="79485001"/>
    <w:rsid w:val="79490272"/>
    <w:rsid w:val="794E3D6D"/>
    <w:rsid w:val="794E5888"/>
    <w:rsid w:val="79501600"/>
    <w:rsid w:val="79526D7F"/>
    <w:rsid w:val="79532E9E"/>
    <w:rsid w:val="79537342"/>
    <w:rsid w:val="79554E68"/>
    <w:rsid w:val="79556C16"/>
    <w:rsid w:val="7956298E"/>
    <w:rsid w:val="7956473D"/>
    <w:rsid w:val="79586707"/>
    <w:rsid w:val="795A5FDB"/>
    <w:rsid w:val="795D5ACB"/>
    <w:rsid w:val="795F117B"/>
    <w:rsid w:val="795F7A95"/>
    <w:rsid w:val="79621333"/>
    <w:rsid w:val="79627585"/>
    <w:rsid w:val="796432FD"/>
    <w:rsid w:val="79660E24"/>
    <w:rsid w:val="79674B9C"/>
    <w:rsid w:val="79682BBD"/>
    <w:rsid w:val="796A3742"/>
    <w:rsid w:val="796B01E8"/>
    <w:rsid w:val="796B71C7"/>
    <w:rsid w:val="796C21B2"/>
    <w:rsid w:val="796C3F60"/>
    <w:rsid w:val="796C5D0E"/>
    <w:rsid w:val="796E2A41"/>
    <w:rsid w:val="79703A50"/>
    <w:rsid w:val="797317AC"/>
    <w:rsid w:val="7973709D"/>
    <w:rsid w:val="79751067"/>
    <w:rsid w:val="797572B9"/>
    <w:rsid w:val="79764DDF"/>
    <w:rsid w:val="797A33BA"/>
    <w:rsid w:val="797A667D"/>
    <w:rsid w:val="797B41A3"/>
    <w:rsid w:val="797B7403"/>
    <w:rsid w:val="797F1EE5"/>
    <w:rsid w:val="79815C5D"/>
    <w:rsid w:val="79824404"/>
    <w:rsid w:val="79846AB4"/>
    <w:rsid w:val="79863274"/>
    <w:rsid w:val="798715FB"/>
    <w:rsid w:val="79872B48"/>
    <w:rsid w:val="798902DE"/>
    <w:rsid w:val="798E3ED6"/>
    <w:rsid w:val="7990031C"/>
    <w:rsid w:val="799040F2"/>
    <w:rsid w:val="79907C4E"/>
    <w:rsid w:val="799139C7"/>
    <w:rsid w:val="79915775"/>
    <w:rsid w:val="79921C19"/>
    <w:rsid w:val="79924211"/>
    <w:rsid w:val="79935991"/>
    <w:rsid w:val="799534B7"/>
    <w:rsid w:val="79982FA7"/>
    <w:rsid w:val="79991513"/>
    <w:rsid w:val="799A0ACD"/>
    <w:rsid w:val="799C2A97"/>
    <w:rsid w:val="79A07FE2"/>
    <w:rsid w:val="79A10A0A"/>
    <w:rsid w:val="79A13C0A"/>
    <w:rsid w:val="79A27982"/>
    <w:rsid w:val="79A436FA"/>
    <w:rsid w:val="79A454A8"/>
    <w:rsid w:val="79A66679"/>
    <w:rsid w:val="79A66F05"/>
    <w:rsid w:val="79A67472"/>
    <w:rsid w:val="79AC6248"/>
    <w:rsid w:val="79B17049"/>
    <w:rsid w:val="79B22485"/>
    <w:rsid w:val="79B24069"/>
    <w:rsid w:val="79B37DE1"/>
    <w:rsid w:val="79B42F8A"/>
    <w:rsid w:val="79B871A5"/>
    <w:rsid w:val="79B95C7B"/>
    <w:rsid w:val="79BA084C"/>
    <w:rsid w:val="79BB0A79"/>
    <w:rsid w:val="79BD2A0E"/>
    <w:rsid w:val="79BD47BC"/>
    <w:rsid w:val="79BE31CC"/>
    <w:rsid w:val="79C144BA"/>
    <w:rsid w:val="79C24508"/>
    <w:rsid w:val="79C268F7"/>
    <w:rsid w:val="79C30024"/>
    <w:rsid w:val="79C45B4A"/>
    <w:rsid w:val="79C773E8"/>
    <w:rsid w:val="79C95770"/>
    <w:rsid w:val="79C97604"/>
    <w:rsid w:val="79CB1244"/>
    <w:rsid w:val="79CB3D36"/>
    <w:rsid w:val="79CB5E03"/>
    <w:rsid w:val="79CD0EA3"/>
    <w:rsid w:val="79CD6CC2"/>
    <w:rsid w:val="79CE69C9"/>
    <w:rsid w:val="79D044EF"/>
    <w:rsid w:val="79D060FF"/>
    <w:rsid w:val="79D078B1"/>
    <w:rsid w:val="79D12015"/>
    <w:rsid w:val="79D264B9"/>
    <w:rsid w:val="79D55FA9"/>
    <w:rsid w:val="79D73ACF"/>
    <w:rsid w:val="79D7587D"/>
    <w:rsid w:val="79DA35C0"/>
    <w:rsid w:val="79DA711C"/>
    <w:rsid w:val="79DC2E94"/>
    <w:rsid w:val="79DE1AD6"/>
    <w:rsid w:val="79DF0BD6"/>
    <w:rsid w:val="79DF2984"/>
    <w:rsid w:val="79E24222"/>
    <w:rsid w:val="79E61F64"/>
    <w:rsid w:val="79E87A8A"/>
    <w:rsid w:val="79EB295B"/>
    <w:rsid w:val="79EB757B"/>
    <w:rsid w:val="79EE2BC7"/>
    <w:rsid w:val="79F301DD"/>
    <w:rsid w:val="79F3642F"/>
    <w:rsid w:val="79F43B6B"/>
    <w:rsid w:val="79F622F5"/>
    <w:rsid w:val="79FA22BC"/>
    <w:rsid w:val="79FA5A10"/>
    <w:rsid w:val="79FA77BE"/>
    <w:rsid w:val="79FC0C93"/>
    <w:rsid w:val="79FE6FB9"/>
    <w:rsid w:val="79FF4DD4"/>
    <w:rsid w:val="79FF6B82"/>
    <w:rsid w:val="7A016D9E"/>
    <w:rsid w:val="7A020420"/>
    <w:rsid w:val="7A027300"/>
    <w:rsid w:val="7A04063C"/>
    <w:rsid w:val="7A0423EA"/>
    <w:rsid w:val="7A067586"/>
    <w:rsid w:val="7A08012D"/>
    <w:rsid w:val="7A087857"/>
    <w:rsid w:val="7A093242"/>
    <w:rsid w:val="7A095271"/>
    <w:rsid w:val="7A0A5C53"/>
    <w:rsid w:val="7A0D74F1"/>
    <w:rsid w:val="7A111395"/>
    <w:rsid w:val="7A1117AA"/>
    <w:rsid w:val="7A13262E"/>
    <w:rsid w:val="7A1524D6"/>
    <w:rsid w:val="7A1545F8"/>
    <w:rsid w:val="7A1563A6"/>
    <w:rsid w:val="7A187C44"/>
    <w:rsid w:val="7A1A22A5"/>
    <w:rsid w:val="7A1B292D"/>
    <w:rsid w:val="7A1C5986"/>
    <w:rsid w:val="7A1E16FE"/>
    <w:rsid w:val="7A1E330B"/>
    <w:rsid w:val="7A217FB1"/>
    <w:rsid w:val="7A252A8D"/>
    <w:rsid w:val="7A266805"/>
    <w:rsid w:val="7A27429B"/>
    <w:rsid w:val="7A28257D"/>
    <w:rsid w:val="7A291FB8"/>
    <w:rsid w:val="7A2D36EF"/>
    <w:rsid w:val="7A317863"/>
    <w:rsid w:val="7A340F22"/>
    <w:rsid w:val="7A347300"/>
    <w:rsid w:val="7A3525A4"/>
    <w:rsid w:val="7A363361"/>
    <w:rsid w:val="7A364017"/>
    <w:rsid w:val="7A3A5E0C"/>
    <w:rsid w:val="7A3E58FC"/>
    <w:rsid w:val="7A3E76AA"/>
    <w:rsid w:val="7A3F633D"/>
    <w:rsid w:val="7A41363F"/>
    <w:rsid w:val="7A456C8B"/>
    <w:rsid w:val="7A460C55"/>
    <w:rsid w:val="7A480529"/>
    <w:rsid w:val="7A4822D7"/>
    <w:rsid w:val="7A48677B"/>
    <w:rsid w:val="7A49535A"/>
    <w:rsid w:val="7A49604F"/>
    <w:rsid w:val="7A4C5587"/>
    <w:rsid w:val="7A4E3666"/>
    <w:rsid w:val="7A505EDE"/>
    <w:rsid w:val="7A5213A8"/>
    <w:rsid w:val="7A543372"/>
    <w:rsid w:val="7A552C46"/>
    <w:rsid w:val="7A5549F4"/>
    <w:rsid w:val="7A563EC4"/>
    <w:rsid w:val="7A57076C"/>
    <w:rsid w:val="7A574389"/>
    <w:rsid w:val="7A574C10"/>
    <w:rsid w:val="7A5769BE"/>
    <w:rsid w:val="7A590988"/>
    <w:rsid w:val="7A592736"/>
    <w:rsid w:val="7A5A025C"/>
    <w:rsid w:val="7A5A200A"/>
    <w:rsid w:val="7A5C5D83"/>
    <w:rsid w:val="7A5D19CC"/>
    <w:rsid w:val="7A5E7D4D"/>
    <w:rsid w:val="7A603535"/>
    <w:rsid w:val="7A611EC9"/>
    <w:rsid w:val="7A637111"/>
    <w:rsid w:val="7A6510DB"/>
    <w:rsid w:val="7A6716DC"/>
    <w:rsid w:val="7A6730A5"/>
    <w:rsid w:val="7A68361F"/>
    <w:rsid w:val="7A69004B"/>
    <w:rsid w:val="7A6A66F1"/>
    <w:rsid w:val="7A6B1FA0"/>
    <w:rsid w:val="7A6C2B8B"/>
    <w:rsid w:val="7A6D2A6C"/>
    <w:rsid w:val="7A6F3D08"/>
    <w:rsid w:val="7A6F5AB6"/>
    <w:rsid w:val="7A716284"/>
    <w:rsid w:val="7A7566EC"/>
    <w:rsid w:val="7A7704FC"/>
    <w:rsid w:val="7A792DD8"/>
    <w:rsid w:val="7A7A25BA"/>
    <w:rsid w:val="7A7B2AC8"/>
    <w:rsid w:val="7A7C01D3"/>
    <w:rsid w:val="7A7E219D"/>
    <w:rsid w:val="7A8150B7"/>
    <w:rsid w:val="7A8157E9"/>
    <w:rsid w:val="7A815907"/>
    <w:rsid w:val="7A8265E1"/>
    <w:rsid w:val="7A855444"/>
    <w:rsid w:val="7A861051"/>
    <w:rsid w:val="7A872C09"/>
    <w:rsid w:val="7A884DCA"/>
    <w:rsid w:val="7A886B78"/>
    <w:rsid w:val="7A8F2BFF"/>
    <w:rsid w:val="7A956F79"/>
    <w:rsid w:val="7A965738"/>
    <w:rsid w:val="7A96598E"/>
    <w:rsid w:val="7A99244D"/>
    <w:rsid w:val="7A9C5190"/>
    <w:rsid w:val="7A9D6AC7"/>
    <w:rsid w:val="7A9F5054"/>
    <w:rsid w:val="7AA00365"/>
    <w:rsid w:val="7AA3432F"/>
    <w:rsid w:val="7AA37E55"/>
    <w:rsid w:val="7AA5597C"/>
    <w:rsid w:val="7AA80FC8"/>
    <w:rsid w:val="7AAA11E4"/>
    <w:rsid w:val="7AAA4D40"/>
    <w:rsid w:val="7AAC3D97"/>
    <w:rsid w:val="7AAC6F2E"/>
    <w:rsid w:val="7AAD2A82"/>
    <w:rsid w:val="7AAD65DE"/>
    <w:rsid w:val="7AB14320"/>
    <w:rsid w:val="7AB160CE"/>
    <w:rsid w:val="7AB461FA"/>
    <w:rsid w:val="7AB4796D"/>
    <w:rsid w:val="7AB756AF"/>
    <w:rsid w:val="7AB912B9"/>
    <w:rsid w:val="7AB91427"/>
    <w:rsid w:val="7AB97B4A"/>
    <w:rsid w:val="7ABB0CFB"/>
    <w:rsid w:val="7ABB14E4"/>
    <w:rsid w:val="7ABC0DCB"/>
    <w:rsid w:val="7ABE2599"/>
    <w:rsid w:val="7ABE4C8F"/>
    <w:rsid w:val="7ABE6A3D"/>
    <w:rsid w:val="7AC027B5"/>
    <w:rsid w:val="7AC322A6"/>
    <w:rsid w:val="7AC35E02"/>
    <w:rsid w:val="7AC57DCC"/>
    <w:rsid w:val="7AC613EF"/>
    <w:rsid w:val="7AC702EC"/>
    <w:rsid w:val="7AC758F2"/>
    <w:rsid w:val="7AC95077"/>
    <w:rsid w:val="7ACA3634"/>
    <w:rsid w:val="7ACB4CB6"/>
    <w:rsid w:val="7ACD6C80"/>
    <w:rsid w:val="7ACE491D"/>
    <w:rsid w:val="7ACF29F8"/>
    <w:rsid w:val="7AD07CBE"/>
    <w:rsid w:val="7AD11CFB"/>
    <w:rsid w:val="7ADA3086"/>
    <w:rsid w:val="7ADD22C2"/>
    <w:rsid w:val="7ADD3367"/>
    <w:rsid w:val="7ADF54E7"/>
    <w:rsid w:val="7AE2097E"/>
    <w:rsid w:val="7AE27D5F"/>
    <w:rsid w:val="7AE36134"/>
    <w:rsid w:val="7AE364A4"/>
    <w:rsid w:val="7AE75F94"/>
    <w:rsid w:val="7AEA15E0"/>
    <w:rsid w:val="7AEA7832"/>
    <w:rsid w:val="7AEB48C6"/>
    <w:rsid w:val="7AEC1440"/>
    <w:rsid w:val="7AF443E5"/>
    <w:rsid w:val="7AF67F85"/>
    <w:rsid w:val="7AF71C46"/>
    <w:rsid w:val="7AF759BC"/>
    <w:rsid w:val="7AF91823"/>
    <w:rsid w:val="7AF97A75"/>
    <w:rsid w:val="7AFD7566"/>
    <w:rsid w:val="7AFE508C"/>
    <w:rsid w:val="7AFF15FB"/>
    <w:rsid w:val="7B0075C6"/>
    <w:rsid w:val="7B0326A2"/>
    <w:rsid w:val="7B035261"/>
    <w:rsid w:val="7B0408F4"/>
    <w:rsid w:val="7B05641A"/>
    <w:rsid w:val="7B073F40"/>
    <w:rsid w:val="7B0A1C83"/>
    <w:rsid w:val="7B0E1773"/>
    <w:rsid w:val="7B102D5B"/>
    <w:rsid w:val="7B1127D2"/>
    <w:rsid w:val="7B113011"/>
    <w:rsid w:val="7B164183"/>
    <w:rsid w:val="7B167881"/>
    <w:rsid w:val="7B1F572E"/>
    <w:rsid w:val="7B203254"/>
    <w:rsid w:val="7B212B22"/>
    <w:rsid w:val="7B260AB7"/>
    <w:rsid w:val="7B282B5B"/>
    <w:rsid w:val="7B2965AD"/>
    <w:rsid w:val="7B2C1BF9"/>
    <w:rsid w:val="7B2D042B"/>
    <w:rsid w:val="7B2F16E9"/>
    <w:rsid w:val="7B307AD0"/>
    <w:rsid w:val="7B315461"/>
    <w:rsid w:val="7B324450"/>
    <w:rsid w:val="7B340AAD"/>
    <w:rsid w:val="7B34454B"/>
    <w:rsid w:val="7B3510E8"/>
    <w:rsid w:val="7B353D62"/>
    <w:rsid w:val="7B364826"/>
    <w:rsid w:val="7B3665D4"/>
    <w:rsid w:val="7B3A0672"/>
    <w:rsid w:val="7B3B008E"/>
    <w:rsid w:val="7B3B62E0"/>
    <w:rsid w:val="7B3D5BB4"/>
    <w:rsid w:val="7B3D6D3E"/>
    <w:rsid w:val="7B3E2C9A"/>
    <w:rsid w:val="7B3E5753"/>
    <w:rsid w:val="7B3F7B7E"/>
    <w:rsid w:val="7B413A9D"/>
    <w:rsid w:val="7B42141C"/>
    <w:rsid w:val="7B4231CA"/>
    <w:rsid w:val="7B4416AA"/>
    <w:rsid w:val="7B444040"/>
    <w:rsid w:val="7B445194"/>
    <w:rsid w:val="7B4707E1"/>
    <w:rsid w:val="7B4A02D1"/>
    <w:rsid w:val="7B4B239A"/>
    <w:rsid w:val="7B4C229B"/>
    <w:rsid w:val="7B4C4049"/>
    <w:rsid w:val="7B4F7695"/>
    <w:rsid w:val="7B51340D"/>
    <w:rsid w:val="7B517733"/>
    <w:rsid w:val="7B5178B1"/>
    <w:rsid w:val="7B533629"/>
    <w:rsid w:val="7B5551A9"/>
    <w:rsid w:val="7B5A6266"/>
    <w:rsid w:val="7B5B24DE"/>
    <w:rsid w:val="7B5D0004"/>
    <w:rsid w:val="7B5F1FCE"/>
    <w:rsid w:val="7B5F5B2A"/>
    <w:rsid w:val="7B611E85"/>
    <w:rsid w:val="7B613D07"/>
    <w:rsid w:val="7B6205F9"/>
    <w:rsid w:val="7B6475E5"/>
    <w:rsid w:val="7B656EB9"/>
    <w:rsid w:val="7B672C31"/>
    <w:rsid w:val="7B686D42"/>
    <w:rsid w:val="7B696F09"/>
    <w:rsid w:val="7B6A2721"/>
    <w:rsid w:val="7B6A44CF"/>
    <w:rsid w:val="7B6A5AFE"/>
    <w:rsid w:val="7B6A5DF1"/>
    <w:rsid w:val="7B6C6499"/>
    <w:rsid w:val="7B6C6C45"/>
    <w:rsid w:val="7B6E2211"/>
    <w:rsid w:val="7B6F1AE6"/>
    <w:rsid w:val="7B705F89"/>
    <w:rsid w:val="7B7339E4"/>
    <w:rsid w:val="7B735A7A"/>
    <w:rsid w:val="7B746DAC"/>
    <w:rsid w:val="7B7472D4"/>
    <w:rsid w:val="7B75029D"/>
    <w:rsid w:val="7B75259E"/>
    <w:rsid w:val="7B752E6E"/>
    <w:rsid w:val="7B7610C6"/>
    <w:rsid w:val="7B775BB1"/>
    <w:rsid w:val="7B783090"/>
    <w:rsid w:val="7B7A0A53"/>
    <w:rsid w:val="7B7D0141"/>
    <w:rsid w:val="7B821819"/>
    <w:rsid w:val="7B827A6B"/>
    <w:rsid w:val="7B841746"/>
    <w:rsid w:val="7B871525"/>
    <w:rsid w:val="7B8732D3"/>
    <w:rsid w:val="7B881E48"/>
    <w:rsid w:val="7B89704B"/>
    <w:rsid w:val="7B8C0A46"/>
    <w:rsid w:val="7B8F3A15"/>
    <w:rsid w:val="7B8F3F36"/>
    <w:rsid w:val="7B902188"/>
    <w:rsid w:val="7B933826"/>
    <w:rsid w:val="7B937ECA"/>
    <w:rsid w:val="7B95210F"/>
    <w:rsid w:val="7B9652C4"/>
    <w:rsid w:val="7B971768"/>
    <w:rsid w:val="7B9854E0"/>
    <w:rsid w:val="7B995E1C"/>
    <w:rsid w:val="7B9B0B2D"/>
    <w:rsid w:val="7B9C6019"/>
    <w:rsid w:val="7B9D2F6F"/>
    <w:rsid w:val="7B9D6653"/>
    <w:rsid w:val="7B9D7B0E"/>
    <w:rsid w:val="7B9F061D"/>
    <w:rsid w:val="7BA23419"/>
    <w:rsid w:val="7BA23C79"/>
    <w:rsid w:val="7BA845BC"/>
    <w:rsid w:val="7BAB1AAD"/>
    <w:rsid w:val="7BAB6EF9"/>
    <w:rsid w:val="7BAE0860"/>
    <w:rsid w:val="7BB120FE"/>
    <w:rsid w:val="7BB33FFD"/>
    <w:rsid w:val="7BB340C8"/>
    <w:rsid w:val="7BB73BB8"/>
    <w:rsid w:val="7BBA4EC1"/>
    <w:rsid w:val="7BBD6CF5"/>
    <w:rsid w:val="7BC167E5"/>
    <w:rsid w:val="7BC2255D"/>
    <w:rsid w:val="7BC40083"/>
    <w:rsid w:val="7BC62CEF"/>
    <w:rsid w:val="7BC72716"/>
    <w:rsid w:val="7BCA4253"/>
    <w:rsid w:val="7BCB1412"/>
    <w:rsid w:val="7BCD6656"/>
    <w:rsid w:val="7BD02338"/>
    <w:rsid w:val="7BD04F09"/>
    <w:rsid w:val="7BD10C54"/>
    <w:rsid w:val="7BD10E19"/>
    <w:rsid w:val="7BD173B3"/>
    <w:rsid w:val="7BD302C6"/>
    <w:rsid w:val="7BD3786A"/>
    <w:rsid w:val="7BD43F0B"/>
    <w:rsid w:val="7BD51EC1"/>
    <w:rsid w:val="7BD52290"/>
    <w:rsid w:val="7BD61B65"/>
    <w:rsid w:val="7BD83B2F"/>
    <w:rsid w:val="7BD858DD"/>
    <w:rsid w:val="7BDA2241"/>
    <w:rsid w:val="7BDA78A7"/>
    <w:rsid w:val="7BDB06D8"/>
    <w:rsid w:val="7BDC53CD"/>
    <w:rsid w:val="7BDD1145"/>
    <w:rsid w:val="7BDD16E9"/>
    <w:rsid w:val="7BDD2EF3"/>
    <w:rsid w:val="7BDF3C24"/>
    <w:rsid w:val="7BE009BA"/>
    <w:rsid w:val="7BE34B05"/>
    <w:rsid w:val="7BE40725"/>
    <w:rsid w:val="7BE57677"/>
    <w:rsid w:val="7BE61DA8"/>
    <w:rsid w:val="7BE6624C"/>
    <w:rsid w:val="7BE81FC4"/>
    <w:rsid w:val="7BE95D3C"/>
    <w:rsid w:val="7BE971E1"/>
    <w:rsid w:val="7BEB3862"/>
    <w:rsid w:val="7BEB5610"/>
    <w:rsid w:val="7BED75DA"/>
    <w:rsid w:val="7BEE5100"/>
    <w:rsid w:val="7BEF2E63"/>
    <w:rsid w:val="7BF070CA"/>
    <w:rsid w:val="7BF13B22"/>
    <w:rsid w:val="7BF2699E"/>
    <w:rsid w:val="7BF5023D"/>
    <w:rsid w:val="7BF52DB7"/>
    <w:rsid w:val="7BF85F7F"/>
    <w:rsid w:val="7BF87D2D"/>
    <w:rsid w:val="7BFA5853"/>
    <w:rsid w:val="7BFD3595"/>
    <w:rsid w:val="7BFD71BE"/>
    <w:rsid w:val="7BFE17E7"/>
    <w:rsid w:val="7BFF730D"/>
    <w:rsid w:val="7C0077DF"/>
    <w:rsid w:val="7C013085"/>
    <w:rsid w:val="7C016B5B"/>
    <w:rsid w:val="7C0251C7"/>
    <w:rsid w:val="7C035E38"/>
    <w:rsid w:val="7C06069C"/>
    <w:rsid w:val="7C067359"/>
    <w:rsid w:val="7C084414"/>
    <w:rsid w:val="7C0C5586"/>
    <w:rsid w:val="7C0D3A1B"/>
    <w:rsid w:val="7C0E12FE"/>
    <w:rsid w:val="7C0E140C"/>
    <w:rsid w:val="7C120DEF"/>
    <w:rsid w:val="7C134B67"/>
    <w:rsid w:val="7C140D1D"/>
    <w:rsid w:val="7C17052C"/>
    <w:rsid w:val="7C174657"/>
    <w:rsid w:val="7C1903CF"/>
    <w:rsid w:val="7C195991"/>
    <w:rsid w:val="7C195B55"/>
    <w:rsid w:val="7C1A4147"/>
    <w:rsid w:val="7C1C56B1"/>
    <w:rsid w:val="7C1C7EBF"/>
    <w:rsid w:val="7C2247B1"/>
    <w:rsid w:val="7C224DAA"/>
    <w:rsid w:val="7C234FC9"/>
    <w:rsid w:val="7C2368E5"/>
    <w:rsid w:val="7C240B22"/>
    <w:rsid w:val="7C26489A"/>
    <w:rsid w:val="7C266648"/>
    <w:rsid w:val="7C2B43D3"/>
    <w:rsid w:val="7C2D3E7B"/>
    <w:rsid w:val="7C2E4970"/>
    <w:rsid w:val="7C2F7BF3"/>
    <w:rsid w:val="7C324FED"/>
    <w:rsid w:val="7C345209"/>
    <w:rsid w:val="7C370855"/>
    <w:rsid w:val="7C384135"/>
    <w:rsid w:val="7C39281F"/>
    <w:rsid w:val="7C3A20F4"/>
    <w:rsid w:val="7C3C2310"/>
    <w:rsid w:val="7C3F595C"/>
    <w:rsid w:val="7C4116D4"/>
    <w:rsid w:val="7C415AC7"/>
    <w:rsid w:val="7C43369E"/>
    <w:rsid w:val="7C4371FA"/>
    <w:rsid w:val="7C442F72"/>
    <w:rsid w:val="7C480CB4"/>
    <w:rsid w:val="7C492337"/>
    <w:rsid w:val="7C4B2553"/>
    <w:rsid w:val="7C4B2B74"/>
    <w:rsid w:val="7C4C135E"/>
    <w:rsid w:val="7C4F3121"/>
    <w:rsid w:val="7C5238E1"/>
    <w:rsid w:val="7C526564"/>
    <w:rsid w:val="7C541407"/>
    <w:rsid w:val="7C544A6F"/>
    <w:rsid w:val="7C547659"/>
    <w:rsid w:val="7C550AD0"/>
    <w:rsid w:val="7C5533D1"/>
    <w:rsid w:val="7C556F2D"/>
    <w:rsid w:val="7C5A2796"/>
    <w:rsid w:val="7C5A4544"/>
    <w:rsid w:val="7C5F1CF3"/>
    <w:rsid w:val="7C613B24"/>
    <w:rsid w:val="7C6255BF"/>
    <w:rsid w:val="7C635AEE"/>
    <w:rsid w:val="7C6453C2"/>
    <w:rsid w:val="7C66738C"/>
    <w:rsid w:val="7C670314"/>
    <w:rsid w:val="7C6C4B73"/>
    <w:rsid w:val="7C6C5AC7"/>
    <w:rsid w:val="7C725D31"/>
    <w:rsid w:val="7C727ADF"/>
    <w:rsid w:val="7C741AA9"/>
    <w:rsid w:val="7C7575D0"/>
    <w:rsid w:val="7C773348"/>
    <w:rsid w:val="7C7750F6"/>
    <w:rsid w:val="7C77577C"/>
    <w:rsid w:val="7C794B49"/>
    <w:rsid w:val="7C7C270C"/>
    <w:rsid w:val="7C7E46D6"/>
    <w:rsid w:val="7C8021FC"/>
    <w:rsid w:val="7C8141C6"/>
    <w:rsid w:val="7C815F74"/>
    <w:rsid w:val="7C833A9B"/>
    <w:rsid w:val="7C8541D0"/>
    <w:rsid w:val="7C86358B"/>
    <w:rsid w:val="7C865339"/>
    <w:rsid w:val="7C887617"/>
    <w:rsid w:val="7C896BD7"/>
    <w:rsid w:val="7C8B294F"/>
    <w:rsid w:val="7C8B5302"/>
    <w:rsid w:val="7C8C376F"/>
    <w:rsid w:val="7C8D3552"/>
    <w:rsid w:val="7C943EFA"/>
    <w:rsid w:val="7C961A20"/>
    <w:rsid w:val="7C977546"/>
    <w:rsid w:val="7C991510"/>
    <w:rsid w:val="7C9932BE"/>
    <w:rsid w:val="7C9B7036"/>
    <w:rsid w:val="7C9C4B5C"/>
    <w:rsid w:val="7C9E2682"/>
    <w:rsid w:val="7C9E6B26"/>
    <w:rsid w:val="7CA103C5"/>
    <w:rsid w:val="7CA51C63"/>
    <w:rsid w:val="7CA62955"/>
    <w:rsid w:val="7CA70377"/>
    <w:rsid w:val="7CA73C2D"/>
    <w:rsid w:val="7CA852AF"/>
    <w:rsid w:val="7CAA1027"/>
    <w:rsid w:val="7CAA13FF"/>
    <w:rsid w:val="7CAB1522"/>
    <w:rsid w:val="7CAC1243"/>
    <w:rsid w:val="7CAF4890"/>
    <w:rsid w:val="7CAF663E"/>
    <w:rsid w:val="7CB225D2"/>
    <w:rsid w:val="7CB579CC"/>
    <w:rsid w:val="7CB65C1E"/>
    <w:rsid w:val="7CB669DC"/>
    <w:rsid w:val="7CB974BC"/>
    <w:rsid w:val="7CBB1486"/>
    <w:rsid w:val="7CBB305D"/>
    <w:rsid w:val="7CBE0F77"/>
    <w:rsid w:val="7CBE4AD3"/>
    <w:rsid w:val="7CC06A9D"/>
    <w:rsid w:val="7CC3658D"/>
    <w:rsid w:val="7CC55E61"/>
    <w:rsid w:val="7CC6544B"/>
    <w:rsid w:val="7CC86220"/>
    <w:rsid w:val="7CC868AC"/>
    <w:rsid w:val="7CCC3693"/>
    <w:rsid w:val="7CCE52C5"/>
    <w:rsid w:val="7CCF193F"/>
    <w:rsid w:val="7CD24A22"/>
    <w:rsid w:val="7CD267D0"/>
    <w:rsid w:val="7CD45112"/>
    <w:rsid w:val="7CD6006E"/>
    <w:rsid w:val="7CD662C0"/>
    <w:rsid w:val="7CD67907"/>
    <w:rsid w:val="7CD82038"/>
    <w:rsid w:val="7CD95DB0"/>
    <w:rsid w:val="7CDF28E4"/>
    <w:rsid w:val="7CE16A13"/>
    <w:rsid w:val="7CE24C65"/>
    <w:rsid w:val="7CE34539"/>
    <w:rsid w:val="7CE56F76"/>
    <w:rsid w:val="7CE5764E"/>
    <w:rsid w:val="7CE65DD7"/>
    <w:rsid w:val="7CE85FF3"/>
    <w:rsid w:val="7CEA58C8"/>
    <w:rsid w:val="7CEB3F88"/>
    <w:rsid w:val="7CED360A"/>
    <w:rsid w:val="7CED53B8"/>
    <w:rsid w:val="7CF37BD2"/>
    <w:rsid w:val="7CF91FAF"/>
    <w:rsid w:val="7CFA77FD"/>
    <w:rsid w:val="7CFE1373"/>
    <w:rsid w:val="7D012C11"/>
    <w:rsid w:val="7D020E63"/>
    <w:rsid w:val="7D02124B"/>
    <w:rsid w:val="7D0239FF"/>
    <w:rsid w:val="7D036989"/>
    <w:rsid w:val="7D052701"/>
    <w:rsid w:val="7D060228"/>
    <w:rsid w:val="7D0A41BC"/>
    <w:rsid w:val="7D0A5F6A"/>
    <w:rsid w:val="7D0F3580"/>
    <w:rsid w:val="7D1110A6"/>
    <w:rsid w:val="7D1172F8"/>
    <w:rsid w:val="7D127336"/>
    <w:rsid w:val="7D133397"/>
    <w:rsid w:val="7D1666BD"/>
    <w:rsid w:val="7D173C1C"/>
    <w:rsid w:val="7D184638"/>
    <w:rsid w:val="7D1943FF"/>
    <w:rsid w:val="7D202DCA"/>
    <w:rsid w:val="7D230DDA"/>
    <w:rsid w:val="7D2477C5"/>
    <w:rsid w:val="7D254B52"/>
    <w:rsid w:val="7D272678"/>
    <w:rsid w:val="7D284642"/>
    <w:rsid w:val="7D2863F0"/>
    <w:rsid w:val="7D292894"/>
    <w:rsid w:val="7D2A03BA"/>
    <w:rsid w:val="7D2A660C"/>
    <w:rsid w:val="7D2B5BBE"/>
    <w:rsid w:val="7D2C19E9"/>
    <w:rsid w:val="7D2D1C58"/>
    <w:rsid w:val="7D2F59D0"/>
    <w:rsid w:val="7D3134F6"/>
    <w:rsid w:val="7D3354C1"/>
    <w:rsid w:val="7D341239"/>
    <w:rsid w:val="7D366D5F"/>
    <w:rsid w:val="7D396613"/>
    <w:rsid w:val="7D3B25C7"/>
    <w:rsid w:val="7D3C7304"/>
    <w:rsid w:val="7D3C7450"/>
    <w:rsid w:val="7D3D633F"/>
    <w:rsid w:val="7D3F20B7"/>
    <w:rsid w:val="7D4302D8"/>
    <w:rsid w:val="7D430D35"/>
    <w:rsid w:val="7D43322A"/>
    <w:rsid w:val="7D44147C"/>
    <w:rsid w:val="7D4476CE"/>
    <w:rsid w:val="7D465449"/>
    <w:rsid w:val="7D472D1A"/>
    <w:rsid w:val="7D496A92"/>
    <w:rsid w:val="7D4B7464"/>
    <w:rsid w:val="7D4B74C7"/>
    <w:rsid w:val="7D506214"/>
    <w:rsid w:val="7D52346D"/>
    <w:rsid w:val="7D535C59"/>
    <w:rsid w:val="7D553689"/>
    <w:rsid w:val="7D562F33"/>
    <w:rsid w:val="7D563904"/>
    <w:rsid w:val="7D580FFF"/>
    <w:rsid w:val="7D584F27"/>
    <w:rsid w:val="7D5B587B"/>
    <w:rsid w:val="7D5E0064"/>
    <w:rsid w:val="7D5E40CD"/>
    <w:rsid w:val="7D5E7CB8"/>
    <w:rsid w:val="7D5F62B6"/>
    <w:rsid w:val="7D5F6DCD"/>
    <w:rsid w:val="7D603DDC"/>
    <w:rsid w:val="7D605B8A"/>
    <w:rsid w:val="7D6115B7"/>
    <w:rsid w:val="7D6346F0"/>
    <w:rsid w:val="7D637428"/>
    <w:rsid w:val="7D6438CC"/>
    <w:rsid w:val="7D64746E"/>
    <w:rsid w:val="7D6531A0"/>
    <w:rsid w:val="7D657644"/>
    <w:rsid w:val="7D67516A"/>
    <w:rsid w:val="7D6846E6"/>
    <w:rsid w:val="7D690EE2"/>
    <w:rsid w:val="7D6B2EAC"/>
    <w:rsid w:val="7D6B6A41"/>
    <w:rsid w:val="7D6F3CF1"/>
    <w:rsid w:val="7D6F401F"/>
    <w:rsid w:val="7D711B45"/>
    <w:rsid w:val="7D717D97"/>
    <w:rsid w:val="7D731D61"/>
    <w:rsid w:val="7D7358BD"/>
    <w:rsid w:val="7D747887"/>
    <w:rsid w:val="7D797974"/>
    <w:rsid w:val="7D7A4E9D"/>
    <w:rsid w:val="7D7B0C16"/>
    <w:rsid w:val="7D7D1955"/>
    <w:rsid w:val="7D7D498E"/>
    <w:rsid w:val="7D7E4262"/>
    <w:rsid w:val="7D823D52"/>
    <w:rsid w:val="7D845D1C"/>
    <w:rsid w:val="7D871F78"/>
    <w:rsid w:val="7D89203A"/>
    <w:rsid w:val="7D8A547F"/>
    <w:rsid w:val="7D8C697F"/>
    <w:rsid w:val="7D8F021D"/>
    <w:rsid w:val="7D913F95"/>
    <w:rsid w:val="7D9326CB"/>
    <w:rsid w:val="7D9330EC"/>
    <w:rsid w:val="7D936E93"/>
    <w:rsid w:val="7D943A85"/>
    <w:rsid w:val="7D94457C"/>
    <w:rsid w:val="7D9B4E14"/>
    <w:rsid w:val="7D9C12B8"/>
    <w:rsid w:val="7D9F168F"/>
    <w:rsid w:val="7D9F52B4"/>
    <w:rsid w:val="7D9F66B2"/>
    <w:rsid w:val="7DA04EF8"/>
    <w:rsid w:val="7DA168CE"/>
    <w:rsid w:val="7DA23916"/>
    <w:rsid w:val="7DA243F4"/>
    <w:rsid w:val="7DA43CC8"/>
    <w:rsid w:val="7DA46C42"/>
    <w:rsid w:val="7DA61581"/>
    <w:rsid w:val="7DA63EE4"/>
    <w:rsid w:val="7DA77C5D"/>
    <w:rsid w:val="7DAA513D"/>
    <w:rsid w:val="7DAC0DCF"/>
    <w:rsid w:val="7DAE2D99"/>
    <w:rsid w:val="7DB36601"/>
    <w:rsid w:val="7DB44FF6"/>
    <w:rsid w:val="7DB61C4E"/>
    <w:rsid w:val="7DB67EA0"/>
    <w:rsid w:val="7DB87774"/>
    <w:rsid w:val="7DBA173E"/>
    <w:rsid w:val="7DBA7990"/>
    <w:rsid w:val="7DBB0E35"/>
    <w:rsid w:val="7DBB54B6"/>
    <w:rsid w:val="7DBC3708"/>
    <w:rsid w:val="7DBD122E"/>
    <w:rsid w:val="7DBD2FDC"/>
    <w:rsid w:val="7DC24A5A"/>
    <w:rsid w:val="7DC65828"/>
    <w:rsid w:val="7DC75C09"/>
    <w:rsid w:val="7DC8269C"/>
    <w:rsid w:val="7DCB394B"/>
    <w:rsid w:val="7DCD56F2"/>
    <w:rsid w:val="7DD360D4"/>
    <w:rsid w:val="7DD45E60"/>
    <w:rsid w:val="7DD50326"/>
    <w:rsid w:val="7DD64904"/>
    <w:rsid w:val="7DD722F0"/>
    <w:rsid w:val="7DD95881"/>
    <w:rsid w:val="7DDB16B4"/>
    <w:rsid w:val="7DDD367E"/>
    <w:rsid w:val="7DE112D7"/>
    <w:rsid w:val="7DE16B93"/>
    <w:rsid w:val="7DE20C95"/>
    <w:rsid w:val="7DE44899"/>
    <w:rsid w:val="7DE467BB"/>
    <w:rsid w:val="7DE51F0B"/>
    <w:rsid w:val="7DE56A30"/>
    <w:rsid w:val="7DE71E07"/>
    <w:rsid w:val="7DE844FD"/>
    <w:rsid w:val="7DED1B13"/>
    <w:rsid w:val="7DEE3196"/>
    <w:rsid w:val="7DF033B2"/>
    <w:rsid w:val="7DF03474"/>
    <w:rsid w:val="7DF10ED8"/>
    <w:rsid w:val="7DF2712A"/>
    <w:rsid w:val="7DF32EA2"/>
    <w:rsid w:val="7DF478B8"/>
    <w:rsid w:val="7DF764EE"/>
    <w:rsid w:val="7DFA2F54"/>
    <w:rsid w:val="7DFA3729"/>
    <w:rsid w:val="7DFC4EB6"/>
    <w:rsid w:val="7DFD162B"/>
    <w:rsid w:val="7DFD5ACF"/>
    <w:rsid w:val="7E00550D"/>
    <w:rsid w:val="7E0135FC"/>
    <w:rsid w:val="7E01736D"/>
    <w:rsid w:val="7E0429B9"/>
    <w:rsid w:val="7E05592B"/>
    <w:rsid w:val="7E096221"/>
    <w:rsid w:val="7E097FCF"/>
    <w:rsid w:val="7E0D3F64"/>
    <w:rsid w:val="7E0D5D12"/>
    <w:rsid w:val="7E1001D8"/>
    <w:rsid w:val="7E10135E"/>
    <w:rsid w:val="7E124581"/>
    <w:rsid w:val="7E1257B6"/>
    <w:rsid w:val="7E13144E"/>
    <w:rsid w:val="7E1370A0"/>
    <w:rsid w:val="7E162A33"/>
    <w:rsid w:val="7E17093E"/>
    <w:rsid w:val="7E1A21DD"/>
    <w:rsid w:val="7E1C4963"/>
    <w:rsid w:val="7E1C633B"/>
    <w:rsid w:val="7E1E7F1F"/>
    <w:rsid w:val="7E213F19"/>
    <w:rsid w:val="7E221091"/>
    <w:rsid w:val="7E235C52"/>
    <w:rsid w:val="7E244CEF"/>
    <w:rsid w:val="7E2968C4"/>
    <w:rsid w:val="7E377018"/>
    <w:rsid w:val="7E3B58DD"/>
    <w:rsid w:val="7E3D753D"/>
    <w:rsid w:val="7E413EB6"/>
    <w:rsid w:val="7E435D95"/>
    <w:rsid w:val="7E461224"/>
    <w:rsid w:val="7E492AC2"/>
    <w:rsid w:val="7E4B2FD1"/>
    <w:rsid w:val="7E4B4A8C"/>
    <w:rsid w:val="7E4D4360"/>
    <w:rsid w:val="7E4F7B99"/>
    <w:rsid w:val="7E5020A2"/>
    <w:rsid w:val="7E555FB9"/>
    <w:rsid w:val="7E572CB5"/>
    <w:rsid w:val="7E576F8D"/>
    <w:rsid w:val="7E584AB3"/>
    <w:rsid w:val="7E5B2948"/>
    <w:rsid w:val="7E5C27F5"/>
    <w:rsid w:val="7E5D67FF"/>
    <w:rsid w:val="7E5F4093"/>
    <w:rsid w:val="7E607AE1"/>
    <w:rsid w:val="7E613C35"/>
    <w:rsid w:val="7E617E0B"/>
    <w:rsid w:val="7E62297B"/>
    <w:rsid w:val="7E6255FC"/>
    <w:rsid w:val="7E631DD5"/>
    <w:rsid w:val="7E635932"/>
    <w:rsid w:val="7E663674"/>
    <w:rsid w:val="7E665422"/>
    <w:rsid w:val="7E670AF2"/>
    <w:rsid w:val="7E6919E9"/>
    <w:rsid w:val="7E6A3164"/>
    <w:rsid w:val="7E6B47E6"/>
    <w:rsid w:val="7E6F077A"/>
    <w:rsid w:val="7E6F4389"/>
    <w:rsid w:val="7E7044F2"/>
    <w:rsid w:val="7E722019"/>
    <w:rsid w:val="7E723DC7"/>
    <w:rsid w:val="7E740E43"/>
    <w:rsid w:val="7E745D91"/>
    <w:rsid w:val="7E7716F1"/>
    <w:rsid w:val="7E7A0ECD"/>
    <w:rsid w:val="7E7C2E97"/>
    <w:rsid w:val="7E7C7834"/>
    <w:rsid w:val="7E7D0743"/>
    <w:rsid w:val="7E7F4735"/>
    <w:rsid w:val="7E7F64E4"/>
    <w:rsid w:val="7E835FD4"/>
    <w:rsid w:val="7E857F9E"/>
    <w:rsid w:val="7E88183C"/>
    <w:rsid w:val="7E8835EA"/>
    <w:rsid w:val="7E885398"/>
    <w:rsid w:val="7E891110"/>
    <w:rsid w:val="7E8B4E88"/>
    <w:rsid w:val="7E8D0C00"/>
    <w:rsid w:val="7E8D29AE"/>
    <w:rsid w:val="7E8F2BCB"/>
    <w:rsid w:val="7E8F4979"/>
    <w:rsid w:val="7E951681"/>
    <w:rsid w:val="7E957AB5"/>
    <w:rsid w:val="7E977CD1"/>
    <w:rsid w:val="7E9C0E44"/>
    <w:rsid w:val="7E9C52E7"/>
    <w:rsid w:val="7E9E3DEE"/>
    <w:rsid w:val="7E9E696A"/>
    <w:rsid w:val="7E9F26E2"/>
    <w:rsid w:val="7E9F4DC6"/>
    <w:rsid w:val="7EA45F4A"/>
    <w:rsid w:val="7EA47CF8"/>
    <w:rsid w:val="7EA63BDC"/>
    <w:rsid w:val="7EA83C8C"/>
    <w:rsid w:val="7EAA31B2"/>
    <w:rsid w:val="7EAB1087"/>
    <w:rsid w:val="7EAB72D9"/>
    <w:rsid w:val="7EAF6DC9"/>
    <w:rsid w:val="7EB00B30"/>
    <w:rsid w:val="7EB02B41"/>
    <w:rsid w:val="7EB05F55"/>
    <w:rsid w:val="7EB45B92"/>
    <w:rsid w:val="7EB4618D"/>
    <w:rsid w:val="7EB50157"/>
    <w:rsid w:val="7EB77A2B"/>
    <w:rsid w:val="7EB919F5"/>
    <w:rsid w:val="7EBC7738"/>
    <w:rsid w:val="7EBE0DBA"/>
    <w:rsid w:val="7EC11185"/>
    <w:rsid w:val="7EC31FF2"/>
    <w:rsid w:val="7EC37B79"/>
    <w:rsid w:val="7EC57301"/>
    <w:rsid w:val="7EC81C39"/>
    <w:rsid w:val="7EC9775F"/>
    <w:rsid w:val="7ECA2FD7"/>
    <w:rsid w:val="7ECC04C8"/>
    <w:rsid w:val="7ECD1958"/>
    <w:rsid w:val="7ECE167A"/>
    <w:rsid w:val="7ECF1219"/>
    <w:rsid w:val="7ECF59B9"/>
    <w:rsid w:val="7ECF746B"/>
    <w:rsid w:val="7ED00AED"/>
    <w:rsid w:val="7ED06D3F"/>
    <w:rsid w:val="7ED22AB7"/>
    <w:rsid w:val="7ED30638"/>
    <w:rsid w:val="7ED405DD"/>
    <w:rsid w:val="7ED44A81"/>
    <w:rsid w:val="7ED46013"/>
    <w:rsid w:val="7ED93E46"/>
    <w:rsid w:val="7EDC0DB3"/>
    <w:rsid w:val="7EDC56E4"/>
    <w:rsid w:val="7EDE145C"/>
    <w:rsid w:val="7EE2719E"/>
    <w:rsid w:val="7EE34CC4"/>
    <w:rsid w:val="7EE86560"/>
    <w:rsid w:val="7EEA6053"/>
    <w:rsid w:val="7EED78F1"/>
    <w:rsid w:val="7EEE44B4"/>
    <w:rsid w:val="7EEF3669"/>
    <w:rsid w:val="7EF26CB5"/>
    <w:rsid w:val="7EF618DD"/>
    <w:rsid w:val="7EF667A6"/>
    <w:rsid w:val="7EF90044"/>
    <w:rsid w:val="7EFB0D25"/>
    <w:rsid w:val="7EFB1E05"/>
    <w:rsid w:val="7EFC18E2"/>
    <w:rsid w:val="7EFE38AC"/>
    <w:rsid w:val="7F001CE7"/>
    <w:rsid w:val="7F0030A6"/>
    <w:rsid w:val="7F01339C"/>
    <w:rsid w:val="7F01514B"/>
    <w:rsid w:val="7F054C3B"/>
    <w:rsid w:val="7F0569E9"/>
    <w:rsid w:val="7F080287"/>
    <w:rsid w:val="7F0808CE"/>
    <w:rsid w:val="7F0864D9"/>
    <w:rsid w:val="7F0A3FFF"/>
    <w:rsid w:val="7F0B7D77"/>
    <w:rsid w:val="7F0C421B"/>
    <w:rsid w:val="7F0D7F93"/>
    <w:rsid w:val="7F0F5AB9"/>
    <w:rsid w:val="7F10770B"/>
    <w:rsid w:val="7F1255AA"/>
    <w:rsid w:val="7F1429AC"/>
    <w:rsid w:val="7F1660D5"/>
    <w:rsid w:val="7F17496E"/>
    <w:rsid w:val="7F17671C"/>
    <w:rsid w:val="7F182BC0"/>
    <w:rsid w:val="7F190F34"/>
    <w:rsid w:val="7F1A3E8E"/>
    <w:rsid w:val="7F201A75"/>
    <w:rsid w:val="7F227861"/>
    <w:rsid w:val="7F227B81"/>
    <w:rsid w:val="7F243BE2"/>
    <w:rsid w:val="7F2579CC"/>
    <w:rsid w:val="7F272E03"/>
    <w:rsid w:val="7F280929"/>
    <w:rsid w:val="7F2839F3"/>
    <w:rsid w:val="7F286B7B"/>
    <w:rsid w:val="7F293089"/>
    <w:rsid w:val="7F2C2A9C"/>
    <w:rsid w:val="7F2D3C0D"/>
    <w:rsid w:val="7F2D4191"/>
    <w:rsid w:val="7F2E23E3"/>
    <w:rsid w:val="7F2F77AE"/>
    <w:rsid w:val="7F363046"/>
    <w:rsid w:val="7F392B36"/>
    <w:rsid w:val="7F395EB5"/>
    <w:rsid w:val="7F3A79C9"/>
    <w:rsid w:val="7F3B0118"/>
    <w:rsid w:val="7F3E639F"/>
    <w:rsid w:val="7F402117"/>
    <w:rsid w:val="7F421682"/>
    <w:rsid w:val="7F427C3D"/>
    <w:rsid w:val="7F4339B5"/>
    <w:rsid w:val="7F435763"/>
    <w:rsid w:val="7F4734A5"/>
    <w:rsid w:val="7F475253"/>
    <w:rsid w:val="7F4758D4"/>
    <w:rsid w:val="7F480FCB"/>
    <w:rsid w:val="7F4A486C"/>
    <w:rsid w:val="7F4A6AF1"/>
    <w:rsid w:val="7F4C286A"/>
    <w:rsid w:val="7F4C4618"/>
    <w:rsid w:val="7F512BFF"/>
    <w:rsid w:val="7F513EF9"/>
    <w:rsid w:val="7F5159B7"/>
    <w:rsid w:val="7F5160D2"/>
    <w:rsid w:val="7F531E4A"/>
    <w:rsid w:val="7F596D35"/>
    <w:rsid w:val="7F5F07EF"/>
    <w:rsid w:val="7F60063A"/>
    <w:rsid w:val="7F62204B"/>
    <w:rsid w:val="7F6364A4"/>
    <w:rsid w:val="7F65392B"/>
    <w:rsid w:val="7F66100E"/>
    <w:rsid w:val="7F677567"/>
    <w:rsid w:val="7F6A2CF0"/>
    <w:rsid w:val="7F6C00BA"/>
    <w:rsid w:val="7F6C2F0C"/>
    <w:rsid w:val="7F6D458E"/>
    <w:rsid w:val="7F7122D0"/>
    <w:rsid w:val="7F71407E"/>
    <w:rsid w:val="7F723E6A"/>
    <w:rsid w:val="7F735F98"/>
    <w:rsid w:val="7F761D48"/>
    <w:rsid w:val="7F763489"/>
    <w:rsid w:val="7F7678E7"/>
    <w:rsid w:val="7F7E2A1A"/>
    <w:rsid w:val="7F7E679B"/>
    <w:rsid w:val="7F7F2C3F"/>
    <w:rsid w:val="7F855D7C"/>
    <w:rsid w:val="7F871AF4"/>
    <w:rsid w:val="7F89761A"/>
    <w:rsid w:val="7F8B571F"/>
    <w:rsid w:val="7F8C0EB8"/>
    <w:rsid w:val="7F8C2C66"/>
    <w:rsid w:val="7F8D5E49"/>
    <w:rsid w:val="7F8D69DE"/>
    <w:rsid w:val="7F8E145F"/>
    <w:rsid w:val="7F9113D9"/>
    <w:rsid w:val="7F930498"/>
    <w:rsid w:val="7F954211"/>
    <w:rsid w:val="7F962730"/>
    <w:rsid w:val="7F985AAF"/>
    <w:rsid w:val="7F9B56DC"/>
    <w:rsid w:val="7F9B734D"/>
    <w:rsid w:val="7F9D1317"/>
    <w:rsid w:val="7F9D30C5"/>
    <w:rsid w:val="7F9D7AC4"/>
    <w:rsid w:val="7F9E2999"/>
    <w:rsid w:val="7F9F6E3D"/>
    <w:rsid w:val="7FA16F1B"/>
    <w:rsid w:val="7FA206DC"/>
    <w:rsid w:val="7FA27420"/>
    <w:rsid w:val="7FA51F7A"/>
    <w:rsid w:val="7FA63203"/>
    <w:rsid w:val="7FA66D17"/>
    <w:rsid w:val="7FA73F44"/>
    <w:rsid w:val="7FA75CF2"/>
    <w:rsid w:val="7FAA57E2"/>
    <w:rsid w:val="7FAB20C8"/>
    <w:rsid w:val="7FAB4A35"/>
    <w:rsid w:val="7FAC155A"/>
    <w:rsid w:val="7FAE0E2E"/>
    <w:rsid w:val="7FAE52D2"/>
    <w:rsid w:val="7FAE7080"/>
    <w:rsid w:val="7FAF4BA7"/>
    <w:rsid w:val="7FB116C3"/>
    <w:rsid w:val="7FB12A09"/>
    <w:rsid w:val="7FB34697"/>
    <w:rsid w:val="7FB36445"/>
    <w:rsid w:val="7FB65F35"/>
    <w:rsid w:val="7FBB354B"/>
    <w:rsid w:val="7FBF128D"/>
    <w:rsid w:val="7FC06DB4"/>
    <w:rsid w:val="7FC22ADB"/>
    <w:rsid w:val="7FC468A4"/>
    <w:rsid w:val="7FC46A57"/>
    <w:rsid w:val="7FC70142"/>
    <w:rsid w:val="7FC71EF0"/>
    <w:rsid w:val="7FC837FA"/>
    <w:rsid w:val="7FC878BE"/>
    <w:rsid w:val="7FC93EBA"/>
    <w:rsid w:val="7FCB6CA8"/>
    <w:rsid w:val="7FD12D6F"/>
    <w:rsid w:val="7FD14B1D"/>
    <w:rsid w:val="7FD269B4"/>
    <w:rsid w:val="7FD36AE7"/>
    <w:rsid w:val="7FD50AB1"/>
    <w:rsid w:val="7FD5285F"/>
    <w:rsid w:val="7FD61E58"/>
    <w:rsid w:val="7FD665D7"/>
    <w:rsid w:val="7FDA308C"/>
    <w:rsid w:val="7FDB3BED"/>
    <w:rsid w:val="7FDD34C2"/>
    <w:rsid w:val="7FDE7B28"/>
    <w:rsid w:val="7FDE7C0A"/>
    <w:rsid w:val="7FE15918"/>
    <w:rsid w:val="7FE17456"/>
    <w:rsid w:val="7FE24F7C"/>
    <w:rsid w:val="7FE47E50"/>
    <w:rsid w:val="7FE505C8"/>
    <w:rsid w:val="7FE65E0B"/>
    <w:rsid w:val="7FE707E4"/>
    <w:rsid w:val="7FE74340"/>
    <w:rsid w:val="7FEA5BDF"/>
    <w:rsid w:val="7FEB2083"/>
    <w:rsid w:val="7FF30F37"/>
    <w:rsid w:val="7FF64583"/>
    <w:rsid w:val="7FF66EF1"/>
    <w:rsid w:val="7FF802FC"/>
    <w:rsid w:val="7FF97738"/>
    <w:rsid w:val="7FFA4074"/>
    <w:rsid w:val="7FFA6E75"/>
    <w:rsid w:val="7FFB603E"/>
    <w:rsid w:val="7FFC30B1"/>
    <w:rsid w:val="7FFD5912"/>
    <w:rsid w:val="7FFF16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7"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3"/>
    <w:next w:val="1"/>
    <w:autoRedefine/>
    <w:qFormat/>
    <w:uiPriority w:val="0"/>
    <w:pPr>
      <w:keepNext/>
      <w:keepLines/>
      <w:numPr>
        <w:ilvl w:val="3"/>
        <w:numId w:val="1"/>
      </w:numPr>
      <w:spacing w:after="75" w:afterLines="75" w:line="240" w:lineRule="auto"/>
      <w:outlineLvl w:val="3"/>
    </w:pPr>
    <w:rPr>
      <w:rFonts w:ascii="Times New Roman" w:hAnsi="Times New Roman" w:eastAsia="黑体" w:cs="Times New Roman"/>
      <w:bCs/>
      <w:szCs w:val="28"/>
    </w:rPr>
  </w:style>
  <w:style w:type="character" w:default="1" w:styleId="33">
    <w:name w:val="Default Paragraph Font"/>
    <w:autoRedefine/>
    <w:semiHidden/>
    <w:qFormat/>
    <w:uiPriority w:val="0"/>
  </w:style>
  <w:style w:type="table" w:default="1" w:styleId="31">
    <w:name w:val="Normal Table"/>
    <w:autoRedefine/>
    <w:semiHidden/>
    <w:qFormat/>
    <w:uiPriority w:val="0"/>
    <w:tblPr>
      <w:tblCellMar>
        <w:top w:w="0" w:type="dxa"/>
        <w:left w:w="108" w:type="dxa"/>
        <w:bottom w:w="0" w:type="dxa"/>
        <w:right w:w="108" w:type="dxa"/>
      </w:tblCellMar>
    </w:tblPr>
  </w:style>
  <w:style w:type="paragraph" w:styleId="6">
    <w:name w:val="List 3"/>
    <w:basedOn w:val="1"/>
    <w:autoRedefine/>
    <w:qFormat/>
    <w:uiPriority w:val="0"/>
  </w:style>
  <w:style w:type="paragraph" w:styleId="7">
    <w:name w:val="Normal Indent"/>
    <w:basedOn w:val="1"/>
    <w:next w:val="8"/>
    <w:autoRedefine/>
    <w:qFormat/>
    <w:uiPriority w:val="0"/>
    <w:pPr>
      <w:snapToGrid/>
      <w:spacing w:line="240" w:lineRule="auto"/>
      <w:ind w:firstLine="420"/>
      <w:jc w:val="both"/>
    </w:pPr>
    <w:rPr>
      <w:rFonts w:ascii="Times New Roman" w:hAnsi="Times New Roman" w:eastAsia="宋体" w:cs="Times New Roman"/>
      <w:sz w:val="21"/>
      <w:szCs w:val="20"/>
    </w:rPr>
  </w:style>
  <w:style w:type="paragraph" w:styleId="8">
    <w:name w:val="Body Text First Indent 2"/>
    <w:basedOn w:val="9"/>
    <w:next w:val="1"/>
    <w:autoRedefine/>
    <w:qFormat/>
    <w:uiPriority w:val="0"/>
    <w:pPr>
      <w:spacing w:after="120" w:afterLines="0" w:line="240" w:lineRule="auto"/>
      <w:ind w:left="420" w:leftChars="200" w:firstLine="420"/>
    </w:pPr>
    <w:rPr>
      <w:sz w:val="21"/>
    </w:rPr>
  </w:style>
  <w:style w:type="paragraph" w:styleId="9">
    <w:name w:val="Body Text Indent"/>
    <w:basedOn w:val="1"/>
    <w:next w:val="10"/>
    <w:link w:val="48"/>
    <w:autoRedefine/>
    <w:qFormat/>
    <w:uiPriority w:val="0"/>
    <w:pPr>
      <w:spacing w:after="120"/>
      <w:ind w:left="420" w:leftChars="200"/>
    </w:pPr>
    <w:rPr>
      <w:kern w:val="0"/>
      <w:sz w:val="24"/>
      <w:szCs w:val="20"/>
    </w:rPr>
  </w:style>
  <w:style w:type="paragraph" w:styleId="10">
    <w:name w:val="envelope return"/>
    <w:basedOn w:val="1"/>
    <w:autoRedefine/>
    <w:qFormat/>
    <w:uiPriority w:val="0"/>
    <w:pPr>
      <w:snapToGrid w:val="0"/>
      <w:spacing w:line="480" w:lineRule="exact"/>
      <w:ind w:firstLine="0" w:firstLineChars="0"/>
    </w:pPr>
    <w:rPr>
      <w:rFonts w:ascii="Arial" w:hAnsi="Arial" w:cs="Arial"/>
      <w:sz w:val="21"/>
    </w:rPr>
  </w:style>
  <w:style w:type="paragraph" w:styleId="11">
    <w:name w:val="caption"/>
    <w:basedOn w:val="1"/>
    <w:next w:val="1"/>
    <w:autoRedefine/>
    <w:qFormat/>
    <w:uiPriority w:val="7"/>
    <w:rPr>
      <w:rFonts w:ascii="Arial" w:hAnsi="Arial" w:eastAsia="黑体" w:cs="Arial"/>
      <w:kern w:val="1"/>
      <w:sz w:val="20"/>
    </w:rPr>
  </w:style>
  <w:style w:type="paragraph" w:styleId="12">
    <w:name w:val="annotation text"/>
    <w:basedOn w:val="1"/>
    <w:link w:val="93"/>
    <w:autoRedefine/>
    <w:semiHidden/>
    <w:qFormat/>
    <w:uiPriority w:val="0"/>
    <w:pPr>
      <w:jc w:val="left"/>
    </w:pPr>
    <w:rPr>
      <w:kern w:val="0"/>
      <w:sz w:val="24"/>
      <w:szCs w:val="20"/>
    </w:rPr>
  </w:style>
  <w:style w:type="paragraph" w:styleId="13">
    <w:name w:val="Body Text 3"/>
    <w:basedOn w:val="1"/>
    <w:autoRedefine/>
    <w:qFormat/>
    <w:uiPriority w:val="0"/>
    <w:pPr>
      <w:spacing w:line="360" w:lineRule="auto"/>
    </w:pPr>
    <w:rPr>
      <w:rFonts w:ascii="Times New Roman" w:hAnsi="Times New Roman"/>
      <w:color w:val="FF0000"/>
      <w:kern w:val="0"/>
      <w:sz w:val="20"/>
      <w:szCs w:val="24"/>
    </w:rPr>
  </w:style>
  <w:style w:type="paragraph" w:styleId="14">
    <w:name w:val="Body Text"/>
    <w:basedOn w:val="1"/>
    <w:next w:val="15"/>
    <w:autoRedefine/>
    <w:qFormat/>
    <w:uiPriority w:val="0"/>
    <w:pPr>
      <w:widowControl/>
      <w:snapToGrid w:val="0"/>
      <w:spacing w:before="60" w:after="160" w:line="259" w:lineRule="auto"/>
      <w:ind w:right="113"/>
    </w:pPr>
    <w:rPr>
      <w:kern w:val="0"/>
      <w:sz w:val="18"/>
      <w:szCs w:val="20"/>
    </w:rPr>
  </w:style>
  <w:style w:type="paragraph" w:customStyle="1" w:styleId="15">
    <w:name w:val="xl27"/>
    <w:basedOn w:val="1"/>
    <w:next w:val="1"/>
    <w:autoRedefine/>
    <w:qFormat/>
    <w:uiPriority w:val="0"/>
    <w:pPr>
      <w:widowControl/>
      <w:pBdr>
        <w:left w:val="single" w:color="auto" w:sz="12" w:space="0"/>
        <w:bottom w:val="single" w:color="auto" w:sz="12" w:space="0"/>
      </w:pBdr>
      <w:snapToGrid/>
      <w:spacing w:before="100" w:beforeAutospacing="1" w:after="100" w:afterAutospacing="1" w:line="240" w:lineRule="auto"/>
    </w:pPr>
    <w:rPr>
      <w:rFonts w:ascii="Arial Unicode MS" w:hAnsi="Arial Unicode MS" w:eastAsia="宋体" w:cs="Times New Roman"/>
      <w:kern w:val="0"/>
      <w:sz w:val="21"/>
      <w:szCs w:val="24"/>
    </w:rPr>
  </w:style>
  <w:style w:type="paragraph" w:styleId="16">
    <w:name w:val="Block Text"/>
    <w:basedOn w:val="1"/>
    <w:autoRedefine/>
    <w:unhideWhenUsed/>
    <w:qFormat/>
    <w:uiPriority w:val="0"/>
    <w:pPr>
      <w:adjustRightInd w:val="0"/>
      <w:snapToGrid w:val="0"/>
      <w:spacing w:line="500" w:lineRule="exact"/>
      <w:ind w:left="147" w:leftChars="70" w:right="160" w:rightChars="76" w:firstLine="480" w:firstLineChars="200"/>
    </w:pPr>
    <w:rPr>
      <w:rFonts w:ascii="宋体" w:hAnsi="宋体"/>
      <w:sz w:val="24"/>
    </w:rPr>
  </w:style>
  <w:style w:type="paragraph" w:styleId="17">
    <w:name w:val="Plain Text"/>
    <w:basedOn w:val="1"/>
    <w:autoRedefine/>
    <w:qFormat/>
    <w:uiPriority w:val="0"/>
    <w:pPr>
      <w:adjustRightInd w:val="0"/>
      <w:spacing w:before="120" w:line="400" w:lineRule="exact"/>
      <w:textAlignment w:val="baseline"/>
    </w:pPr>
    <w:rPr>
      <w:rFonts w:ascii="宋体" w:hAnsi="Courier New"/>
      <w:spacing w:val="-2"/>
      <w:kern w:val="28"/>
      <w:szCs w:val="20"/>
    </w:rPr>
  </w:style>
  <w:style w:type="paragraph" w:styleId="18">
    <w:name w:val="Date"/>
    <w:basedOn w:val="1"/>
    <w:next w:val="1"/>
    <w:link w:val="49"/>
    <w:autoRedefine/>
    <w:qFormat/>
    <w:uiPriority w:val="0"/>
    <w:pPr>
      <w:ind w:left="100" w:leftChars="2500"/>
    </w:pPr>
    <w:rPr>
      <w:kern w:val="0"/>
      <w:sz w:val="24"/>
      <w:szCs w:val="20"/>
    </w:rPr>
  </w:style>
  <w:style w:type="paragraph" w:styleId="19">
    <w:name w:val="Body Text Indent 2"/>
    <w:basedOn w:val="1"/>
    <w:autoRedefine/>
    <w:qFormat/>
    <w:uiPriority w:val="0"/>
    <w:pPr>
      <w:spacing w:before="15" w:line="480" w:lineRule="exact"/>
      <w:ind w:firstLine="496" w:firstLineChars="200"/>
    </w:pPr>
    <w:rPr>
      <w:rFonts w:ascii="宋体" w:hAnsi="宋体"/>
      <w:spacing w:val="4"/>
      <w:sz w:val="24"/>
    </w:rPr>
  </w:style>
  <w:style w:type="paragraph" w:styleId="20">
    <w:name w:val="Balloon Text"/>
    <w:basedOn w:val="1"/>
    <w:link w:val="50"/>
    <w:autoRedefine/>
    <w:semiHidden/>
    <w:qFormat/>
    <w:uiPriority w:val="0"/>
    <w:rPr>
      <w:kern w:val="0"/>
      <w:sz w:val="18"/>
      <w:szCs w:val="20"/>
    </w:rPr>
  </w:style>
  <w:style w:type="paragraph" w:styleId="21">
    <w:name w:val="footer"/>
    <w:basedOn w:val="1"/>
    <w:link w:val="51"/>
    <w:autoRedefine/>
    <w:qFormat/>
    <w:uiPriority w:val="99"/>
    <w:pPr>
      <w:tabs>
        <w:tab w:val="center" w:pos="4153"/>
        <w:tab w:val="right" w:pos="8306"/>
      </w:tabs>
      <w:snapToGrid w:val="0"/>
      <w:jc w:val="left"/>
    </w:pPr>
    <w:rPr>
      <w:kern w:val="0"/>
      <w:sz w:val="18"/>
      <w:szCs w:val="20"/>
    </w:rPr>
  </w:style>
  <w:style w:type="paragraph" w:styleId="22">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index heading"/>
    <w:basedOn w:val="1"/>
    <w:next w:val="24"/>
    <w:autoRedefine/>
    <w:semiHidden/>
    <w:qFormat/>
    <w:uiPriority w:val="0"/>
    <w:rPr>
      <w:rFonts w:ascii="Arial" w:hAnsi="Arial" w:cs="Arial"/>
      <w:b/>
      <w:bCs/>
    </w:rPr>
  </w:style>
  <w:style w:type="paragraph" w:styleId="24">
    <w:name w:val="index 1"/>
    <w:basedOn w:val="1"/>
    <w:next w:val="1"/>
    <w:autoRedefine/>
    <w:qFormat/>
    <w:uiPriority w:val="0"/>
    <w:pPr>
      <w:spacing w:line="500" w:lineRule="exact"/>
      <w:jc w:val="center"/>
    </w:pPr>
    <w:rPr>
      <w:rFonts w:eastAsia="仿宋_GB2312"/>
      <w:sz w:val="24"/>
      <w:szCs w:val="20"/>
    </w:rPr>
  </w:style>
  <w:style w:type="paragraph" w:styleId="25">
    <w:name w:val="Subtitle"/>
    <w:basedOn w:val="1"/>
    <w:next w:val="1"/>
    <w:link w:val="53"/>
    <w:autoRedefine/>
    <w:qFormat/>
    <w:uiPriority w:val="0"/>
    <w:pPr>
      <w:keepNext/>
      <w:keepLines/>
      <w:snapToGrid w:val="0"/>
      <w:spacing w:line="480" w:lineRule="exact"/>
      <w:ind w:firstLine="482" w:firstLineChars="200"/>
    </w:pPr>
    <w:rPr>
      <w:b/>
      <w:kern w:val="0"/>
      <w:sz w:val="24"/>
      <w:szCs w:val="20"/>
    </w:rPr>
  </w:style>
  <w:style w:type="paragraph" w:styleId="26">
    <w:name w:val="table of figures"/>
    <w:basedOn w:val="1"/>
    <w:next w:val="1"/>
    <w:autoRedefine/>
    <w:qFormat/>
    <w:uiPriority w:val="0"/>
    <w:pPr>
      <w:ind w:left="840" w:leftChars="200" w:hanging="420" w:hangingChars="200"/>
    </w:pPr>
    <w:rPr>
      <w:szCs w:val="20"/>
    </w:rPr>
  </w:style>
  <w:style w:type="paragraph" w:styleId="27">
    <w:name w:val="toc 9"/>
    <w:basedOn w:val="1"/>
    <w:next w:val="1"/>
    <w:autoRedefine/>
    <w:qFormat/>
    <w:uiPriority w:val="99"/>
    <w:pPr>
      <w:ind w:left="3360" w:leftChars="1600"/>
    </w:pPr>
  </w:style>
  <w:style w:type="paragraph" w:styleId="28">
    <w:name w:val="Body Text 2"/>
    <w:basedOn w:val="1"/>
    <w:next w:val="1"/>
    <w:autoRedefine/>
    <w:qFormat/>
    <w:uiPriority w:val="0"/>
    <w:pPr>
      <w:spacing w:after="120" w:afterLines="0" w:line="480" w:lineRule="auto"/>
    </w:pPr>
  </w:style>
  <w:style w:type="paragraph" w:styleId="29">
    <w:name w:val="Normal (Web)"/>
    <w:basedOn w:val="1"/>
    <w:link w:val="54"/>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55"/>
    <w:autoRedefine/>
    <w:semiHidden/>
    <w:qFormat/>
    <w:uiPriority w:val="0"/>
    <w:rPr>
      <w:b/>
      <w:kern w:val="2"/>
    </w:rPr>
  </w:style>
  <w:style w:type="table" w:styleId="32">
    <w:name w:val="Table Grid"/>
    <w:basedOn w:val="31"/>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autoRedefine/>
    <w:qFormat/>
    <w:uiPriority w:val="0"/>
  </w:style>
  <w:style w:type="character" w:styleId="35">
    <w:name w:val="Emphasis"/>
    <w:basedOn w:val="33"/>
    <w:autoRedefine/>
    <w:qFormat/>
    <w:uiPriority w:val="0"/>
    <w:rPr>
      <w:i/>
    </w:rPr>
  </w:style>
  <w:style w:type="character" w:styleId="36">
    <w:name w:val="Hyperlink"/>
    <w:basedOn w:val="33"/>
    <w:autoRedefine/>
    <w:qFormat/>
    <w:uiPriority w:val="99"/>
    <w:rPr>
      <w:color w:val="0000FF"/>
      <w:u w:val="single"/>
    </w:rPr>
  </w:style>
  <w:style w:type="character" w:styleId="37">
    <w:name w:val="annotation reference"/>
    <w:autoRedefine/>
    <w:semiHidden/>
    <w:qFormat/>
    <w:uiPriority w:val="0"/>
    <w:rPr>
      <w:sz w:val="21"/>
    </w:rPr>
  </w:style>
  <w:style w:type="paragraph" w:customStyle="1" w:styleId="38">
    <w:name w:val="Default"/>
    <w:basedOn w:val="39"/>
    <w:next w:val="2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
    <w:name w:val="文本"/>
    <w:basedOn w:val="1"/>
    <w:next w:val="1"/>
    <w:autoRedefine/>
    <w:qFormat/>
    <w:uiPriority w:val="0"/>
    <w:pPr>
      <w:autoSpaceDE w:val="0"/>
      <w:autoSpaceDN w:val="0"/>
      <w:ind w:firstLine="480"/>
    </w:pPr>
    <w:rPr>
      <w:szCs w:val="24"/>
      <w:lang w:val="zh-CN"/>
    </w:rPr>
  </w:style>
  <w:style w:type="paragraph" w:customStyle="1" w:styleId="40">
    <w:name w:val="常规"/>
    <w:basedOn w:val="1"/>
    <w:autoRedefine/>
    <w:qFormat/>
    <w:uiPriority w:val="0"/>
    <w:pPr>
      <w:ind w:firstLine="200" w:firstLineChars="200"/>
      <w:jc w:val="left"/>
    </w:pPr>
    <w:rPr>
      <w:rFonts w:ascii="Arial" w:hAnsi="Arial" w:eastAsia="Arial"/>
      <w:color w:val="000000"/>
      <w:kern w:val="0"/>
      <w:sz w:val="20"/>
      <w:lang w:val="zh-CN"/>
    </w:rPr>
  </w:style>
  <w:style w:type="paragraph" w:customStyle="1" w:styleId="41">
    <w:name w:val="正文首行缩进2个字 Char"/>
    <w:basedOn w:val="1"/>
    <w:autoRedefine/>
    <w:qFormat/>
    <w:uiPriority w:val="0"/>
    <w:pPr>
      <w:ind w:firstLine="480" w:firstLineChars="200"/>
    </w:pPr>
    <w:rPr>
      <w:rFonts w:eastAsia="楷体"/>
      <w:sz w:val="24"/>
    </w:rPr>
  </w:style>
  <w:style w:type="paragraph" w:styleId="42">
    <w:name w:val="List Paragraph"/>
    <w:basedOn w:val="1"/>
    <w:autoRedefine/>
    <w:qFormat/>
    <w:uiPriority w:val="1"/>
    <w:pPr>
      <w:ind w:firstLine="420"/>
    </w:pPr>
    <w:rPr>
      <w:rFonts w:ascii="Calibri" w:hAnsi="Calibri"/>
    </w:rPr>
  </w:style>
  <w:style w:type="paragraph" w:customStyle="1" w:styleId="43">
    <w:name w:val="A正文"/>
    <w:basedOn w:val="1"/>
    <w:autoRedefine/>
    <w:qFormat/>
    <w:uiPriority w:val="0"/>
    <w:pPr>
      <w:spacing w:line="360" w:lineRule="auto"/>
      <w:ind w:firstLine="480" w:firstLineChars="200"/>
    </w:pPr>
    <w:rPr>
      <w:kern w:val="0"/>
      <w:sz w:val="24"/>
    </w:rPr>
  </w:style>
  <w:style w:type="paragraph" w:customStyle="1" w:styleId="44">
    <w:name w:val="样式1"/>
    <w:basedOn w:val="23"/>
    <w:next w:val="16"/>
    <w:autoRedefine/>
    <w:qFormat/>
    <w:uiPriority w:val="0"/>
    <w:pPr>
      <w:spacing w:line="360" w:lineRule="auto"/>
      <w:jc w:val="center"/>
    </w:pPr>
    <w:rPr>
      <w:rFonts w:ascii="宋体"/>
      <w:b w:val="0"/>
      <w:bCs w:val="0"/>
      <w:color w:val="000000"/>
      <w:szCs w:val="20"/>
    </w:rPr>
  </w:style>
  <w:style w:type="paragraph" w:customStyle="1" w:styleId="45">
    <w:name w:val="样式35"/>
    <w:basedOn w:val="1"/>
    <w:autoRedefine/>
    <w:qFormat/>
    <w:uiPriority w:val="0"/>
    <w:pPr>
      <w:adjustRightInd w:val="0"/>
      <w:spacing w:line="312" w:lineRule="auto"/>
      <w:ind w:firstLine="567"/>
    </w:pPr>
    <w:rPr>
      <w:rFonts w:ascii="宋体"/>
      <w:kern w:val="0"/>
      <w:sz w:val="28"/>
      <w:szCs w:val="20"/>
    </w:rPr>
  </w:style>
  <w:style w:type="paragraph" w:customStyle="1" w:styleId="46">
    <w:name w:val="标题2"/>
    <w:basedOn w:val="1"/>
    <w:next w:val="1"/>
    <w:autoRedefine/>
    <w:qFormat/>
    <w:uiPriority w:val="99"/>
    <w:pPr>
      <w:spacing w:line="360" w:lineRule="auto"/>
      <w:ind w:firstLine="0" w:firstLineChars="0"/>
      <w:jc w:val="left"/>
    </w:pPr>
    <w:rPr>
      <w:rFonts w:ascii="Times New Roman" w:hAnsi="Times New Roman" w:eastAsia="宋体"/>
      <w:b/>
      <w:sz w:val="28"/>
    </w:rPr>
  </w:style>
  <w:style w:type="character" w:customStyle="1" w:styleId="47">
    <w:name w:val="批注文字 Char"/>
    <w:link w:val="12"/>
    <w:autoRedefine/>
    <w:qFormat/>
    <w:uiPriority w:val="0"/>
    <w:rPr>
      <w:rFonts w:ascii="Times New Roman" w:hAnsi="Times New Roman" w:eastAsia="宋体"/>
      <w:sz w:val="24"/>
    </w:rPr>
  </w:style>
  <w:style w:type="character" w:customStyle="1" w:styleId="48">
    <w:name w:val="正文文本缩进 Char"/>
    <w:link w:val="9"/>
    <w:autoRedefine/>
    <w:semiHidden/>
    <w:qFormat/>
    <w:uiPriority w:val="0"/>
    <w:rPr>
      <w:rFonts w:ascii="Times New Roman" w:hAnsi="Times New Roman" w:eastAsia="宋体"/>
      <w:sz w:val="24"/>
    </w:rPr>
  </w:style>
  <w:style w:type="character" w:customStyle="1" w:styleId="49">
    <w:name w:val="日期 Char"/>
    <w:link w:val="18"/>
    <w:autoRedefine/>
    <w:qFormat/>
    <w:uiPriority w:val="0"/>
    <w:rPr>
      <w:rFonts w:ascii="Times New Roman" w:hAnsi="Times New Roman" w:eastAsia="宋体"/>
      <w:sz w:val="24"/>
    </w:rPr>
  </w:style>
  <w:style w:type="character" w:customStyle="1" w:styleId="50">
    <w:name w:val="批注框文本 Char"/>
    <w:link w:val="20"/>
    <w:autoRedefine/>
    <w:semiHidden/>
    <w:qFormat/>
    <w:uiPriority w:val="0"/>
    <w:rPr>
      <w:rFonts w:ascii="Times New Roman" w:hAnsi="Times New Roman" w:eastAsia="宋体"/>
      <w:sz w:val="18"/>
    </w:rPr>
  </w:style>
  <w:style w:type="character" w:customStyle="1" w:styleId="51">
    <w:name w:val="页脚 Char"/>
    <w:link w:val="21"/>
    <w:autoRedefine/>
    <w:qFormat/>
    <w:uiPriority w:val="99"/>
    <w:rPr>
      <w:sz w:val="18"/>
    </w:rPr>
  </w:style>
  <w:style w:type="character" w:customStyle="1" w:styleId="52">
    <w:name w:val="页眉 Char"/>
    <w:link w:val="22"/>
    <w:autoRedefine/>
    <w:qFormat/>
    <w:uiPriority w:val="0"/>
    <w:rPr>
      <w:sz w:val="18"/>
    </w:rPr>
  </w:style>
  <w:style w:type="character" w:customStyle="1" w:styleId="53">
    <w:name w:val="副标题 Char"/>
    <w:link w:val="25"/>
    <w:autoRedefine/>
    <w:qFormat/>
    <w:uiPriority w:val="0"/>
    <w:rPr>
      <w:b/>
      <w:sz w:val="24"/>
    </w:rPr>
  </w:style>
  <w:style w:type="character" w:customStyle="1" w:styleId="54">
    <w:name w:val="普通(网站) Char"/>
    <w:link w:val="29"/>
    <w:autoRedefine/>
    <w:qFormat/>
    <w:uiPriority w:val="0"/>
    <w:rPr>
      <w:rFonts w:ascii="宋体" w:hAnsi="宋体" w:eastAsia="宋体"/>
      <w:sz w:val="24"/>
    </w:rPr>
  </w:style>
  <w:style w:type="character" w:customStyle="1" w:styleId="55">
    <w:name w:val="批注主题 Char"/>
    <w:link w:val="30"/>
    <w:autoRedefine/>
    <w:semiHidden/>
    <w:qFormat/>
    <w:uiPriority w:val="0"/>
    <w:rPr>
      <w:rFonts w:ascii="Times New Roman" w:hAnsi="Times New Roman" w:eastAsia="宋体"/>
      <w:b/>
      <w:kern w:val="2"/>
      <w:sz w:val="24"/>
    </w:rPr>
  </w:style>
  <w:style w:type="character" w:customStyle="1" w:styleId="56">
    <w:name w:val="批注文字 字符1"/>
    <w:autoRedefine/>
    <w:semiHidden/>
    <w:qFormat/>
    <w:uiPriority w:val="0"/>
    <w:rPr>
      <w:rFonts w:ascii="Times New Roman" w:hAnsi="Times New Roman" w:eastAsia="宋体"/>
      <w:sz w:val="24"/>
    </w:rPr>
  </w:style>
  <w:style w:type="character" w:customStyle="1" w:styleId="57">
    <w:name w:val="页脚 字符"/>
    <w:basedOn w:val="33"/>
    <w:autoRedefine/>
    <w:qFormat/>
    <w:uiPriority w:val="99"/>
  </w:style>
  <w:style w:type="character" w:customStyle="1" w:styleId="58">
    <w:name w:val="日期 字符"/>
    <w:autoRedefine/>
    <w:semiHidden/>
    <w:qFormat/>
    <w:uiPriority w:val="0"/>
    <w:rPr>
      <w:rFonts w:ascii="Times New Roman" w:hAnsi="Times New Roman" w:eastAsia="宋体"/>
      <w:sz w:val="24"/>
    </w:rPr>
  </w:style>
  <w:style w:type="character" w:customStyle="1" w:styleId="59">
    <w:name w:val="表格 Char"/>
    <w:link w:val="60"/>
    <w:autoRedefine/>
    <w:qFormat/>
    <w:uiPriority w:val="0"/>
    <w:rPr>
      <w:rFonts w:ascii="宋体"/>
      <w:sz w:val="21"/>
    </w:rPr>
  </w:style>
  <w:style w:type="paragraph" w:customStyle="1" w:styleId="60">
    <w:name w:val="表格"/>
    <w:basedOn w:val="29"/>
    <w:next w:val="1"/>
    <w:link w:val="59"/>
    <w:autoRedefine/>
    <w:qFormat/>
    <w:uiPriority w:val="0"/>
    <w:pPr>
      <w:adjustRightInd w:val="0"/>
      <w:snapToGrid w:val="0"/>
      <w:spacing w:beforeLines="10" w:afterLines="10" w:line="259" w:lineRule="auto"/>
      <w:jc w:val="center"/>
    </w:pPr>
    <w:rPr>
      <w:rFonts w:ascii="宋体"/>
      <w:kern w:val="0"/>
      <w:szCs w:val="20"/>
    </w:rPr>
  </w:style>
  <w:style w:type="character" w:customStyle="1" w:styleId="61">
    <w:name w:val="正文文本 字符1"/>
    <w:autoRedefine/>
    <w:semiHidden/>
    <w:qFormat/>
    <w:uiPriority w:val="0"/>
    <w:rPr>
      <w:rFonts w:ascii="Times New Roman" w:hAnsi="Times New Roman" w:eastAsia="宋体"/>
      <w:sz w:val="24"/>
    </w:rPr>
  </w:style>
  <w:style w:type="paragraph" w:customStyle="1" w:styleId="62">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3">
    <w:name w:val="小四表文左齐"/>
    <w:basedOn w:val="1"/>
    <w:autoRedefine/>
    <w:qFormat/>
    <w:uiPriority w:val="0"/>
    <w:pPr>
      <w:jc w:val="center"/>
    </w:pPr>
    <w:rPr>
      <w:spacing w:val="0"/>
    </w:rPr>
  </w:style>
  <w:style w:type="paragraph" w:customStyle="1" w:styleId="64">
    <w:name w:val="_Style 40"/>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表头"/>
    <w:basedOn w:val="67"/>
    <w:next w:val="1"/>
    <w:autoRedefine/>
    <w:qFormat/>
    <w:uiPriority w:val="0"/>
    <w:pPr>
      <w:adjustRightInd w:val="0"/>
      <w:spacing w:line="400" w:lineRule="exact"/>
      <w:jc w:val="center"/>
    </w:pPr>
    <w:rPr>
      <w:rFonts w:ascii="Calibri" w:hAnsi="Calibri" w:eastAsia="宋体" w:cs="Times New Roman"/>
      <w:b/>
      <w:spacing w:val="-10"/>
      <w:sz w:val="24"/>
      <w:szCs w:val="22"/>
    </w:rPr>
  </w:style>
  <w:style w:type="paragraph" w:customStyle="1" w:styleId="67">
    <w:name w:val="图表"/>
    <w:basedOn w:val="1"/>
    <w:autoRedefine/>
    <w:qFormat/>
    <w:uiPriority w:val="0"/>
    <w:pPr>
      <w:adjustRightInd w:val="0"/>
      <w:snapToGrid w:val="0"/>
      <w:jc w:val="center"/>
    </w:pPr>
    <w:rPr>
      <w:rFonts w:ascii="Calibri" w:hAnsi="Calibri" w:eastAsia="宋体" w:cs="Times New Roman"/>
      <w:color w:val="000000"/>
      <w:szCs w:val="22"/>
    </w:rPr>
  </w:style>
  <w:style w:type="paragraph" w:customStyle="1" w:styleId="68">
    <w:name w:val="layer1"/>
    <w:basedOn w:val="1"/>
    <w:next w:val="7"/>
    <w:autoRedefine/>
    <w:qFormat/>
    <w:uiPriority w:val="0"/>
    <w:pPr>
      <w:tabs>
        <w:tab w:val="left" w:pos="425"/>
      </w:tabs>
      <w:snapToGrid/>
      <w:spacing w:before="240" w:after="240" w:line="300" w:lineRule="auto"/>
      <w:ind w:left="425" w:hanging="425"/>
      <w:jc w:val="both"/>
    </w:pPr>
    <w:rPr>
      <w:rFonts w:ascii="Times New Roman" w:hAnsi="Times New Roman" w:eastAsia="黑体" w:cs="Times New Roman"/>
      <w:b/>
      <w:sz w:val="44"/>
      <w:szCs w:val="20"/>
    </w:rPr>
  </w:style>
  <w:style w:type="paragraph" w:customStyle="1" w:styleId="69">
    <w:name w:val="1表格"/>
    <w:basedOn w:val="1"/>
    <w:autoRedefine/>
    <w:qFormat/>
    <w:uiPriority w:val="0"/>
    <w:pPr>
      <w:adjustRightInd w:val="0"/>
      <w:snapToGrid w:val="0"/>
      <w:jc w:val="center"/>
      <w:textAlignment w:val="baseline"/>
    </w:pPr>
    <w:rPr>
      <w:rFonts w:ascii="Calibri" w:hAnsi="Calibri" w:eastAsia="宋体" w:cs="宋体"/>
      <w:spacing w:val="4"/>
    </w:rPr>
  </w:style>
  <w:style w:type="paragraph" w:customStyle="1" w:styleId="70">
    <w:name w:val="05正文"/>
    <w:basedOn w:val="1"/>
    <w:autoRedefine/>
    <w:qFormat/>
    <w:uiPriority w:val="0"/>
    <w:pPr>
      <w:spacing w:line="360" w:lineRule="auto"/>
      <w:ind w:firstLine="200" w:firstLineChars="200"/>
    </w:pPr>
    <w:rPr>
      <w:rFonts w:ascii="宋体" w:hAnsi="宋体"/>
      <w:kern w:val="0"/>
      <w:sz w:val="24"/>
    </w:rPr>
  </w:style>
  <w:style w:type="paragraph" w:customStyle="1" w:styleId="71">
    <w:name w:val="Table Paragraph"/>
    <w:basedOn w:val="1"/>
    <w:autoRedefine/>
    <w:qFormat/>
    <w:uiPriority w:val="1"/>
    <w:pPr>
      <w:jc w:val="center"/>
    </w:pPr>
    <w:rPr>
      <w:rFonts w:ascii="Times New Roman" w:hAnsi="Times New Roman" w:eastAsia="Times New Roman" w:cs="Times New Roman"/>
      <w:lang w:val="zh-CN" w:eastAsia="zh-CN" w:bidi="zh-CN"/>
    </w:rPr>
  </w:style>
  <w:style w:type="paragraph" w:customStyle="1" w:styleId="72">
    <w:name w:val="表格内容"/>
    <w:basedOn w:val="7"/>
    <w:next w:val="1"/>
    <w:autoRedefine/>
    <w:qFormat/>
    <w:uiPriority w:val="0"/>
    <w:pPr>
      <w:jc w:val="center"/>
    </w:pPr>
    <w:rPr>
      <w:rFonts w:eastAsia="宋体"/>
      <w:szCs w:val="21"/>
    </w:rPr>
  </w:style>
  <w:style w:type="paragraph" w:customStyle="1" w:styleId="73">
    <w:name w:val="表格标题"/>
    <w:basedOn w:val="11"/>
    <w:next w:val="74"/>
    <w:autoRedefine/>
    <w:qFormat/>
    <w:uiPriority w:val="0"/>
    <w:pPr>
      <w:jc w:val="center"/>
    </w:pPr>
    <w:rPr>
      <w:b/>
      <w:kern w:val="0"/>
    </w:rPr>
  </w:style>
  <w:style w:type="paragraph" w:customStyle="1" w:styleId="74">
    <w:name w:val="11正文"/>
    <w:autoRedefine/>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75">
    <w:name w:val="表格样式"/>
    <w:basedOn w:val="1"/>
    <w:autoRedefine/>
    <w:qFormat/>
    <w:uiPriority w:val="0"/>
    <w:pPr>
      <w:jc w:val="center"/>
    </w:pPr>
    <w:rPr>
      <w:rFonts w:ascii="宋体" w:hAnsi="宋体"/>
      <w:szCs w:val="21"/>
    </w:rPr>
  </w:style>
  <w:style w:type="paragraph" w:customStyle="1" w:styleId="76">
    <w:name w:val="表格宋小四"/>
    <w:basedOn w:val="77"/>
    <w:autoRedefine/>
    <w:qFormat/>
    <w:uiPriority w:val="0"/>
    <w:pPr>
      <w:ind w:firstLine="0" w:firstLineChars="0"/>
    </w:pPr>
    <w:rPr>
      <w:rFonts w:ascii="Times New Roman" w:hAnsi="Times New Roman"/>
    </w:rPr>
  </w:style>
  <w:style w:type="paragraph" w:customStyle="1" w:styleId="77">
    <w:name w:val="正宋小四"/>
    <w:basedOn w:val="1"/>
    <w:autoRedefine/>
    <w:qFormat/>
    <w:uiPriority w:val="0"/>
    <w:pPr>
      <w:spacing w:line="360" w:lineRule="auto"/>
      <w:ind w:firstLine="1205" w:firstLineChars="200"/>
    </w:pPr>
  </w:style>
  <w:style w:type="paragraph" w:customStyle="1" w:styleId="78">
    <w:name w:val="表头22"/>
    <w:basedOn w:val="1"/>
    <w:autoRedefine/>
    <w:qFormat/>
    <w:uiPriority w:val="0"/>
    <w:pPr>
      <w:widowControl/>
      <w:jc w:val="center"/>
    </w:pPr>
    <w:rPr>
      <w:rFonts w:ascii="Times New Roman" w:hAnsi="Times New Roman" w:eastAsia="宋体" w:cs="Times New Roman"/>
      <w:b/>
      <w:kern w:val="0"/>
      <w:sz w:val="24"/>
      <w:szCs w:val="24"/>
    </w:rPr>
  </w:style>
  <w:style w:type="paragraph" w:customStyle="1" w:styleId="79">
    <w:name w:val="1正文段落"/>
    <w:basedOn w:val="1"/>
    <w:autoRedefine/>
    <w:qFormat/>
    <w:uiPriority w:val="0"/>
    <w:pPr>
      <w:spacing w:line="360" w:lineRule="auto"/>
      <w:ind w:firstLine="200" w:firstLineChars="200"/>
    </w:pPr>
    <w:rPr>
      <w:rFonts w:ascii="Times New Roman" w:hAnsi="Times New Roman" w:eastAsia="宋体"/>
      <w:snapToGrid w:val="0"/>
      <w:kern w:val="0"/>
      <w:sz w:val="24"/>
      <w:szCs w:val="21"/>
    </w:rPr>
  </w:style>
  <w:style w:type="paragraph" w:customStyle="1" w:styleId="80">
    <w:name w:val="报告表正文"/>
    <w:basedOn w:val="1"/>
    <w:autoRedefine/>
    <w:qFormat/>
    <w:uiPriority w:val="99"/>
    <w:pPr>
      <w:spacing w:line="360" w:lineRule="auto"/>
      <w:ind w:firstLine="200"/>
    </w:pPr>
    <w:rPr>
      <w:rFonts w:ascii="Calibri" w:hAnsi="Calibri"/>
      <w:kern w:val="0"/>
      <w:sz w:val="20"/>
      <w:szCs w:val="20"/>
      <w:lang w:val="zh-CN"/>
    </w:rPr>
  </w:style>
  <w:style w:type="paragraph" w:customStyle="1" w:styleId="81">
    <w:name w:val="A标准格式"/>
    <w:basedOn w:val="1"/>
    <w:autoRedefine/>
    <w:qFormat/>
    <w:uiPriority w:val="0"/>
    <w:pPr>
      <w:spacing w:line="440" w:lineRule="exact"/>
      <w:ind w:firstLine="480" w:firstLineChars="200"/>
    </w:pPr>
    <w:rPr>
      <w:sz w:val="24"/>
      <w:szCs w:val="22"/>
    </w:rPr>
  </w:style>
  <w:style w:type="paragraph" w:customStyle="1" w:styleId="82">
    <w:name w:val="表标题"/>
    <w:basedOn w:val="1"/>
    <w:autoRedefine/>
    <w:qFormat/>
    <w:uiPriority w:val="0"/>
    <w:pPr>
      <w:spacing w:line="500" w:lineRule="exact"/>
      <w:ind w:firstLine="0" w:firstLineChars="0"/>
      <w:jc w:val="center"/>
    </w:pPr>
    <w:rPr>
      <w:rFonts w:ascii="Times New Roman" w:hAnsi="Times New Roman" w:eastAsia="宋体"/>
      <w:b/>
    </w:rPr>
  </w:style>
  <w:style w:type="paragraph" w:customStyle="1" w:styleId="83">
    <w:name w:val="表 标题"/>
    <w:basedOn w:val="1"/>
    <w:autoRedefine/>
    <w:qFormat/>
    <w:uiPriority w:val="0"/>
    <w:pPr>
      <w:adjustRightInd w:val="0"/>
      <w:snapToGrid w:val="0"/>
      <w:spacing w:beforeLines="50" w:line="240" w:lineRule="auto"/>
      <w:jc w:val="center"/>
    </w:pPr>
    <w:rPr>
      <w:b/>
      <w:sz w:val="21"/>
      <w:szCs w:val="21"/>
    </w:rPr>
  </w:style>
  <w:style w:type="table" w:customStyle="1" w:styleId="84">
    <w:name w:val="Table Normal"/>
    <w:autoRedefine/>
    <w:unhideWhenUsed/>
    <w:qFormat/>
    <w:uiPriority w:val="0"/>
    <w:tblPr>
      <w:tblCellMar>
        <w:top w:w="0" w:type="dxa"/>
        <w:left w:w="0" w:type="dxa"/>
        <w:bottom w:w="0" w:type="dxa"/>
        <w:right w:w="0" w:type="dxa"/>
      </w:tblCellMar>
    </w:tblPr>
  </w:style>
  <w:style w:type="character" w:customStyle="1" w:styleId="85">
    <w:name w:val="font61"/>
    <w:basedOn w:val="33"/>
    <w:autoRedefine/>
    <w:qFormat/>
    <w:uiPriority w:val="0"/>
    <w:rPr>
      <w:rFonts w:hint="default" w:ascii="Times New Roman" w:hAnsi="Times New Roman" w:cs="Times New Roman"/>
      <w:color w:val="000000"/>
      <w:sz w:val="22"/>
      <w:szCs w:val="22"/>
      <w:u w:val="none"/>
    </w:rPr>
  </w:style>
  <w:style w:type="character" w:customStyle="1" w:styleId="86">
    <w:name w:val="font51"/>
    <w:basedOn w:val="33"/>
    <w:autoRedefine/>
    <w:qFormat/>
    <w:uiPriority w:val="0"/>
    <w:rPr>
      <w:rFonts w:hint="default" w:ascii="Times New Roman" w:hAnsi="Times New Roman" w:cs="Times New Roman"/>
      <w:color w:val="000000"/>
      <w:sz w:val="21"/>
      <w:szCs w:val="21"/>
      <w:u w:val="none"/>
    </w:rPr>
  </w:style>
  <w:style w:type="paragraph" w:customStyle="1" w:styleId="87">
    <w:name w:val="简单回函地址"/>
    <w:basedOn w:val="1"/>
    <w:autoRedefine/>
    <w:qFormat/>
    <w:uiPriority w:val="0"/>
    <w:rPr>
      <w:sz w:val="24"/>
    </w:rPr>
  </w:style>
  <w:style w:type="paragraph" w:customStyle="1" w:styleId="88">
    <w:name w:val="表格文字"/>
    <w:basedOn w:val="14"/>
    <w:next w:val="73"/>
    <w:autoRedefine/>
    <w:qFormat/>
    <w:uiPriority w:val="0"/>
    <w:pPr>
      <w:adjustRightInd/>
      <w:snapToGrid/>
      <w:spacing w:line="240" w:lineRule="auto"/>
      <w:ind w:firstLine="0" w:firstLineChars="0"/>
      <w:jc w:val="center"/>
    </w:pPr>
    <w:rPr>
      <w:rFonts w:ascii="仿宋_GB2312" w:hAnsi="Arial Black" w:eastAsia="仿宋_GB2312"/>
      <w:kern w:val="44"/>
      <w:szCs w:val="20"/>
    </w:rPr>
  </w:style>
  <w:style w:type="paragraph" w:customStyle="1" w:styleId="89">
    <w:name w:val="正文lcc2"/>
    <w:basedOn w:val="14"/>
    <w:autoRedefine/>
    <w:qFormat/>
    <w:uiPriority w:val="99"/>
    <w:pPr>
      <w:spacing w:after="0" w:line="360" w:lineRule="auto"/>
      <w:ind w:firstLine="200" w:firstLineChars="200"/>
    </w:pPr>
    <w:rPr>
      <w:rFonts w:ascii="Calibri" w:hAnsi="Calibri"/>
      <w:kern w:val="0"/>
      <w:sz w:val="24"/>
      <w:szCs w:val="22"/>
    </w:rPr>
  </w:style>
  <w:style w:type="paragraph" w:customStyle="1" w:styleId="90">
    <w:name w:val="列出段落1"/>
    <w:basedOn w:val="1"/>
    <w:autoRedefine/>
    <w:qFormat/>
    <w:uiPriority w:val="34"/>
    <w:pPr>
      <w:widowControl/>
      <w:ind w:firstLine="420" w:firstLineChars="200"/>
      <w:jc w:val="left"/>
    </w:pPr>
    <w:rPr>
      <w:kern w:val="0"/>
      <w:sz w:val="20"/>
      <w:szCs w:val="20"/>
    </w:rPr>
  </w:style>
  <w:style w:type="paragraph" w:customStyle="1" w:styleId="91">
    <w:name w:val="Normal_0"/>
    <w:basedOn w:val="1"/>
    <w:autoRedefine/>
    <w:qFormat/>
    <w:uiPriority w:val="0"/>
    <w:pPr>
      <w:widowControl/>
      <w:spacing w:before="0" w:beforeAutospacing="0" w:after="0" w:afterAutospacing="0"/>
      <w:ind w:left="0" w:right="0"/>
      <w:jc w:val="left"/>
    </w:pPr>
    <w:rPr>
      <w:rFonts w:hint="default" w:ascii="Times New Roman" w:hAnsi="Times New Roman" w:eastAsia="宋体" w:cs="Times New Roman"/>
      <w:color w:val="auto"/>
      <w:kern w:val="0"/>
      <w:sz w:val="24"/>
      <w:szCs w:val="24"/>
      <w:lang w:val="en-US" w:eastAsia="zh-CN" w:bidi="ar"/>
    </w:rPr>
  </w:style>
  <w:style w:type="paragraph" w:customStyle="1" w:styleId="92">
    <w:name w:val="表格内容自定"/>
    <w:basedOn w:val="1"/>
    <w:autoRedefine/>
    <w:qFormat/>
    <w:uiPriority w:val="0"/>
    <w:pPr>
      <w:spacing w:line="280" w:lineRule="exact"/>
      <w:jc w:val="center"/>
    </w:pPr>
    <w:rPr>
      <w:kern w:val="0"/>
      <w:sz w:val="18"/>
      <w:szCs w:val="21"/>
    </w:rPr>
  </w:style>
  <w:style w:type="character" w:customStyle="1" w:styleId="93">
    <w:name w:val="批注文字 字符"/>
    <w:basedOn w:val="33"/>
    <w:link w:val="12"/>
    <w:autoRedefine/>
    <w:qFormat/>
    <w:uiPriority w:val="0"/>
    <w:rPr>
      <w:kern w:val="0"/>
      <w:sz w:val="24"/>
      <w:szCs w:val="20"/>
    </w:rPr>
  </w:style>
  <w:style w:type="paragraph" w:customStyle="1" w:styleId="94">
    <w:name w:val="Normal_144"/>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5">
    <w:name w:val="No Spacing"/>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color w:val="auto"/>
      <w:kern w:val="2"/>
      <w:sz w:val="21"/>
      <w:szCs w:val="21"/>
      <w:lang w:val="en-US" w:eastAsia="zh-CN" w:bidi="ar"/>
    </w:rPr>
  </w:style>
  <w:style w:type="paragraph" w:customStyle="1" w:styleId="96">
    <w:name w:val="表格正文"/>
    <w:basedOn w:val="7"/>
    <w:next w:val="1"/>
    <w:autoRedefine/>
    <w:qFormat/>
    <w:uiPriority w:val="0"/>
    <w:pPr>
      <w:spacing w:line="300" w:lineRule="exact"/>
      <w:jc w:val="center"/>
    </w:pPr>
    <w:rPr>
      <w:rFonts w:cs="宋体"/>
      <w:sz w:val="21"/>
      <w:szCs w:val="20"/>
    </w:rPr>
  </w:style>
  <w:style w:type="paragraph" w:customStyle="1" w:styleId="97">
    <w:name w:val="11正文-书"/>
    <w:autoRedefine/>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98">
    <w:name w:val="CH正文"/>
    <w:basedOn w:val="1"/>
    <w:autoRedefine/>
    <w:qFormat/>
    <w:uiPriority w:val="0"/>
    <w:pPr>
      <w:spacing w:line="360" w:lineRule="auto"/>
      <w:ind w:firstLine="720" w:firstLineChars="200"/>
    </w:pPr>
    <w:rPr>
      <w:rFonts w:ascii="Times New Roman" w:hAnsi="Times New Roman" w:eastAsia="宋体" w:cs="Times New Roman"/>
      <w:sz w:val="24"/>
    </w:rPr>
  </w:style>
  <w:style w:type="character" w:customStyle="1" w:styleId="99">
    <w:name w:val="font11"/>
    <w:basedOn w:val="33"/>
    <w:autoRedefine/>
    <w:qFormat/>
    <w:uiPriority w:val="0"/>
    <w:rPr>
      <w:rFonts w:hint="eastAsia" w:ascii="宋体" w:hAnsi="宋体" w:eastAsia="宋体" w:cs="宋体"/>
      <w:b/>
      <w:bCs/>
      <w:color w:val="000000"/>
      <w:sz w:val="21"/>
      <w:szCs w:val="21"/>
      <w:u w:val="none"/>
    </w:rPr>
  </w:style>
  <w:style w:type="character" w:customStyle="1" w:styleId="100">
    <w:name w:val="font21"/>
    <w:basedOn w:val="33"/>
    <w:autoRedefine/>
    <w:qFormat/>
    <w:uiPriority w:val="0"/>
    <w:rPr>
      <w:rFonts w:hint="eastAsia" w:ascii="宋体" w:hAnsi="宋体" w:eastAsia="宋体" w:cs="宋体"/>
      <w:color w:val="000000"/>
      <w:sz w:val="21"/>
      <w:szCs w:val="21"/>
      <w:u w:val="none"/>
    </w:rPr>
  </w:style>
  <w:style w:type="character" w:customStyle="1" w:styleId="101">
    <w:name w:val="font31"/>
    <w:basedOn w:val="33"/>
    <w:autoRedefine/>
    <w:qFormat/>
    <w:uiPriority w:val="0"/>
    <w:rPr>
      <w:rFonts w:hint="default" w:ascii="Times New Roman" w:hAnsi="Times New Roman" w:cs="Times New Roman"/>
      <w:color w:val="000000"/>
      <w:sz w:val="21"/>
      <w:szCs w:val="21"/>
      <w:u w:val="none"/>
    </w:rPr>
  </w:style>
  <w:style w:type="character" w:customStyle="1" w:styleId="102">
    <w:name w:val="font41"/>
    <w:basedOn w:val="33"/>
    <w:autoRedefine/>
    <w:qFormat/>
    <w:uiPriority w:val="0"/>
    <w:rPr>
      <w:rFonts w:hint="default" w:ascii="Times New Roman" w:hAnsi="Times New Roman" w:cs="Times New Roman"/>
      <w:b/>
      <w:bCs/>
      <w:color w:val="0000FF"/>
      <w:sz w:val="21"/>
      <w:szCs w:val="21"/>
      <w:u w:val="none"/>
    </w:rPr>
  </w:style>
  <w:style w:type="paragraph" w:customStyle="1" w:styleId="103">
    <w:name w:val="表格内部"/>
    <w:basedOn w:val="1"/>
    <w:autoRedefine/>
    <w:qFormat/>
    <w:uiPriority w:val="0"/>
    <w:pPr>
      <w:keepNext w:val="0"/>
      <w:keepLines w:val="0"/>
      <w:widowControl w:val="0"/>
      <w:suppressLineNumbers w:val="0"/>
      <w:spacing w:before="0" w:beforeAutospacing="0" w:after="0" w:afterAutospacing="0"/>
      <w:ind w:left="0" w:right="0" w:firstLine="0" w:firstLineChars="0"/>
      <w:jc w:val="center"/>
    </w:pPr>
    <w:rPr>
      <w:rFonts w:hint="default" w:ascii="等线" w:hAnsi="等线" w:eastAsia="等线" w:cs="等线"/>
      <w:color w:val="000000"/>
      <w:kern w:val="24"/>
      <w:sz w:val="21"/>
      <w:szCs w:val="21"/>
      <w:lang w:val="en-US" w:eastAsia="zh-CN" w:bidi="ar"/>
    </w:rPr>
  </w:style>
  <w:style w:type="paragraph" w:customStyle="1" w:styleId="104">
    <w:name w:val="正本文字"/>
    <w:basedOn w:val="1"/>
    <w:autoRedefine/>
    <w:qFormat/>
    <w:uiPriority w:val="99"/>
    <w:pPr>
      <w:adjustRightInd w:val="0"/>
      <w:snapToGrid w:val="0"/>
      <w:ind w:firstLine="480"/>
      <w:jc w:val="left"/>
    </w:pPr>
    <w:rPr>
      <w:kern w:val="18"/>
    </w:rPr>
  </w:style>
  <w:style w:type="paragraph" w:customStyle="1" w:styleId="105">
    <w:name w:val="yt表内"/>
    <w:basedOn w:val="106"/>
    <w:next w:val="106"/>
    <w:autoRedefine/>
    <w:qFormat/>
    <w:uiPriority w:val="0"/>
    <w:pPr>
      <w:spacing w:line="240" w:lineRule="atLeast"/>
      <w:ind w:firstLine="0" w:firstLineChars="0"/>
      <w:jc w:val="center"/>
    </w:pPr>
    <w:rPr>
      <w:sz w:val="21"/>
      <w:szCs w:val="21"/>
    </w:rPr>
  </w:style>
  <w:style w:type="paragraph" w:customStyle="1" w:styleId="106">
    <w:name w:val="yt正文"/>
    <w:basedOn w:val="7"/>
    <w:next w:val="19"/>
    <w:autoRedefine/>
    <w:qFormat/>
    <w:uiPriority w:val="0"/>
    <w:pPr>
      <w:spacing w:line="360" w:lineRule="auto"/>
      <w:ind w:firstLine="200"/>
    </w:pPr>
    <w:rPr>
      <w:rFonts w:ascii="Times New Roman" w:hAnsi="Times New Roman" w:eastAsia="宋体"/>
      <w:sz w:val="24"/>
    </w:rPr>
  </w:style>
  <w:style w:type="paragraph" w:customStyle="1" w:styleId="107">
    <w:name w:val="5文章(治)"/>
    <w:basedOn w:val="1"/>
    <w:autoRedefine/>
    <w:qFormat/>
    <w:uiPriority w:val="0"/>
    <w:pPr>
      <w:spacing w:line="360" w:lineRule="auto"/>
      <w:ind w:firstLine="560" w:firstLineChars="200"/>
    </w:pPr>
    <w:rPr>
      <w:color w:val="000000"/>
      <w:sz w:val="24"/>
      <w:szCs w:val="20"/>
    </w:rPr>
  </w:style>
  <w:style w:type="paragraph" w:customStyle="1" w:styleId="108">
    <w:name w:val="报告"/>
    <w:basedOn w:val="1"/>
    <w:autoRedefine/>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109">
    <w:name w:val="正文_19"/>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0">
    <w:name w:val="正文_2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1">
    <w:name w:val="正文_28"/>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2">
    <w:name w:val="正文_27"/>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3">
    <w:name w:val="正文_29"/>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4">
    <w:name w:val="正文_3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5">
    <w:name w:val="正文_7"/>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6">
    <w:name w:val="正文_37"/>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117">
    <w:name w:val="标号正文"/>
    <w:basedOn w:val="1"/>
    <w:next w:val="1"/>
    <w:autoRedefine/>
    <w:qFormat/>
    <w:uiPriority w:val="99"/>
    <w:pPr>
      <w:tabs>
        <w:tab w:val="left" w:pos="1540"/>
      </w:tabs>
      <w:overflowPunct w:val="0"/>
      <w:snapToGrid w:val="0"/>
      <w:spacing w:line="360" w:lineRule="auto"/>
      <w:ind w:firstLine="1040"/>
      <w:jc w:val="left"/>
    </w:pPr>
    <w:rPr>
      <w:rFonts w:ascii="Arial" w:hAnsi="Arial"/>
      <w:sz w:val="24"/>
      <w:szCs w:val="20"/>
    </w:rPr>
  </w:style>
  <w:style w:type="paragraph" w:customStyle="1" w:styleId="118">
    <w:name w:val="Table Text"/>
    <w:basedOn w:val="1"/>
    <w:autoRedefine/>
    <w:semiHidden/>
    <w:qFormat/>
    <w:uiPriority w:val="0"/>
    <w:rPr>
      <w:rFonts w:ascii="宋体" w:hAnsi="宋体" w:eastAsia="宋体" w:cs="宋体"/>
      <w:sz w:val="24"/>
      <w:szCs w:val="24"/>
      <w:lang w:val="en-US" w:eastAsia="en-US" w:bidi="ar-SA"/>
    </w:rPr>
  </w:style>
  <w:style w:type="paragraph" w:customStyle="1" w:styleId="119">
    <w:name w:val="_Style 4"/>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wmf"/><Relationship Id="rId22" Type="http://schemas.openxmlformats.org/officeDocument/2006/relationships/oleObject" Target="embeddings/oleObject6.bin"/><Relationship Id="rId21" Type="http://schemas.openxmlformats.org/officeDocument/2006/relationships/image" Target="media/image8.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119</Pages>
  <Words>69220</Words>
  <Characters>81103</Characters>
  <Lines>188</Lines>
  <Paragraphs>53</Paragraphs>
  <TotalTime>0</TotalTime>
  <ScaleCrop>false</ScaleCrop>
  <LinksUpToDate>false</LinksUpToDate>
  <CharactersWithSpaces>82256</CharactersWithSpaces>
  <Application>WPS Office_12.1.0.16704_F1E327BC-269C-435d-A152-05C5408002CA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落</cp:lastModifiedBy>
  <cp:lastPrinted>2023-05-22T02:51:00Z</cp:lastPrinted>
  <dcterms:modified xsi:type="dcterms:W3CDTF">2024-04-03T01:48:30Z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0E896FA914FB4CB5AE2F9A754491D11B_13</vt:lpwstr>
  </property>
</Properties>
</file>