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olor w:val="auto"/>
          <w:sz w:val="48"/>
          <w:szCs w:val="48"/>
          <w:highlight w:val="none"/>
          <w:lang w:val="en-US" w:eastAsia="zh-CN"/>
        </w:rPr>
      </w:pPr>
      <w:bookmarkStart w:id="0" w:name="OLE_LINK5"/>
      <w:bookmarkStart w:id="1" w:name="OLE_LINK2"/>
      <w:bookmarkStart w:id="2" w:name="OLE_LINK1"/>
      <w:bookmarkStart w:id="3" w:name="OLE_LINK7"/>
      <w:bookmarkStart w:id="4" w:name="OLE_LINK6"/>
      <w:bookmarkStart w:id="5" w:name="OLE_LINK8"/>
      <w:bookmarkStart w:id="6" w:name="OLE_LINK3"/>
      <w:bookmarkStart w:id="7" w:name="OLE_LINK4"/>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AHYTZ2023-005-047</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舒城县舒兴资产运营管理有限公司闲置房屋出租</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783" w:tblpY="462"/>
        <w:tblOverlap w:val="never"/>
        <w:tblW w:w="10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2234"/>
        <w:gridCol w:w="1340"/>
        <w:gridCol w:w="1405"/>
        <w:gridCol w:w="1646"/>
        <w:gridCol w:w="1098"/>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商铺号</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租赁期限</w:t>
            </w:r>
          </w:p>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2001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舒城县鹿起尚城小区和园S2#108号商铺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舒城县鹿起尚城小区和园S2#109号商铺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舒城县鹿起尚城小区茗园S3#110号商铺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63.99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58.97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102.06</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65.58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舒城县欣然南溪小区14#楼108号商铺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舒城县欣然南溪小区14#楼102号商铺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舒城县欣然南溪小区8#楼102号商铺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107.64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102.07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华地紫金府9#106</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96.68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华地紫金府9#107</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华地紫金府9#108</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96.68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AHYTZ2024-003-</w:t>
            </w:r>
            <w:r>
              <w:rPr>
                <w:rFonts w:hint="eastAsia" w:ascii="宋体" w:hAnsi="宋体" w:cs="宋体"/>
                <w:i w:val="0"/>
                <w:iCs w:val="0"/>
                <w:color w:val="auto"/>
                <w:sz w:val="22"/>
                <w:szCs w:val="22"/>
                <w:highlight w:val="none"/>
                <w:u w:val="none"/>
                <w:lang w:val="en-US" w:eastAsia="zh-CN"/>
              </w:rPr>
              <w:t>025-001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城关镇三拐路西苑小区2幢1层商铺9号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44.51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r>
              <w:rPr>
                <w:rFonts w:hint="eastAsia" w:ascii="宋体" w:hAnsi="宋体" w:cs="宋体"/>
                <w:i w:val="0"/>
                <w:iCs w:val="0"/>
                <w:color w:val="auto"/>
                <w:sz w:val="22"/>
                <w:szCs w:val="22"/>
                <w:highlight w:val="none"/>
                <w:u w:val="none"/>
                <w:lang w:val="en-US" w:eastAsia="zh-CN"/>
              </w:rPr>
              <w:t>058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bl>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eastAsia="zh-CN"/>
        </w:rPr>
        <w:t>鹿起尚城小区商铺位于舒城县城关镇</w:t>
      </w:r>
      <w:r>
        <w:rPr>
          <w:rFonts w:hint="eastAsia" w:ascii="宋体" w:hAnsi="宋体"/>
          <w:color w:val="auto"/>
          <w:kern w:val="0"/>
          <w:sz w:val="24"/>
          <w:highlight w:val="none"/>
          <w:lang w:val="en-US" w:eastAsia="zh-CN"/>
        </w:rPr>
        <w:t>胡底路东侧，欣然南溪小区</w:t>
      </w:r>
      <w:r>
        <w:rPr>
          <w:rFonts w:hint="eastAsia" w:ascii="宋体" w:hAnsi="宋体"/>
          <w:color w:val="auto"/>
          <w:kern w:val="0"/>
          <w:sz w:val="24"/>
          <w:highlight w:val="none"/>
          <w:lang w:eastAsia="zh-CN"/>
        </w:rPr>
        <w:t>商铺</w:t>
      </w:r>
      <w:r>
        <w:rPr>
          <w:rFonts w:hint="eastAsia" w:ascii="宋体" w:hAnsi="宋体"/>
          <w:color w:val="auto"/>
          <w:kern w:val="0"/>
          <w:sz w:val="24"/>
          <w:highlight w:val="none"/>
          <w:lang w:val="en-US" w:eastAsia="zh-CN"/>
        </w:rPr>
        <w:t>位于舒城县城关镇飞霞路以西、南溪路以北、云露街以东，华地紫金府商铺位于舒城县梅河东路。</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2、竞租保证金到账的截止时间为2024年06月13日11时00分。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5、2024年06月13日15时00分，出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30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color w:val="auto"/>
          <w:kern w:val="0"/>
          <w:sz w:val="24"/>
          <w:highlight w:val="none"/>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bookmarkStart w:id="8" w:name="_GoBack"/>
      <w:bookmarkEnd w:id="8"/>
      <w:r>
        <w:rPr>
          <w:rFonts w:hint="eastAsia" w:ascii="宋体" w:hAnsi="宋体"/>
          <w:color w:val="auto"/>
          <w:sz w:val="24"/>
          <w:highlight w:val="none"/>
          <w:lang w:eastAsia="zh-CN"/>
        </w:rPr>
        <w:t>杨</w:t>
      </w:r>
      <w:r>
        <w:rPr>
          <w:rFonts w:hint="eastAsia" w:ascii="宋体" w:hAnsi="宋体"/>
          <w:color w:val="auto"/>
          <w:sz w:val="24"/>
          <w:highlight w:val="none"/>
          <w:lang w:val="en-US" w:eastAsia="zh-CN"/>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0564-8958287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pPr>
        <w:widowControl/>
        <w:spacing w:line="360" w:lineRule="auto"/>
        <w:ind w:firstLine="3534" w:firstLineChars="800"/>
        <w:jc w:val="left"/>
        <w:rPr>
          <w:rFonts w:hint="eastAsia" w:ascii="宋体" w:hAnsi="宋体"/>
          <w:b/>
          <w:color w:val="auto"/>
          <w:sz w:val="44"/>
          <w:szCs w:val="44"/>
          <w:highlight w:val="none"/>
        </w:rPr>
      </w:pPr>
    </w:p>
    <w:p>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pPr>
        <w:widowControl/>
        <w:spacing w:line="360" w:lineRule="auto"/>
        <w:ind w:firstLine="3534" w:firstLineChars="800"/>
        <w:jc w:val="left"/>
        <w:rPr>
          <w:rFonts w:hint="eastAsia" w:ascii="宋体" w:hAnsi="宋体"/>
          <w:b/>
          <w:color w:val="auto"/>
          <w:sz w:val="44"/>
          <w:szCs w:val="44"/>
          <w:highlight w:val="none"/>
        </w:rPr>
      </w:pPr>
    </w:p>
    <w:p>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sz w:val="24"/>
          <w:highlight w:val="none"/>
        </w:rPr>
        <w:t>：</w:t>
      </w:r>
    </w:p>
    <w:p>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舒城县舒兴资产运营管理有限公司闲置房屋出租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pPr>
        <w:spacing w:line="360" w:lineRule="auto"/>
        <w:textAlignment w:val="top"/>
        <w:rPr>
          <w:rFonts w:hint="eastAsia" w:ascii="宋体" w:hAnsi="宋体"/>
          <w:color w:val="auto"/>
          <w:sz w:val="24"/>
          <w:highlight w:val="none"/>
        </w:rPr>
      </w:pPr>
    </w:p>
    <w:p>
      <w:pPr>
        <w:pStyle w:val="2"/>
        <w:spacing w:line="360" w:lineRule="auto"/>
        <w:ind w:left="0" w:leftChars="0" w:firstLine="0" w:firstLineChars="0"/>
        <w:rPr>
          <w:rFonts w:hint="eastAsia" w:ascii="宋体" w:hAnsi="宋体"/>
          <w:color w:val="auto"/>
          <w:sz w:val="24"/>
          <w:highlight w:val="none"/>
        </w:rPr>
      </w:pPr>
    </w:p>
    <w:p>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pPr>
              <w:spacing w:line="360" w:lineRule="exact"/>
              <w:rPr>
                <w:rFonts w:hint="eastAsia" w:ascii="宋体" w:hAnsi="宋体"/>
                <w:color w:val="auto"/>
                <w:sz w:val="24"/>
                <w:highlight w:val="none"/>
              </w:rPr>
            </w:pPr>
          </w:p>
        </w:tc>
        <w:tc>
          <w:tcPr>
            <w:tcW w:w="2968" w:type="dxa"/>
            <w:noWrap w:val="0"/>
            <w:vAlign w:val="top"/>
          </w:tcPr>
          <w:p>
            <w:pPr>
              <w:spacing w:line="360" w:lineRule="exact"/>
              <w:rPr>
                <w:rFonts w:hint="eastAsia" w:ascii="宋体" w:hAnsi="宋体"/>
                <w:color w:val="auto"/>
                <w:sz w:val="24"/>
                <w:highlight w:val="none"/>
              </w:rPr>
            </w:pPr>
          </w:p>
        </w:tc>
        <w:tc>
          <w:tcPr>
            <w:tcW w:w="1697" w:type="dxa"/>
            <w:vMerge w:val="continue"/>
            <w:noWrap w:val="0"/>
            <w:vAlign w:val="top"/>
          </w:tcPr>
          <w:p>
            <w:pPr>
              <w:spacing w:line="360" w:lineRule="exact"/>
              <w:rPr>
                <w:rFonts w:hint="eastAsia" w:ascii="宋体" w:hAnsi="宋体"/>
                <w:color w:val="auto"/>
                <w:sz w:val="24"/>
                <w:highlight w:val="none"/>
              </w:rPr>
            </w:pPr>
          </w:p>
        </w:tc>
        <w:tc>
          <w:tcPr>
            <w:tcW w:w="2943" w:type="dxa"/>
            <w:noWrap w:val="0"/>
            <w:vAlign w:val="top"/>
          </w:tcPr>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舒城县舒兴资产运营管理有限公司闲置房屋出租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pPr>
              <w:spacing w:line="360" w:lineRule="exact"/>
              <w:ind w:firstLine="480" w:firstLineChars="200"/>
              <w:rPr>
                <w:rFonts w:hint="eastAsia" w:ascii="宋体" w:hAnsi="宋体"/>
                <w:color w:val="auto"/>
                <w:sz w:val="24"/>
                <w:highlight w:val="none"/>
              </w:rPr>
            </w:pPr>
          </w:p>
          <w:p>
            <w:pPr>
              <w:spacing w:line="360" w:lineRule="exact"/>
              <w:rPr>
                <w:rFonts w:hint="eastAsia" w:ascii="宋体" w:hAnsi="宋体"/>
                <w:color w:val="auto"/>
                <w:sz w:val="24"/>
                <w:highlight w:val="none"/>
              </w:rPr>
            </w:pPr>
          </w:p>
          <w:p>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w:t>
            </w:r>
          </w:p>
          <w:p>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ind w:firstLine="3052" w:firstLineChars="950"/>
        <w:rPr>
          <w:rFonts w:hint="eastAsia" w:ascii="宋体" w:hAnsi="宋体"/>
          <w:b/>
          <w:color w:val="auto"/>
          <w:sz w:val="32"/>
          <w:szCs w:val="32"/>
          <w:highlight w:val="none"/>
        </w:rPr>
      </w:pPr>
    </w:p>
    <w:p>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舒城县舒兴资产运营管理有限公司闲置房屋出租</w:t>
            </w:r>
          </w:p>
        </w:tc>
        <w:tc>
          <w:tcPr>
            <w:tcW w:w="808" w:type="dxa"/>
            <w:vMerge w:val="restart"/>
            <w:noWrap w:val="0"/>
            <w:vAlign w:val="top"/>
          </w:tcPr>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pPr>
              <w:jc w:val="center"/>
              <w:rPr>
                <w:rFonts w:hint="eastAsia" w:ascii="宋体" w:hAnsi="宋体"/>
                <w:color w:val="auto"/>
                <w:highlight w:val="none"/>
              </w:rPr>
            </w:pPr>
            <w:r>
              <w:rPr>
                <w:rFonts w:hint="eastAsia" w:ascii="宋体" w:hAnsi="宋体"/>
                <w:color w:val="auto"/>
                <w:sz w:val="32"/>
                <w:szCs w:val="3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pPr>
              <w:spacing w:before="76" w:beforeLines="20" w:line="400" w:lineRule="exact"/>
              <w:rPr>
                <w:rFonts w:hint="eastAsia" w:ascii="宋体" w:hAnsi="宋体"/>
                <w:color w:val="auto"/>
                <w:sz w:val="24"/>
                <w:highlight w:val="none"/>
                <w:u w:val="single"/>
              </w:rPr>
            </w:pPr>
          </w:p>
        </w:tc>
        <w:tc>
          <w:tcPr>
            <w:tcW w:w="808" w:type="dxa"/>
            <w:vMerge w:val="continue"/>
            <w:noWrap w:val="0"/>
            <w:vAlign w:val="top"/>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pP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jc w:val="cente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rPr>
                <w:rFonts w:hint="eastAsia" w:ascii="宋体" w:hAnsi="宋体"/>
                <w:color w:val="auto"/>
                <w:sz w:val="30"/>
                <w:szCs w:val="30"/>
                <w:highlight w:val="none"/>
              </w:rPr>
            </w:pPr>
          </w:p>
          <w:p>
            <w:pPr>
              <w:rPr>
                <w:rFonts w:hint="eastAsia" w:ascii="宋体" w:hAnsi="宋体"/>
                <w:color w:val="auto"/>
                <w:sz w:val="24"/>
                <w:highlight w:val="none"/>
              </w:rPr>
            </w:pP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法定代表人</w:t>
            </w:r>
          </w:p>
          <w:p>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0F2F7F"/>
    <w:rsid w:val="124666B2"/>
    <w:rsid w:val="125B488D"/>
    <w:rsid w:val="12F64B6E"/>
    <w:rsid w:val="1303728B"/>
    <w:rsid w:val="131A4860"/>
    <w:rsid w:val="1351449B"/>
    <w:rsid w:val="13705AE8"/>
    <w:rsid w:val="13AE51B0"/>
    <w:rsid w:val="13D92BD1"/>
    <w:rsid w:val="141554C8"/>
    <w:rsid w:val="143771ED"/>
    <w:rsid w:val="145E6E6F"/>
    <w:rsid w:val="149A777C"/>
    <w:rsid w:val="149B4B64"/>
    <w:rsid w:val="14D54096"/>
    <w:rsid w:val="15206BE7"/>
    <w:rsid w:val="15336CF4"/>
    <w:rsid w:val="15461A98"/>
    <w:rsid w:val="157800D1"/>
    <w:rsid w:val="15E82553"/>
    <w:rsid w:val="15EF10FA"/>
    <w:rsid w:val="164B3423"/>
    <w:rsid w:val="16725810"/>
    <w:rsid w:val="16F01BB8"/>
    <w:rsid w:val="17292E94"/>
    <w:rsid w:val="174A295E"/>
    <w:rsid w:val="176D0267"/>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37560"/>
    <w:rsid w:val="29E11C7D"/>
    <w:rsid w:val="2A8F792B"/>
    <w:rsid w:val="2ABC7FF4"/>
    <w:rsid w:val="2B920D55"/>
    <w:rsid w:val="2BA40912"/>
    <w:rsid w:val="2BE5799B"/>
    <w:rsid w:val="2C7D17B3"/>
    <w:rsid w:val="2C9508B7"/>
    <w:rsid w:val="2CB65F6E"/>
    <w:rsid w:val="2CBC7CE2"/>
    <w:rsid w:val="2CF0667B"/>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4FD118F"/>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D0083"/>
    <w:rsid w:val="3F8C67B5"/>
    <w:rsid w:val="3FAF6C4F"/>
    <w:rsid w:val="3FBE2852"/>
    <w:rsid w:val="401414C7"/>
    <w:rsid w:val="40505BFC"/>
    <w:rsid w:val="406857A3"/>
    <w:rsid w:val="406877E0"/>
    <w:rsid w:val="40E340D5"/>
    <w:rsid w:val="40F30643"/>
    <w:rsid w:val="412F731A"/>
    <w:rsid w:val="41D60F15"/>
    <w:rsid w:val="42415557"/>
    <w:rsid w:val="42467BD4"/>
    <w:rsid w:val="424C479D"/>
    <w:rsid w:val="434F77FF"/>
    <w:rsid w:val="43543068"/>
    <w:rsid w:val="43C61DC7"/>
    <w:rsid w:val="44117129"/>
    <w:rsid w:val="444228BD"/>
    <w:rsid w:val="447C0AC8"/>
    <w:rsid w:val="448C6831"/>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6304655"/>
    <w:rsid w:val="566F3078"/>
    <w:rsid w:val="572E152A"/>
    <w:rsid w:val="57790E97"/>
    <w:rsid w:val="58206E2B"/>
    <w:rsid w:val="582E78D1"/>
    <w:rsid w:val="58744EFD"/>
    <w:rsid w:val="58B20A49"/>
    <w:rsid w:val="58F92290"/>
    <w:rsid w:val="5927777C"/>
    <w:rsid w:val="599F3A60"/>
    <w:rsid w:val="5AC351C3"/>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E7AFB"/>
    <w:rsid w:val="67F55656"/>
    <w:rsid w:val="68DE07FF"/>
    <w:rsid w:val="69076303"/>
    <w:rsid w:val="693B2520"/>
    <w:rsid w:val="693E4305"/>
    <w:rsid w:val="694C5AFC"/>
    <w:rsid w:val="69D260EB"/>
    <w:rsid w:val="6A1A38EE"/>
    <w:rsid w:val="6A567777"/>
    <w:rsid w:val="6A7C24CB"/>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F82658"/>
    <w:rsid w:val="73150722"/>
    <w:rsid w:val="733E2151"/>
    <w:rsid w:val="736005E3"/>
    <w:rsid w:val="736B748E"/>
    <w:rsid w:val="73AA26AC"/>
    <w:rsid w:val="74065409"/>
    <w:rsid w:val="74644A69"/>
    <w:rsid w:val="747F5182"/>
    <w:rsid w:val="74F01CF7"/>
    <w:rsid w:val="75526420"/>
    <w:rsid w:val="755A0725"/>
    <w:rsid w:val="75652815"/>
    <w:rsid w:val="75EF3230"/>
    <w:rsid w:val="77975DBB"/>
    <w:rsid w:val="77BF7A91"/>
    <w:rsid w:val="77C356D5"/>
    <w:rsid w:val="77FB25EB"/>
    <w:rsid w:val="78696087"/>
    <w:rsid w:val="78A909D7"/>
    <w:rsid w:val="79165D61"/>
    <w:rsid w:val="793731DA"/>
    <w:rsid w:val="79A760B2"/>
    <w:rsid w:val="79C93160"/>
    <w:rsid w:val="7A8369BE"/>
    <w:rsid w:val="7AC22245"/>
    <w:rsid w:val="7AC2652D"/>
    <w:rsid w:val="7ADE221C"/>
    <w:rsid w:val="7AF7537F"/>
    <w:rsid w:val="7B080236"/>
    <w:rsid w:val="7B2D132A"/>
    <w:rsid w:val="7B6E5D6D"/>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3625</Words>
  <Characters>5234</Characters>
  <Lines>70</Lines>
  <Paragraphs>19</Paragraphs>
  <TotalTime>5</TotalTime>
  <ScaleCrop>false</ScaleCrop>
  <LinksUpToDate>false</LinksUpToDate>
  <CharactersWithSpaces>5687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2024-05-30T02:01:49Z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1E6C060835D948F5872D57B333148885</vt:lpwstr>
  </property>
</Properties>
</file>