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隶书" w:hAnsi="隶书" w:eastAsia="隶书" w:cs="隶书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隶书" w:hAnsi="隶书" w:eastAsia="隶书" w:cs="隶书"/>
          <w:b/>
          <w:sz w:val="44"/>
          <w:szCs w:val="44"/>
        </w:rPr>
        <w:t xml:space="preserve">    </w:t>
      </w:r>
      <w:r>
        <w:rPr>
          <w:rFonts w:hint="eastAsia" w:ascii="隶书" w:hAnsi="隶书" w:eastAsia="隶书" w:cs="隶书"/>
          <w:b/>
          <w:color w:val="31849B"/>
          <w:sz w:val="44"/>
          <w:szCs w:val="44"/>
        </w:rPr>
        <w:t xml:space="preserve">  </w:t>
      </w:r>
      <w:r>
        <w:rPr>
          <w:rFonts w:hint="eastAsia" w:ascii="隶书" w:hAnsi="隶书" w:eastAsia="隶书" w:cs="隶书"/>
          <w:bCs/>
          <w:sz w:val="44"/>
          <w:szCs w:val="44"/>
        </w:rPr>
        <w:t xml:space="preserve">  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张母桥镇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安全生产网格化监管包联卡</w:t>
      </w:r>
    </w:p>
    <w:tbl>
      <w:tblPr>
        <w:tblStyle w:val="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包联企业网格员姓名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企业名称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行业属性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网格员职责</w:t>
            </w:r>
          </w:p>
        </w:tc>
        <w:tc>
          <w:tcPr>
            <w:tcW w:w="1190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1.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督促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企业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建立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安全生产监管档案，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指导企业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开展安全生产隐患排查，积极配合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“安全顾问”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进行监督检查；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2.督促企业建立安全生产风险管控和隐患排查双重预防工作机制，落实安全生产主体责任；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3.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督促企业完成“安全顾问”交办的隐患排查治理事项；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</w:rPr>
              <w:t>4.及时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发现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企业非常态作业以及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安全生产重大事故隐患或非法违法生产、经营、建设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等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行为，报上级网格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实施安全风险评估；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5.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督促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企业展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安全生产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培训，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协助指导企业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做好安全生产宣传教育，提高从业人员安全意识；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6.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督促企业落实安全生产领域风险辨识告知制度，检查“告知卡”佩戴率、知晓率；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7.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当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发生生产安全事故和灾难灾情后，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及时</w:t>
            </w: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报告，协助做好事故现场处理和善后工作；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仿宋_GB2312" w:hAnsi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cs="宋体"/>
                <w:kern w:val="0"/>
                <w:szCs w:val="21"/>
                <w:lang w:val="zh-CN"/>
              </w:rPr>
              <w:t>8.落实上级部门交办的其他安全生产工作事项。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企业职责</w:t>
            </w:r>
          </w:p>
        </w:tc>
        <w:tc>
          <w:tcPr>
            <w:tcW w:w="1190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仿宋_GB2312" w:hAnsi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Cs w:val="21"/>
              </w:rPr>
              <w:t>1.建立健全全员安全生产责任制，落实主要负责人、安全管理人员和相关岗位人员安全职责；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szCs w:val="21"/>
              </w:rPr>
              <w:t>2.开展安全风险辨识管控，落实</w:t>
            </w:r>
            <w:r>
              <w:rPr>
                <w:rFonts w:hint="eastAsia" w:ascii="仿宋_GB2312" w:hAnsi="仿宋" w:cs="宋体"/>
                <w:kern w:val="0"/>
                <w:szCs w:val="21"/>
              </w:rPr>
              <w:t>安全生产领域风险辨识告知制度，制作安全风险告知卡并做到全员佩戴、全员知晓；</w:t>
            </w:r>
          </w:p>
          <w:p>
            <w:pPr>
              <w:adjustRightInd w:val="0"/>
              <w:snapToGrid w:val="0"/>
              <w:ind w:firstLine="210" w:firstLineChars="100"/>
              <w:jc w:val="left"/>
              <w:rPr>
                <w:rFonts w:ascii="仿宋_GB2312" w:hAnsi="仿宋" w:cs="宋体"/>
                <w:kern w:val="0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Cs w:val="21"/>
              </w:rPr>
              <w:t>3.建立健全事故隐患排查治理机制，定期排查整改安全隐患并做好记录，消除事故隐患，落实非常态作业安全强制报备制度；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4.定期开展安全生产宣传培训教育，修订完善各项应急预案，加强应急队伍建设、应急物资储备和应急演练；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5</w:t>
            </w:r>
            <w:r>
              <w:rPr>
                <w:rFonts w:hint="eastAsia" w:ascii="仿宋_GB2312" w:hAnsi="仿宋" w:cs="宋体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一旦</w:t>
            </w:r>
            <w:r>
              <w:rPr>
                <w:rFonts w:hint="eastAsia" w:ascii="仿宋_GB2312" w:hAnsi="仿宋" w:cs="宋体"/>
                <w:kern w:val="0"/>
                <w:sz w:val="24"/>
                <w:lang w:val="zh-CN"/>
              </w:rPr>
              <w:t>发生生产安全事故和灾难灾情，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及时、如实</w:t>
            </w:r>
            <w:r>
              <w:rPr>
                <w:rFonts w:hint="eastAsia" w:ascii="仿宋_GB2312" w:hAnsi="仿宋" w:cs="宋体"/>
                <w:kern w:val="0"/>
                <w:sz w:val="24"/>
                <w:lang w:val="zh-CN"/>
              </w:rPr>
              <w:t>上报，并做好事故现场处理和善后工作。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9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cs="仿宋_GB2312"/>
          <w:b/>
          <w:sz w:val="44"/>
          <w:szCs w:val="44"/>
        </w:rPr>
        <w:sectPr>
          <w:pgSz w:w="16838" w:h="11906" w:orient="landscape"/>
          <w:pgMar w:top="1191" w:right="1191" w:bottom="1191" w:left="119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15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490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入企走访时间</w:t>
            </w:r>
          </w:p>
        </w:tc>
        <w:tc>
          <w:tcPr>
            <w:tcW w:w="1049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走访内容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走访人签字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76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10490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  <w:tc>
          <w:tcPr>
            <w:tcW w:w="2178" w:type="dxa"/>
            <w:vAlign w:val="center"/>
          </w:tcPr>
          <w:p>
            <w:pPr>
              <w:jc w:val="left"/>
              <w:rPr>
                <w:rFonts w:ascii="仿宋_GB2312" w:hAnsi="方正小标宋简体" w:cs="方正小标宋简体"/>
              </w:rPr>
            </w:pPr>
          </w:p>
        </w:tc>
      </w:tr>
    </w:tbl>
    <w:p>
      <w:pPr>
        <w:jc w:val="left"/>
        <w:rPr>
          <w:rFonts w:ascii="仿宋_GB2312" w:hAnsi="方正小标宋简体" w:cs="方正小标宋简体"/>
        </w:rPr>
        <w:sectPr>
          <w:pgSz w:w="16838" w:h="11906" w:orient="landscape"/>
          <w:pgMar w:top="1418" w:right="1191" w:bottom="1418" w:left="119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安全生产大走访检查记录表</w:t>
      </w:r>
    </w:p>
    <w:p>
      <w:pPr>
        <w:wordWrap w:val="0"/>
        <w:spacing w:line="320" w:lineRule="exact"/>
        <w:ind w:right="839"/>
        <w:jc w:val="right"/>
        <w:rPr>
          <w:sz w:val="28"/>
          <w:szCs w:val="28"/>
        </w:rPr>
      </w:pPr>
    </w:p>
    <w:p>
      <w:pPr>
        <w:ind w:right="84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网格员：       所属乡镇（部门）：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43"/>
        <w:gridCol w:w="1993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企业名称：        </w:t>
            </w:r>
          </w:p>
        </w:tc>
        <w:tc>
          <w:tcPr>
            <w:tcW w:w="50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走访检查时间：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安全隐患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846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2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846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6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整改时限</w:t>
            </w:r>
          </w:p>
        </w:tc>
        <w:tc>
          <w:tcPr>
            <w:tcW w:w="702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乡镇（行业主管部门）网格员及其他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参与人员</w:t>
            </w:r>
          </w:p>
        </w:tc>
        <w:tc>
          <w:tcPr>
            <w:tcW w:w="70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走访企业负责人（签字）：</w:t>
      </w:r>
    </w:p>
    <w:p>
      <w:r>
        <w:rPr>
          <w:rFonts w:hint="eastAsia" w:ascii="仿宋_GB2312"/>
          <w:sz w:val="18"/>
          <w:szCs w:val="18"/>
        </w:rPr>
        <w:t>注：检查表一式两份，一份交走访企业，一份交网格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DdjZDIyYzFkZDZjYzRiODNlMWFmZjU5MzM4M2IifQ=="/>
  </w:docVars>
  <w:rsids>
    <w:rsidRoot w:val="2375588E"/>
    <w:rsid w:val="02404EC6"/>
    <w:rsid w:val="05950DD6"/>
    <w:rsid w:val="17F61B9F"/>
    <w:rsid w:val="204D4AAD"/>
    <w:rsid w:val="2375588E"/>
    <w:rsid w:val="32CB6E2A"/>
    <w:rsid w:val="3CBF33CD"/>
    <w:rsid w:val="4BA1451C"/>
    <w:rsid w:val="4DFC7B6B"/>
    <w:rsid w:val="524F55B7"/>
    <w:rsid w:val="7A6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743</Characters>
  <Lines>0</Lines>
  <Paragraphs>0</Paragraphs>
  <TotalTime>12</TotalTime>
  <ScaleCrop>false</ScaleCrop>
  <LinksUpToDate>false</LinksUpToDate>
  <CharactersWithSpaces>782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2022-03-24T07:56:00Z</dcterms:created>
  <dc:creator>陈  Yingqian</dc:creator>
  <cp:lastModifiedBy>真真文印</cp:lastModifiedBy>
  <cp:lastPrinted>2024-04-22T01:41:49Z</cp:lastPrinted>
  <dcterms:modified xsi:type="dcterms:W3CDTF">2024-04-22T01:52:04Z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54D93655F6AE4B2A809E7BEB192DD5E7_13</vt:lpwstr>
  </property>
</Properties>
</file>