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培训班直播课程操作指南</w:t>
      </w:r>
    </w:p>
    <w:p>
      <w:pPr>
        <w:rPr>
          <w:rFonts w:hint="default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1.建议分课堂保障独立带宽不低于50兆,在电脑端全程观看直播,建议使用360浏览器(极速模式)或谷歌浏览器访问“网上党校”(https://wsdx.ccps.gov.cn)。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视频直播账号由中央党校(国家行政学院)提供，由县级少工委统一发放，请分课堂设备操作联系人使用账号登录“网上党校”，登录后，点击首页轮播图“全国少先队总辅导员和学校大中队辅导员培训班”进入直播页面收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3.请分课堂设备操作联系人注意保持手机畅通，接收后续电话和短信通知。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NTViMDNiNGRiY2Q0MGNmZDRiODM3OTYzMGYyZjgifQ=="/>
  </w:docVars>
  <w:rsids>
    <w:rsidRoot w:val="00000000"/>
    <w:rsid w:val="52E1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2024-06-30T10:42:45Z</dcterms:created>
  <dc:creator>Administrator</dc:creator>
  <cp:lastModifiedBy>生如夏花</cp:lastModifiedBy>
  <dcterms:modified xsi:type="dcterms:W3CDTF">2024-06-30T10:46:12Z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05789701F3F545C4A5F1CF14532EB1F5_12</vt:lpwstr>
  </property>
</Properties>
</file>