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68558">
      <w:pPr>
        <w:pStyle w:val="2"/>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舒城县百神庙镇2019年政府信息公开工作年度报告</w:t>
      </w:r>
    </w:p>
    <w:p w14:paraId="7D84E60E">
      <w:pPr>
        <w:pStyle w:val="3"/>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sz w:val="28"/>
          <w:szCs w:val="28"/>
        </w:rPr>
        <w:t>根据新修订《中华人民共和国政府信息公开条例》（以下简称《条例》），结合上级有关文件精神等要求，编制2019年度舒城县百神庙镇人民政府信息公开年度报告。全文包括总体情况、主动公开政府信息情况、收到和处理政府信息公开申请情况、政府信息公开行政复议行政诉讼情况，存在的主要问题及改进情况，其他需要报告的事项等6项内容。本年度报告中使用数据统计期限为2019年1月1日至2019年12月31日，本年度报告电子版可在舒城县百神庙镇政府信息公开平台下载。如对本报告有任何疑问，请与舒城县百神庙镇政府联系（地址：百神庙镇街道；邮编：231300；联系电话：0564-8083801）。</w:t>
      </w:r>
    </w:p>
    <w:p w14:paraId="7AC28971">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b/>
          <w:bCs/>
          <w:sz w:val="28"/>
          <w:szCs w:val="28"/>
        </w:rPr>
        <w:t>一、总体情况</w:t>
      </w:r>
    </w:p>
    <w:p w14:paraId="00DDA423">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2019年，百神庙镇政府以习近平新时代中国特色社会主义思想为指导，全面贯彻落实党的十九大和十九届三中、四中全会精神，严格落实《中华人民共和国政府信息公开条例》和《国务院办公厅关于印发2019年政务公开工作要点的通知》（国办发〔2019〕14号）决策部署，一年来，在县政务公开办的指导帮助下，以提升政务公开质量和实效为主线，紧紧围绕发展大局，严格遵循“以公开为常态，不公开为例外”的要求，有力推动我镇信息公开纵深开展，切实保障人民群众对政府工作的知情权、参与权、表达权和监督权。 </w:t>
      </w:r>
    </w:p>
    <w:p w14:paraId="04EADED0">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   （一）主动公开。</w:t>
      </w:r>
      <w:r>
        <w:rPr>
          <w:rFonts w:hint="eastAsia" w:ascii="仿宋" w:hAnsi="仿宋" w:eastAsia="仿宋" w:cs="仿宋"/>
          <w:sz w:val="28"/>
          <w:szCs w:val="28"/>
        </w:rPr>
        <w:t>我镇积极落实政府信息公开工作要求，围绕工作动态、领导分工、公告通告、规章制度等涉及群众切实利益和社会需要广泛知晓的内容，做到应公开、尽公开。我镇依托舒城县政府信息公开网，推进电子政务建设和网上政务公开。把舒城县百神庙镇人民政府网站列为公开信息的重要途径，开设本级政府文件、国民经济和社会发展规划、财政专项经费管理使用专栏等，将有关信息及时公开在对应栏目。截止2019年12月，百神庙镇政府信息公开网站累计公开信息达3450余条；2019年全年公开信息824多条，政务公开内容全面、信息完整、格式规范，大大推进了我镇政务公开工作。 </w:t>
      </w:r>
    </w:p>
    <w:p w14:paraId="180516F7">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w:t>
      </w:r>
      <w:r>
        <w:rPr>
          <w:rStyle w:val="6"/>
          <w:rFonts w:hint="eastAsia" w:ascii="仿宋" w:hAnsi="仿宋" w:eastAsia="仿宋" w:cs="仿宋"/>
          <w:sz w:val="28"/>
          <w:szCs w:val="28"/>
        </w:rPr>
        <w:t>（二）依申请公开。</w:t>
      </w:r>
      <w:r>
        <w:rPr>
          <w:rFonts w:hint="eastAsia" w:ascii="仿宋" w:hAnsi="仿宋" w:eastAsia="仿宋" w:cs="仿宋"/>
          <w:sz w:val="28"/>
          <w:szCs w:val="28"/>
        </w:rPr>
        <w:t>我镇认真贯彻落实《</w:t>
      </w:r>
      <w:r>
        <w:rPr>
          <w:rFonts w:hint="eastAsia" w:ascii="仿宋" w:hAnsi="仿宋" w:eastAsia="仿宋" w:cs="仿宋"/>
          <w:sz w:val="28"/>
          <w:szCs w:val="28"/>
          <w:lang w:eastAsia="zh-CN"/>
        </w:rPr>
        <w:t>政府信息公开条例</w:t>
      </w:r>
      <w:r>
        <w:rPr>
          <w:rFonts w:hint="eastAsia" w:ascii="仿宋" w:hAnsi="仿宋" w:eastAsia="仿宋" w:cs="仿宋"/>
          <w:sz w:val="28"/>
          <w:szCs w:val="28"/>
        </w:rPr>
        <w:t>》，深入研究并妥善处理新情况、新问题，注意加强与申请人的主动沟通，做到依法有据、严谨规范、慎重稳妥。积极做好信息公开的各项工作，严格执行政府工作信息依申请公开标准，继续在信息公开网上开通了“依申请公开”栏目。2019年我镇做到了政府信息应公开尽公开，全年无依申请公开事项。</w:t>
      </w:r>
    </w:p>
    <w:p w14:paraId="08840F95">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 （三）政府信息管理。</w:t>
      </w:r>
      <w:r>
        <w:rPr>
          <w:rFonts w:hint="eastAsia" w:ascii="仿宋" w:hAnsi="仿宋" w:eastAsia="仿宋" w:cs="仿宋"/>
          <w:sz w:val="28"/>
          <w:szCs w:val="28"/>
        </w:rPr>
        <w:t>一是加强组织领导，建立了镇主要领导亲自抓、分管领导具体抓、具体工作专人干的工作机制，安排专人负责全局信息公开维护和更新，并认真做好年度报告编制、年度信息公开统计报表和政府网站年度报表等数据统计和报送工作。二是完善工作机制，围绕政府信息公开的范围、内容、形式等，建立健全信息公开审核、保密安全制度，要求遵循“谁公开、谁负责”和“先审查、后公开”的原则，对拟公开的信息均应进行逐级审核，确保内容准确、表述规范，可公开，做到全程留痕、有据可查。三是按照专职与兼职相结合的办法充实编辑队伍，镇宣传信息中心配专人，负责编辑审核，各村确定信息报送联络员，负责相关信息收集整理报送。</w:t>
      </w:r>
    </w:p>
    <w:p w14:paraId="45BDFF65">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（四）平台建设方面。</w:t>
      </w:r>
      <w:r>
        <w:rPr>
          <w:rFonts w:hint="eastAsia" w:ascii="仿宋" w:hAnsi="仿宋" w:eastAsia="仿宋" w:cs="仿宋"/>
          <w:sz w:val="28"/>
          <w:szCs w:val="28"/>
        </w:rPr>
        <w:t>一是定期安排网站平台的维护、更新，配合做好上级安全评估和审查。二是及时调整政务公开目录。根据《关于做好政府信息主动公开目录调整工作的通知》（六政务公开办〔2019〕9号）的要求，我镇在原有《政府信息主动公开基本目录》基础上，对照政府信息主动公开基本目录规范2019年版，认真编制调整、规范完善主动公开基本目录。三是强化网站建设，按照上级部门安排实时调整我镇门户网站栏目，结合我镇业务工作及其年度考核需要及时调整专题栏目和飘窗内容。</w:t>
      </w:r>
    </w:p>
    <w:p w14:paraId="1C76E965">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（五）监督保障方面。</w:t>
      </w:r>
      <w:r>
        <w:rPr>
          <w:rFonts w:hint="eastAsia" w:ascii="仿宋" w:hAnsi="仿宋" w:eastAsia="仿宋" w:cs="仿宋"/>
          <w:sz w:val="28"/>
          <w:szCs w:val="28"/>
        </w:rPr>
        <w:t>一是2019年我镇调整镇政务公开工作领导小组，紧紧扭住瓶颈制约不放，抓住重点关键研究思考，坚持新老问题一起解决，共性个性同时发力，一年来，镇主要负责同志和分管负责同志分别对做好政府信息公开工作作出批示，要求聚焦问题短板，对照2019年政府政务公开重点工作任务，定期盘点落实情况，定期开展自查评估，认真查缺补漏。二是加强我镇政务公开队伍建设，出台政府信息公开责任追究、公开考核等制度，确保公开工作有章可循、有据可依，实现信息公开全方位发布，全流程监管，全过程考核。三是多渠道监督，坚持内部监督和社会监督相结合体系，对外公布投诉举报电话，推进人民群众监督和舆论监督，及时反馈群众呼声。</w:t>
      </w:r>
    </w:p>
    <w:p w14:paraId="6A9D2445">
      <w:pPr>
        <w:pStyle w:val="3"/>
        <w:keepNext w:val="0"/>
        <w:keepLines w:val="0"/>
        <w:widowControl/>
        <w:suppressLineNumbers w:val="0"/>
        <w:rPr>
          <w:rFonts w:hint="eastAsia" w:ascii="仿宋" w:hAnsi="仿宋" w:eastAsia="仿宋" w:cs="仿宋"/>
          <w:sz w:val="28"/>
          <w:szCs w:val="28"/>
        </w:rPr>
      </w:pPr>
      <w:r>
        <w:rPr>
          <w:rStyle w:val="6"/>
          <w:rFonts w:hint="eastAsia" w:ascii="仿宋" w:hAnsi="仿宋" w:eastAsia="仿宋" w:cs="仿宋"/>
          <w:sz w:val="28"/>
          <w:szCs w:val="28"/>
        </w:rPr>
        <w:t>   （六）贯彻落实新《条例》。</w:t>
      </w:r>
      <w:r>
        <w:rPr>
          <w:rFonts w:hint="eastAsia" w:ascii="仿宋" w:hAnsi="仿宋" w:eastAsia="仿宋" w:cs="仿宋"/>
          <w:sz w:val="28"/>
          <w:szCs w:val="28"/>
        </w:rPr>
        <w:t>按照县政务公开办统一部署，根据最新的《中华人民共和国政府信息公开条例》的要求进一步完善了《舒城县百神庙镇人民政府信息主动公开制度》、《舒城县百神庙镇人民政府依申请公开制度》、《舒城县百神庙镇2019年重大事项决策公开制度 》、《舒城县百神庙镇政协提案办理工作制度》等政府信息公开制度。同时围绕新《条例》修订七大亮点，充分运用新媒体的传播作用，在政府公开宣传栏、电子显示屏、微信公众号等媒体上进行全方位、多层次的宣传，引导人民群众准确了解条例相关规定、依法获取政府信息，为贯彻实施新条例营造良好氛围，确保新《条例》宣传贯彻认识到位。不定期组织开展业务培训，形成全镇力量汇集，工作一盘棋推进政务公开工作的良好氛围。</w:t>
      </w:r>
    </w:p>
    <w:p w14:paraId="073FA566">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b/>
          <w:bCs/>
          <w:sz w:val="24"/>
          <w:szCs w:val="24"/>
        </w:rPr>
        <w:t>二、主动公开政府信息情况</w:t>
      </w:r>
    </w:p>
    <w:tbl>
      <w:tblPr>
        <w:tblStyle w:val="4"/>
        <w:tblW w:w="72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95"/>
        <w:gridCol w:w="1080"/>
        <w:gridCol w:w="30"/>
        <w:gridCol w:w="1455"/>
        <w:gridCol w:w="2130"/>
      </w:tblGrid>
      <w:tr w14:paraId="546C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14:paraId="36A7291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第二十条第（一）项</w:t>
            </w:r>
          </w:p>
        </w:tc>
      </w:tr>
      <w:tr w14:paraId="0202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3FE7A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信息内容</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C2B00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本年新</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9BA79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本年新</w:t>
            </w:r>
          </w:p>
        </w:tc>
        <w:tc>
          <w:tcPr>
            <w:tcW w:w="213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1A715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对外公开总数量</w:t>
            </w:r>
          </w:p>
        </w:tc>
      </w:tr>
      <w:tr w14:paraId="642B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0A5A0B">
            <w:pPr>
              <w:jc w:val="center"/>
              <w:rPr>
                <w:rFonts w:hint="eastAsia" w:ascii="仿宋" w:hAnsi="仿宋" w:eastAsia="仿宋" w:cs="仿宋"/>
                <w:i w:val="0"/>
                <w:iCs w:val="0"/>
                <w:caps w:val="0"/>
                <w:color w:val="000000"/>
                <w:spacing w:val="0"/>
                <w:sz w:val="24"/>
                <w:szCs w:val="24"/>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6E803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制作数量</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14D46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公开数量</w:t>
            </w:r>
          </w:p>
        </w:tc>
        <w:tc>
          <w:tcPr>
            <w:tcW w:w="21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A3DE91">
            <w:pPr>
              <w:jc w:val="center"/>
              <w:rPr>
                <w:rFonts w:hint="eastAsia" w:ascii="仿宋" w:hAnsi="仿宋" w:eastAsia="仿宋" w:cs="仿宋"/>
                <w:i w:val="0"/>
                <w:iCs w:val="0"/>
                <w:caps w:val="0"/>
                <w:color w:val="000000"/>
                <w:spacing w:val="0"/>
                <w:sz w:val="24"/>
                <w:szCs w:val="24"/>
                <w:u w:val="none"/>
              </w:rPr>
            </w:pPr>
          </w:p>
        </w:tc>
      </w:tr>
      <w:tr w14:paraId="1DE6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C487B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规章</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F11C9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0</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1F6D2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6D345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2979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C2312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规范性文件</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AC94C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 2</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28559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60C0E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w:t>
            </w:r>
          </w:p>
        </w:tc>
      </w:tr>
      <w:tr w14:paraId="4445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14:paraId="5E385D1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第二十条第（五）项</w:t>
            </w:r>
          </w:p>
        </w:tc>
      </w:tr>
      <w:tr w14:paraId="48F0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3632B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信息内容</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1A627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上一年项目数量</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8CEA5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本年增/减</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A0255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处理决定数量</w:t>
            </w:r>
          </w:p>
        </w:tc>
      </w:tr>
      <w:tr w14:paraId="2115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7398B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行政许可</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2B7BD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5</w:t>
            </w:r>
          </w:p>
        </w:tc>
        <w:tc>
          <w:tcPr>
            <w:tcW w:w="1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70B3E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0B720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25</w:t>
            </w:r>
          </w:p>
        </w:tc>
      </w:tr>
      <w:tr w14:paraId="25F4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B5FAA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其他对外管理服务事项</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3A008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139</w:t>
            </w:r>
          </w:p>
        </w:tc>
        <w:tc>
          <w:tcPr>
            <w:tcW w:w="1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E74BD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0BFF4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421</w:t>
            </w:r>
          </w:p>
        </w:tc>
      </w:tr>
      <w:tr w14:paraId="4CFE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14:paraId="64C6BD2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第二十条第（六）项</w:t>
            </w:r>
          </w:p>
        </w:tc>
      </w:tr>
      <w:tr w14:paraId="7FB4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3ABF4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信息内容</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EEF18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上一年项目数量</w:t>
            </w:r>
          </w:p>
        </w:tc>
        <w:tc>
          <w:tcPr>
            <w:tcW w:w="1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0EE2E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本年增/减</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A23B0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处理决定数量</w:t>
            </w:r>
          </w:p>
        </w:tc>
      </w:tr>
      <w:tr w14:paraId="42EC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974F5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行政处罚</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A4AF4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5</w:t>
            </w:r>
          </w:p>
        </w:tc>
        <w:tc>
          <w:tcPr>
            <w:tcW w:w="1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D321A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4A4EB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20</w:t>
            </w:r>
          </w:p>
        </w:tc>
      </w:tr>
      <w:tr w14:paraId="71F2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9715B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行政强制</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EE61F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6</w:t>
            </w:r>
          </w:p>
        </w:tc>
        <w:tc>
          <w:tcPr>
            <w:tcW w:w="14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3C3CC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1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46599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3</w:t>
            </w:r>
          </w:p>
        </w:tc>
      </w:tr>
      <w:tr w14:paraId="1226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14:paraId="73D8FE6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第二十条第（八）项</w:t>
            </w:r>
          </w:p>
        </w:tc>
      </w:tr>
      <w:tr w14:paraId="3B1B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9155F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信息内容</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A541D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上一年项目数量</w:t>
            </w:r>
          </w:p>
        </w:tc>
        <w:tc>
          <w:tcPr>
            <w:tcW w:w="35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C53EC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本年增/减</w:t>
            </w:r>
          </w:p>
        </w:tc>
      </w:tr>
      <w:tr w14:paraId="2305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94C98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行政事业性收费</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C32BD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35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3A135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0 </w:t>
            </w:r>
          </w:p>
        </w:tc>
      </w:tr>
      <w:tr w14:paraId="5A1D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7290"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14:paraId="1C6B32B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第二十条第（九）项</w:t>
            </w:r>
          </w:p>
        </w:tc>
      </w:tr>
      <w:tr w14:paraId="1A4F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7E379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信息内容</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42FB1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采购项目数量</w:t>
            </w:r>
          </w:p>
        </w:tc>
        <w:tc>
          <w:tcPr>
            <w:tcW w:w="35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C3454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采购总金额（万元）</w:t>
            </w:r>
          </w:p>
        </w:tc>
      </w:tr>
      <w:tr w14:paraId="5E7F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5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2D6C2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政府集中采购</w:t>
            </w:r>
          </w:p>
        </w:tc>
        <w:tc>
          <w:tcPr>
            <w:tcW w:w="1110"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72D8B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8</w:t>
            </w:r>
          </w:p>
        </w:tc>
        <w:tc>
          <w:tcPr>
            <w:tcW w:w="35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1E2B7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22</w:t>
            </w:r>
          </w:p>
        </w:tc>
      </w:tr>
    </w:tbl>
    <w:p w14:paraId="72AD2762">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br w:type="textWrapping"/>
      </w:r>
      <w:r>
        <w:rPr>
          <w:rFonts w:hint="eastAsia" w:ascii="仿宋" w:hAnsi="仿宋" w:eastAsia="仿宋" w:cs="仿宋"/>
          <w:b/>
          <w:bCs/>
          <w:sz w:val="24"/>
          <w:szCs w:val="24"/>
        </w:rPr>
        <w:t>三、收到和处理政府信息公开申请情况</w:t>
      </w:r>
    </w:p>
    <w:tbl>
      <w:tblPr>
        <w:tblStyle w:val="4"/>
        <w:tblW w:w="68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0"/>
        <w:gridCol w:w="847"/>
        <w:gridCol w:w="819"/>
        <w:gridCol w:w="603"/>
        <w:gridCol w:w="1076"/>
        <w:gridCol w:w="508"/>
        <w:gridCol w:w="703"/>
        <w:gridCol w:w="720"/>
        <w:gridCol w:w="508"/>
        <w:gridCol w:w="509"/>
      </w:tblGrid>
      <w:tr w14:paraId="2779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1" w:hRule="atLeast"/>
        </w:trPr>
        <w:tc>
          <w:tcPr>
            <w:tcW w:w="313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28CC0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（本列数据的勾稽关系为：第一项加第二项之和，等于第三项加第四项之和）</w:t>
            </w:r>
          </w:p>
        </w:tc>
        <w:tc>
          <w:tcPr>
            <w:tcW w:w="11111" w:type="dxa"/>
            <w:gridSpan w:val="7"/>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A4146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申请人情况</w:t>
            </w:r>
          </w:p>
        </w:tc>
      </w:tr>
      <w:tr w14:paraId="7B4F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3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8B8BEA">
            <w:pPr>
              <w:jc w:val="center"/>
              <w:rPr>
                <w:rFonts w:hint="eastAsia" w:ascii="仿宋" w:hAnsi="仿宋" w:eastAsia="仿宋" w:cs="仿宋"/>
                <w:i w:val="0"/>
                <w:iCs w:val="0"/>
                <w:caps w:val="0"/>
                <w:color w:val="000000"/>
                <w:spacing w:val="0"/>
                <w:sz w:val="24"/>
                <w:szCs w:val="24"/>
                <w:u w:val="none"/>
              </w:rPr>
            </w:pPr>
          </w:p>
        </w:tc>
        <w:tc>
          <w:tcPr>
            <w:tcW w:w="1391"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5FADC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自然人</w:t>
            </w:r>
          </w:p>
        </w:tc>
        <w:tc>
          <w:tcPr>
            <w:tcW w:w="864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9680D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法人或其他组织</w:t>
            </w:r>
          </w:p>
        </w:tc>
        <w:tc>
          <w:tcPr>
            <w:tcW w:w="1074"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03981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总计</w:t>
            </w:r>
          </w:p>
        </w:tc>
      </w:tr>
      <w:tr w14:paraId="0779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13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9B5B11">
            <w:pPr>
              <w:jc w:val="center"/>
              <w:rPr>
                <w:rFonts w:hint="eastAsia" w:ascii="仿宋" w:hAnsi="仿宋" w:eastAsia="仿宋" w:cs="仿宋"/>
                <w:i w:val="0"/>
                <w:iCs w:val="0"/>
                <w:caps w:val="0"/>
                <w:color w:val="000000"/>
                <w:spacing w:val="0"/>
                <w:sz w:val="24"/>
                <w:szCs w:val="24"/>
                <w:u w:val="none"/>
              </w:rPr>
            </w:pPr>
          </w:p>
        </w:tc>
        <w:tc>
          <w:tcPr>
            <w:tcW w:w="1391"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BC1FC8">
            <w:pPr>
              <w:jc w:val="center"/>
              <w:rPr>
                <w:rFonts w:hint="eastAsia" w:ascii="仿宋" w:hAnsi="仿宋" w:eastAsia="仿宋" w:cs="仿宋"/>
                <w:i w:val="0"/>
                <w:iCs w:val="0"/>
                <w:caps w:val="0"/>
                <w:color w:val="000000"/>
                <w:spacing w:val="0"/>
                <w:sz w:val="24"/>
                <w:szCs w:val="24"/>
                <w:u w:val="none"/>
              </w:rPr>
            </w:pP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0A3F0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商业企业</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C3B8D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科研机构</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E7660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社会公益组织</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490CD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法律服务机构</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782A2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其他</w:t>
            </w:r>
          </w:p>
        </w:tc>
        <w:tc>
          <w:tcPr>
            <w:tcW w:w="1074"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CE9DB4">
            <w:pPr>
              <w:jc w:val="center"/>
              <w:rPr>
                <w:rFonts w:hint="eastAsia" w:ascii="仿宋" w:hAnsi="仿宋" w:eastAsia="仿宋" w:cs="仿宋"/>
                <w:i w:val="0"/>
                <w:iCs w:val="0"/>
                <w:caps w:val="0"/>
                <w:color w:val="000000"/>
                <w:spacing w:val="0"/>
                <w:sz w:val="24"/>
                <w:szCs w:val="24"/>
                <w:u w:val="none"/>
              </w:rPr>
            </w:pPr>
          </w:p>
        </w:tc>
      </w:tr>
      <w:tr w14:paraId="2F50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139"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ADB40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一、本年新收政府信息公开申请数量</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B4384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87D39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913E5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7EFBB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D7DA4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B2457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41781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747C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139"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C930F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二、上年结转政府信息公开申请数量</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4FF33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98AFB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3426E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2C18B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2B442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F435D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F074E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089F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9F66C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三、本年度办理结果</w:t>
            </w:r>
          </w:p>
        </w:tc>
        <w:tc>
          <w:tcPr>
            <w:tcW w:w="262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44578A">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（一）予以公开</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C9B6A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8B56B1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2535C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44DAC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267B1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26515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A9835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0AB1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68087C">
            <w:pPr>
              <w:jc w:val="center"/>
              <w:rPr>
                <w:rFonts w:hint="eastAsia" w:ascii="仿宋" w:hAnsi="仿宋" w:eastAsia="仿宋" w:cs="仿宋"/>
                <w:i w:val="0"/>
                <w:iCs w:val="0"/>
                <w:caps w:val="0"/>
                <w:color w:val="000000"/>
                <w:spacing w:val="0"/>
                <w:sz w:val="24"/>
                <w:szCs w:val="24"/>
                <w:u w:val="none"/>
              </w:rPr>
            </w:pPr>
          </w:p>
        </w:tc>
        <w:tc>
          <w:tcPr>
            <w:tcW w:w="262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1959BB">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（二）部分公开（区分处理的，只计这一情形，不计其他情形）</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24680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32B88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87D5C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A977F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210D9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2262B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642EA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6D8C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4C17D9">
            <w:pPr>
              <w:jc w:val="center"/>
              <w:rPr>
                <w:rFonts w:hint="eastAsia" w:ascii="仿宋" w:hAnsi="仿宋" w:eastAsia="仿宋" w:cs="仿宋"/>
                <w:i w:val="0"/>
                <w:iCs w:val="0"/>
                <w:caps w:val="0"/>
                <w:color w:val="000000"/>
                <w:spacing w:val="0"/>
                <w:sz w:val="24"/>
                <w:szCs w:val="24"/>
                <w:u w:val="none"/>
              </w:rPr>
            </w:pP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16E00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（三）不予公开</w:t>
            </w: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3BF7A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1.属于国家秘密</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4422E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53D95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E2418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FE07E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12F1C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76C24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3EE70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66D0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E8DE91">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4663DC">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0372E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2.其他法律行政法规禁止公开</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CEC00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807FD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69641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20E15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E5874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A3550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A286A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354A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BEBC41">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006DB1">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AE1D4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3.危及“三安全一稳定”</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88840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7431E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0497F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FA5AE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76C1C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EDF1A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2F8B2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0B9E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103DEE">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ABFDFA">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6D2EB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4.保护第三方合法权益</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4009C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79726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95033A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7F154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11714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4303C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3D470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5D1D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39ABDB">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24E369">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9ACB0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5.属于三类内部事务信息</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D8039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ED252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43EA5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AAD7E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93562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27427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40EAA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0971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AE4021">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DE5FD2">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211AA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6.属于四类过程性信息</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3E500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0D0AC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34316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E3DA31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B4368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400ED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53E8C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079E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CEDDB6">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7E9869">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E3254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7.属于行政执法案卷</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5DE32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CD498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369BD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BF0C4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8CE19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C06CF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378969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7A16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74D286">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E45289">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F1190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8.属于行政查询事项</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4466B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60CA0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52506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15D13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D58BC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0DD5E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FA5B7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0103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925EAFD">
            <w:pPr>
              <w:jc w:val="center"/>
              <w:rPr>
                <w:rFonts w:hint="eastAsia" w:ascii="仿宋" w:hAnsi="仿宋" w:eastAsia="仿宋" w:cs="仿宋"/>
                <w:i w:val="0"/>
                <w:iCs w:val="0"/>
                <w:caps w:val="0"/>
                <w:color w:val="000000"/>
                <w:spacing w:val="0"/>
                <w:sz w:val="24"/>
                <w:szCs w:val="24"/>
                <w:u w:val="none"/>
              </w:rPr>
            </w:pP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2DE29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（四）无法提供</w:t>
            </w: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2A838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1.本机关不掌握相关政府信息</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232684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8E9A1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8E5FE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8A033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27FAE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29727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1D9CD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2376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B0BFAC">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15CCDC">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7BFBF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2.没有现成信息需要另行制作</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BCCB4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2DF10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C6D9B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74D49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2EB54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DB071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265A5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62F5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8DFE6E">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5C8220">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183D5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3.补正后申请内容仍不明确</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C5368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45EE4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D1CB8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6998F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B8F7B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37E94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D7C95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719D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C72F95">
            <w:pPr>
              <w:jc w:val="center"/>
              <w:rPr>
                <w:rFonts w:hint="eastAsia" w:ascii="仿宋" w:hAnsi="仿宋" w:eastAsia="仿宋" w:cs="仿宋"/>
                <w:i w:val="0"/>
                <w:iCs w:val="0"/>
                <w:caps w:val="0"/>
                <w:color w:val="000000"/>
                <w:spacing w:val="0"/>
                <w:sz w:val="24"/>
                <w:szCs w:val="24"/>
                <w:u w:val="none"/>
              </w:rPr>
            </w:pP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60496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（五）不予处理</w:t>
            </w: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2755D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1.信访举报投诉类申请</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BD7CD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9B7A8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5094A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162E8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E2C7D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AEC88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16A69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038E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0493F9">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9834ACE">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A6694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2.重复申请</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203B5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85856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69E85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85DA9A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AD899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4CB80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1F6B4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70D6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F83B9B">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449825">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3A7A3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3.要求提供公开出版物</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9D6F7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ACDDD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8287C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B7F8A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171DE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FC5F1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5CEB7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74DA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ABD180">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6A4D0A">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7EAB9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4.无正当理由大量反复申请</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93773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F370D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CD563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F821E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5E13B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B7B12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01693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5E04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2319E5">
            <w:pPr>
              <w:jc w:val="center"/>
              <w:rPr>
                <w:rFonts w:hint="eastAsia" w:ascii="仿宋" w:hAnsi="仿宋" w:eastAsia="仿宋" w:cs="仿宋"/>
                <w:i w:val="0"/>
                <w:iCs w:val="0"/>
                <w:caps w:val="0"/>
                <w:color w:val="000000"/>
                <w:spacing w:val="0"/>
                <w:sz w:val="24"/>
                <w:szCs w:val="24"/>
                <w:u w:val="none"/>
              </w:rPr>
            </w:pP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55692F">
            <w:pPr>
              <w:jc w:val="center"/>
              <w:rPr>
                <w:rFonts w:hint="eastAsia" w:ascii="仿宋" w:hAnsi="仿宋" w:eastAsia="仿宋" w:cs="仿宋"/>
                <w:i w:val="0"/>
                <w:iCs w:val="0"/>
                <w:caps w:val="0"/>
                <w:color w:val="000000"/>
                <w:spacing w:val="0"/>
                <w:sz w:val="24"/>
                <w:szCs w:val="24"/>
                <w:u w:val="none"/>
              </w:rPr>
            </w:pPr>
          </w:p>
        </w:tc>
        <w:tc>
          <w:tcPr>
            <w:tcW w:w="155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245E2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5.要求行政机关确认或重新出具已获取信息</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8B9C7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65162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9D3B25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B9112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4A273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1D385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B9319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6A3C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F7813D">
            <w:pPr>
              <w:jc w:val="center"/>
              <w:rPr>
                <w:rFonts w:hint="eastAsia" w:ascii="仿宋" w:hAnsi="仿宋" w:eastAsia="仿宋" w:cs="仿宋"/>
                <w:i w:val="0"/>
                <w:iCs w:val="0"/>
                <w:caps w:val="0"/>
                <w:color w:val="000000"/>
                <w:spacing w:val="0"/>
                <w:sz w:val="24"/>
                <w:szCs w:val="24"/>
                <w:u w:val="none"/>
              </w:rPr>
            </w:pPr>
          </w:p>
        </w:tc>
        <w:tc>
          <w:tcPr>
            <w:tcW w:w="262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29CA7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（六）其他处理</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84ED7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CE303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E2376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2769C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DD88E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02BAA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E1C48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09ED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791DD5">
            <w:pPr>
              <w:jc w:val="center"/>
              <w:rPr>
                <w:rFonts w:hint="eastAsia" w:ascii="仿宋" w:hAnsi="仿宋" w:eastAsia="仿宋" w:cs="仿宋"/>
                <w:i w:val="0"/>
                <w:iCs w:val="0"/>
                <w:caps w:val="0"/>
                <w:color w:val="000000"/>
                <w:spacing w:val="0"/>
                <w:sz w:val="24"/>
                <w:szCs w:val="24"/>
                <w:u w:val="none"/>
              </w:rPr>
            </w:pPr>
          </w:p>
        </w:tc>
        <w:tc>
          <w:tcPr>
            <w:tcW w:w="262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1C8E0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（七）总计</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A1C82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7B4D3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2693E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E12816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F2EEC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B1C33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87820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r w14:paraId="52AD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139"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D501A9">
            <w:pPr>
              <w:keepNext w:val="0"/>
              <w:keepLines w:val="0"/>
              <w:widowControl/>
              <w:suppressLineNumbers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四、结转下年度继续办理</w:t>
            </w:r>
          </w:p>
        </w:tc>
        <w:tc>
          <w:tcPr>
            <w:tcW w:w="139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E9B60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29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6E72E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72D7E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B84A8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78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4670C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16B884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231F2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bl>
    <w:p w14:paraId="2B2B229B">
      <w:pPr>
        <w:pStyle w:val="3"/>
        <w:keepNext w:val="0"/>
        <w:keepLines w:val="0"/>
        <w:widowControl/>
        <w:suppressLineNumbers w:val="0"/>
        <w:rPr>
          <w:rFonts w:hint="eastAsia" w:ascii="仿宋" w:hAnsi="仿宋" w:eastAsia="仿宋" w:cs="仿宋"/>
          <w:sz w:val="24"/>
          <w:szCs w:val="24"/>
        </w:rPr>
      </w:pPr>
    </w:p>
    <w:p w14:paraId="52B3A24F">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b/>
          <w:bCs/>
          <w:sz w:val="24"/>
          <w:szCs w:val="24"/>
        </w:rPr>
        <w:t>四、政府信息公开行政复议、行政诉讼情况</w:t>
      </w:r>
    </w:p>
    <w:tbl>
      <w:tblPr>
        <w:tblStyle w:val="4"/>
        <w:tblW w:w="7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3"/>
        <w:gridCol w:w="408"/>
        <w:gridCol w:w="420"/>
        <w:gridCol w:w="443"/>
        <w:gridCol w:w="443"/>
        <w:gridCol w:w="587"/>
        <w:gridCol w:w="581"/>
        <w:gridCol w:w="581"/>
        <w:gridCol w:w="581"/>
        <w:gridCol w:w="581"/>
        <w:gridCol w:w="581"/>
        <w:gridCol w:w="582"/>
        <w:gridCol w:w="582"/>
        <w:gridCol w:w="582"/>
        <w:gridCol w:w="582"/>
      </w:tblGrid>
      <w:tr w14:paraId="4BD6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3345"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9DE66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行政复议</w:t>
            </w:r>
          </w:p>
        </w:tc>
        <w:tc>
          <w:tcPr>
            <w:tcW w:w="10815"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993F3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行政诉讼</w:t>
            </w:r>
          </w:p>
        </w:tc>
      </w:tr>
      <w:tr w14:paraId="1D51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7CEB9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结果维持</w:t>
            </w: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33E897E">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结果纠正</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8A642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其他结果</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E7911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尚未审结</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46A77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总计</w:t>
            </w:r>
          </w:p>
        </w:tc>
        <w:tc>
          <w:tcPr>
            <w:tcW w:w="5415"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BAD115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未经复议直接起诉</w:t>
            </w:r>
          </w:p>
        </w:tc>
        <w:tc>
          <w:tcPr>
            <w:tcW w:w="5400"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B2FAD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复议后起诉</w:t>
            </w:r>
          </w:p>
        </w:tc>
      </w:tr>
      <w:tr w14:paraId="6A0F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969D4A">
            <w:pPr>
              <w:jc w:val="center"/>
              <w:rPr>
                <w:rFonts w:hint="eastAsia" w:ascii="仿宋" w:hAnsi="仿宋" w:eastAsia="仿宋" w:cs="仿宋"/>
                <w:i w:val="0"/>
                <w:iCs w:val="0"/>
                <w:caps w:val="0"/>
                <w:color w:val="000000"/>
                <w:spacing w:val="0"/>
                <w:sz w:val="24"/>
                <w:szCs w:val="24"/>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8A777C">
            <w:pPr>
              <w:jc w:val="center"/>
              <w:rPr>
                <w:rFonts w:hint="eastAsia" w:ascii="仿宋" w:hAnsi="仿宋" w:eastAsia="仿宋" w:cs="仿宋"/>
                <w:i w:val="0"/>
                <w:iCs w:val="0"/>
                <w:caps w:val="0"/>
                <w:color w:val="000000"/>
                <w:spacing w:val="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8306CC9">
            <w:pPr>
              <w:jc w:val="center"/>
              <w:rPr>
                <w:rFonts w:hint="eastAsia" w:ascii="仿宋" w:hAnsi="仿宋" w:eastAsia="仿宋" w:cs="仿宋"/>
                <w:i w:val="0"/>
                <w:iCs w:val="0"/>
                <w:caps w:val="0"/>
                <w:color w:val="000000"/>
                <w:spacing w:val="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0A2303">
            <w:pPr>
              <w:jc w:val="center"/>
              <w:rPr>
                <w:rFonts w:hint="eastAsia" w:ascii="仿宋" w:hAnsi="仿宋" w:eastAsia="仿宋" w:cs="仿宋"/>
                <w:i w:val="0"/>
                <w:iCs w:val="0"/>
                <w:caps w:val="0"/>
                <w:color w:val="000000"/>
                <w:spacing w:val="0"/>
                <w:sz w:val="24"/>
                <w:szCs w:val="24"/>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8929B4">
            <w:pPr>
              <w:jc w:val="center"/>
              <w:rPr>
                <w:rFonts w:hint="eastAsia" w:ascii="仿宋" w:hAnsi="仿宋" w:eastAsia="仿宋" w:cs="仿宋"/>
                <w:i w:val="0"/>
                <w:iCs w:val="0"/>
                <w:caps w:val="0"/>
                <w:color w:val="000000"/>
                <w:spacing w:val="0"/>
                <w:sz w:val="24"/>
                <w:szCs w:val="24"/>
                <w:u w:val="none"/>
              </w:rPr>
            </w:pP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D4F26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结果维持</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A8E01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结果纠正</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E0485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其他结果</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F45B3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尚未审结</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7F791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总计</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1947C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结果维持</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25E0A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结果纠正</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98033E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其他结果</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DC125D">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尚未审结</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5790C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总计</w:t>
            </w:r>
          </w:p>
        </w:tc>
      </w:tr>
      <w:tr w14:paraId="3464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613569">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6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959868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6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57D8A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CFF6B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49B81E0">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9C3E43">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0822E4">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DB30A8">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9C7471">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5B936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ABFBD7">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9F793C">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7719DF">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5D91B5">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EEDDE5A">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4"/>
                <w:szCs w:val="24"/>
                <w:u w:val="none"/>
              </w:rPr>
            </w:pPr>
            <w:r>
              <w:rPr>
                <w:rFonts w:hint="eastAsia" w:ascii="仿宋" w:hAnsi="仿宋" w:eastAsia="仿宋" w:cs="仿宋"/>
                <w:i w:val="0"/>
                <w:iCs w:val="0"/>
                <w:caps w:val="0"/>
                <w:color w:val="000000"/>
                <w:spacing w:val="0"/>
                <w:kern w:val="0"/>
                <w:sz w:val="24"/>
                <w:szCs w:val="24"/>
                <w:u w:val="none"/>
                <w:lang w:val="en-US" w:eastAsia="zh-CN" w:bidi="ar"/>
              </w:rPr>
              <w:t>0</w:t>
            </w:r>
          </w:p>
        </w:tc>
      </w:tr>
    </w:tbl>
    <w:p w14:paraId="02552872">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4"/>
          <w:szCs w:val="24"/>
        </w:rPr>
        <w:br w:type="textWrapping"/>
      </w:r>
      <w:r>
        <w:rPr>
          <w:rFonts w:hint="eastAsia" w:ascii="仿宋" w:hAnsi="仿宋" w:eastAsia="仿宋" w:cs="仿宋"/>
          <w:b/>
          <w:bCs/>
          <w:sz w:val="28"/>
          <w:szCs w:val="28"/>
        </w:rPr>
        <w:t>五、存在的主要问题及改进情况</w:t>
      </w:r>
    </w:p>
    <w:p w14:paraId="07BC25B0">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2019年，我镇的政务公开工作虽然取得了一些成绩，但仍存在着诸多问题，一是工作机制还不够完善，信息发布、公众互动和政务公开队伍建设等机制需在工作实践中不断地完善；二是公开方式还不够创新，图解、视频等新媒体宣传能力还不够，可读性、感染力不够强；三是信息发布不够全面，内容不够具体，没有做到全面、及时公开。2020年，我镇政务公开工作，将在县政务公开办指导下，认真贯彻落实各级政务公开决策部署，进一步明确责任，细化工作任务，强化督查问责，促进全镇政务公开工作标准化、规范化、常态化。 </w:t>
      </w:r>
      <w:r>
        <w:rPr>
          <w:rFonts w:hint="eastAsia" w:ascii="仿宋" w:hAnsi="仿宋" w:eastAsia="仿宋" w:cs="仿宋"/>
          <w:sz w:val="28"/>
          <w:szCs w:val="28"/>
        </w:rPr>
        <w:br w:type="textWrapping"/>
      </w:r>
      <w:r>
        <w:rPr>
          <w:rFonts w:hint="eastAsia" w:ascii="仿宋" w:hAnsi="仿宋" w:eastAsia="仿宋" w:cs="仿宋"/>
          <w:sz w:val="28"/>
          <w:szCs w:val="28"/>
        </w:rPr>
        <w:t>    一是规范政务公开内容。加强政务公开网内容建设，突出决策公开、执行公开、管理公开、服务公开和结果公开，政策宣传解读和回应社会关切等内容，确保公开内容覆盖行政权力运行全流程、政务服务全过程和政务公开工作全环节。配合全县政务公开办进一步调整优化政务公开目录内容。</w:t>
      </w:r>
    </w:p>
    <w:p w14:paraId="49166B6E">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二是进一步完善基层政务公开标准化规范化试点工作。按照试点工作安排，进一步整改完善基层政务公开标准化规范化试点工作，规范公开内容和格式。不断提炼试点经验做法，形成可复制、可推广、可考核的基层政务公开标准和规范，为全国、全省推进基层政务公开工作发挥示范效应。 </w:t>
      </w:r>
      <w:r>
        <w:rPr>
          <w:rFonts w:hint="eastAsia" w:ascii="仿宋" w:hAnsi="仿宋" w:eastAsia="仿宋" w:cs="仿宋"/>
          <w:sz w:val="28"/>
          <w:szCs w:val="28"/>
        </w:rPr>
        <w:br w:type="textWrapping"/>
      </w:r>
      <w:r>
        <w:rPr>
          <w:rFonts w:hint="eastAsia" w:ascii="仿宋" w:hAnsi="仿宋" w:eastAsia="仿宋" w:cs="仿宋"/>
          <w:sz w:val="28"/>
          <w:szCs w:val="28"/>
        </w:rPr>
        <w:t>    三是持续推进政务公开示范点建设。持续开展公开示范点建设，严格按照市、县政务公开要求，进一步加强政务公开工作，完善公开内容，规范公开形式，严格公开时限，发挥示范带动作用。 </w:t>
      </w:r>
      <w:r>
        <w:rPr>
          <w:rFonts w:hint="eastAsia" w:ascii="仿宋" w:hAnsi="仿宋" w:eastAsia="仿宋" w:cs="仿宋"/>
          <w:sz w:val="28"/>
          <w:szCs w:val="28"/>
        </w:rPr>
        <w:br w:type="textWrapping"/>
      </w:r>
      <w:r>
        <w:rPr>
          <w:rFonts w:hint="eastAsia" w:ascii="仿宋" w:hAnsi="仿宋" w:eastAsia="仿宋" w:cs="仿宋"/>
          <w:sz w:val="28"/>
          <w:szCs w:val="28"/>
        </w:rPr>
        <w:t>    四是提升政务公开业务水平。积极参与市、县业务培训，组织镇直各部门及各村、社区信息公开具体经办人员的业务培训，是政务公开业务人员熟悉公开内容和要求，提高业务技能，增强公开能力水平。 </w:t>
      </w:r>
      <w:r>
        <w:rPr>
          <w:rFonts w:hint="eastAsia" w:ascii="仿宋" w:hAnsi="仿宋" w:eastAsia="仿宋" w:cs="仿宋"/>
          <w:sz w:val="28"/>
          <w:szCs w:val="28"/>
        </w:rPr>
        <w:br w:type="textWrapping"/>
      </w:r>
      <w:r>
        <w:rPr>
          <w:rFonts w:hint="eastAsia" w:ascii="仿宋" w:hAnsi="仿宋" w:eastAsia="仿宋" w:cs="仿宋"/>
          <w:sz w:val="28"/>
          <w:szCs w:val="28"/>
        </w:rPr>
        <w:t>    五是加大政务公开督查力度。继续执行“一周一更新，一月一调度，一季度一监测，半年一督查，一年一考评”制度，做好责任分工，严格落实督促、检查、考评等各项工作推进机制，加强政务公开推进措施。 </w:t>
      </w:r>
    </w:p>
    <w:p w14:paraId="47AA344B">
      <w:pPr>
        <w:pStyle w:val="3"/>
        <w:keepNext w:val="0"/>
        <w:keepLines w:val="0"/>
        <w:widowControl/>
        <w:suppressLineNumbers w:val="0"/>
        <w:rPr>
          <w:rFonts w:hint="eastAsia" w:ascii="仿宋" w:hAnsi="仿宋" w:eastAsia="仿宋" w:cs="仿宋"/>
          <w:sz w:val="28"/>
          <w:szCs w:val="28"/>
        </w:rPr>
      </w:pPr>
    </w:p>
    <w:p w14:paraId="706ECC47">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b/>
          <w:bCs/>
          <w:sz w:val="28"/>
          <w:szCs w:val="28"/>
        </w:rPr>
        <w:t>六、其他需要报告的事项</w:t>
      </w:r>
    </w:p>
    <w:p w14:paraId="0008618D">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    暂无其他需要说明的事项。</w:t>
      </w:r>
    </w:p>
    <w:p w14:paraId="00857922"/>
    <w:p w14:paraId="27FA436A">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Zjk3NGQzNDAxNTBkZTRhODA5ZDYwZjdkZjk4YTIifQ=="/>
  </w:docVars>
  <w:rsids>
    <w:rsidRoot w:val="00000000"/>
    <w:rsid w:val="1E9F7479"/>
    <w:rsid w:val="5FDD46B5"/>
    <w:rsid w:val="7C43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3726</Words>
  <Characters>3841</Characters>
  <Lines>0</Lines>
  <Paragraphs>0</Paragraphs>
  <TotalTime>5</TotalTime>
  <ScaleCrop>false</ScaleCrop>
  <LinksUpToDate>false</LinksUpToDate>
  <CharactersWithSpaces>3883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2022-01-27T02:41:00Z</dcterms:created>
  <dc:creator>Administrator</dc:creator>
  <cp:lastModifiedBy>Administrator</cp:lastModifiedBy>
  <dcterms:modified xsi:type="dcterms:W3CDTF">2024-11-12T08:05:11Z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0CDBA1535DB6490F97FA58C954549A56_13</vt:lpwstr>
  </property>
</Properties>
</file>