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77972">
      <w:pPr>
        <w:pStyle w:val="2"/>
        <w:bidi w:val="0"/>
        <w:jc w:val="center"/>
      </w:pPr>
      <w:r>
        <w:rPr>
          <w:rFonts w:hint="eastAsia"/>
        </w:rPr>
        <w:t>舒城县杭埠镇人民政府202</w:t>
      </w:r>
      <w:r>
        <w:rPr>
          <w:rFonts w:hint="eastAsia"/>
          <w:lang w:val="en-US" w:eastAsia="zh-CN"/>
        </w:rPr>
        <w:t>4</w:t>
      </w:r>
      <w:r>
        <w:rPr>
          <w:rFonts w:hint="eastAsia"/>
        </w:rPr>
        <w:t>年政府信息公开工作年度报告</w:t>
      </w:r>
    </w:p>
    <w:p w14:paraId="614ADD1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xml:space="preserve">本报告根据《国务院办公厅政府信息与政务公开办公室关于印发〈中华人民共和国政府信息公开工作年度报告格式〉的通知》（国办公开办函〔2021〕30号，以下简称《通知》）《关于做好 </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 xml:space="preserve">2024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年度政府信息公开年度报告编制和发布的工作提示》要求，现公布舒城县杭埠镇人民政府2024年政府信息公开工作年度报告，本报告由舒城县杭埠镇人民政</w:t>
      </w:r>
      <w:bookmarkStart w:id="0" w:name="_GoBack"/>
      <w:bookmarkEnd w:id="0"/>
      <w:r>
        <w:rPr>
          <w:rFonts w:hint="eastAsia" w:ascii="仿宋_GB2312" w:hAnsi="Calibri" w:eastAsia="仿宋_GB2312" w:cs="仿宋_GB2312"/>
          <w:i w:val="0"/>
          <w:iCs w:val="0"/>
          <w:caps w:val="0"/>
          <w:color w:val="000000"/>
          <w:spacing w:val="0"/>
          <w:kern w:val="0"/>
          <w:sz w:val="32"/>
          <w:szCs w:val="32"/>
          <w:shd w:val="clear" w:fill="FFFFFF"/>
          <w:lang w:val="en-US" w:eastAsia="zh-CN" w:bidi="ar"/>
        </w:rPr>
        <w:t>府编制。全文包括：2024年度总体情况、行政机关主动公开政府信息情况、收到和处理政府信息公开申请情况、政府信息公开行政复议行政诉讼情况、政府信息公开工作存在的主要问题及改进情况、其他需要报告的事项等6项内容。本年度报告中使用数据统计期限为2024年1月1日至2024年12月31日。如对本报告有任何疑问，请与舒城县杭埠镇人民政府党政与社会事务办公室联系（地址：舒城县杭埠镇街道，电话：0564-8035005，邮编：231323）。</w:t>
      </w:r>
    </w:p>
    <w:p w14:paraId="0D03BF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一、总体情况</w:t>
      </w:r>
    </w:p>
    <w:p w14:paraId="723DEA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楷体" w:hAnsi="楷体" w:eastAsia="楷体" w:cs="楷体"/>
          <w:i w:val="0"/>
          <w:iCs w:val="0"/>
          <w:caps w:val="0"/>
          <w:color w:val="000000"/>
          <w:spacing w:val="0"/>
          <w:sz w:val="32"/>
          <w:szCs w:val="32"/>
          <w:shd w:val="clear" w:fill="FFFFFF"/>
        </w:rPr>
        <w:t>（一）主动公开</w:t>
      </w:r>
    </w:p>
    <w:p w14:paraId="5401F98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2024年通过政府门户网站主动公开政府信息888条，其中两化领域信息公开387条。及时回应群众关切76次。主动公开民生领域政策文件10次，涵盖惠农、卫生健康、安全生产、灾害救助等方面。同时在政策发布的3个工作日内以问答解读、H5解读和文字解读等形式对政策进行同步解读。严格落实重大决策预公开制度，本年度发布意见征集信息共4条，包括政策文件意见征集和国土空间规划决策征集以及村改居社会意见征集。开展以安置房办证政策宣传为主题的“政府开放日”活动。深入解读安置房办证政策，特别对安置房办证的具体流程和材料清单进行了详细的说明和解答，推动政策落实，全镇服务水平和工作作风得到进一步改进和提高。</w:t>
      </w:r>
    </w:p>
    <w:p w14:paraId="0A77F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（二）依申请公开</w:t>
      </w:r>
    </w:p>
    <w:p w14:paraId="063A8B2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严格规范依申请公开办理流程，从登记到审核办理答复全过程严格按照规范模式，确保不出现错漏，对于申请人出现材料不齐全的情况，以补正告知书告知申请人补齐相关材料。2024全年通过信件和线上渠道共收到依申请公开信息5件，现已全部办结。</w:t>
      </w:r>
    </w:p>
    <w:p w14:paraId="3AAC0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（三）政府信息管理</w:t>
      </w:r>
    </w:p>
    <w:p w14:paraId="77F77C2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健全工作机制，加强部门联动。我镇充分认识政务信息公开在规范服务型政府建设中的重要作用，始终坚持主要领导负总责，分管领导直接抓，紧密联系相关部门，做好协调配合，着力提高信息流通的准确性时效性，同时办公室负责信息的更新维护，确保把政务公开工作做精做细做实，提高政务公开业务水平和政务公开工作质量。严格落实信息“三审”制度，对于上网信息进行严格把关，做到涉密信息不公开，公开信息不涉密。同时定期对已发布的信息进行自查自纠，全面排查涉及群众隐私的漏洞和问题，及时整改自纠，确保信息安全。</w:t>
      </w:r>
    </w:p>
    <w:p w14:paraId="5A1853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（四）政府信息公开平台建设</w:t>
      </w:r>
    </w:p>
    <w:p w14:paraId="6173D0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根据相关文件和上级要求对信息公开栏进行了规范设置和完善。并加强镇、村（街）政务公开栏的建设，</w:t>
      </w:r>
      <w:r>
        <w:rPr>
          <w:rFonts w:hint="eastAsia" w:ascii="仿宋_GB2312" w:hAnsi="Calibri" w:eastAsia="仿宋_GB2312" w:cs="仿宋_GB2312"/>
          <w:i w:val="0"/>
          <w:iCs w:val="0"/>
          <w:caps w:val="0"/>
          <w:color w:val="000000"/>
          <w:spacing w:val="0"/>
          <w:sz w:val="32"/>
          <w:szCs w:val="32"/>
          <w:shd w:val="clear" w:fill="FFFFFF"/>
          <w:lang w:val="en-US" w:eastAsia="zh-CN"/>
        </w:rPr>
        <w:t>定期对村（街）政务公开栏</w:t>
      </w:r>
      <w:r>
        <w:rPr>
          <w:rFonts w:hint="eastAsia" w:ascii="仿宋_GB2312" w:hAnsi="Calibri" w:eastAsia="仿宋_GB2312" w:cs="仿宋_GB2312"/>
          <w:i w:val="0"/>
          <w:iCs w:val="0"/>
          <w:caps w:val="0"/>
          <w:color w:val="000000"/>
          <w:spacing w:val="0"/>
          <w:sz w:val="32"/>
          <w:szCs w:val="32"/>
          <w:shd w:val="clear" w:fill="FFFFFF"/>
          <w:lang w:val="en-US" w:eastAsia="zh-CN"/>
        </w:rPr>
        <w:t>进行检查，不断完善政务公开栏</w:t>
      </w:r>
      <w:r>
        <w:rPr>
          <w:rFonts w:hint="eastAsia" w:ascii="仿宋_GB2312" w:hAnsi="Calibri" w:eastAsia="仿宋_GB2312" w:cs="仿宋_GB2312"/>
          <w:i w:val="0"/>
          <w:iCs w:val="0"/>
          <w:caps w:val="0"/>
          <w:color w:val="000000"/>
          <w:spacing w:val="0"/>
          <w:sz w:val="32"/>
          <w:szCs w:val="32"/>
          <w:shd w:val="clear" w:fill="FFFFFF"/>
          <w:lang w:val="en-US" w:eastAsia="zh-CN"/>
        </w:rPr>
        <w:t>建设，充分拓宽宣传渠道，</w:t>
      </w:r>
      <w:r>
        <w:rPr>
          <w:rFonts w:hint="eastAsia" w:ascii="仿宋_GB2312" w:hAnsi="Calibri" w:eastAsia="仿宋_GB2312" w:cs="仿宋_GB2312"/>
          <w:i w:val="0"/>
          <w:iCs w:val="0"/>
          <w:caps w:val="0"/>
          <w:color w:val="000000"/>
          <w:spacing w:val="0"/>
          <w:sz w:val="32"/>
          <w:szCs w:val="32"/>
          <w:shd w:val="clear" w:fill="FFFFFF"/>
          <w:lang w:val="en-US" w:eastAsia="zh-CN"/>
        </w:rPr>
        <w:t>完善政策咨询综合服务台建设</w:t>
      </w:r>
      <w:r>
        <w:rPr>
          <w:rFonts w:hint="eastAsia" w:ascii="仿宋_GB2312" w:hAnsi="Calibri" w:eastAsia="仿宋_GB2312" w:cs="仿宋_GB2312"/>
          <w:i w:val="0"/>
          <w:iCs w:val="0"/>
          <w:caps w:val="0"/>
          <w:color w:val="000000"/>
          <w:spacing w:val="0"/>
          <w:sz w:val="32"/>
          <w:szCs w:val="32"/>
          <w:shd w:val="clear" w:fill="FFFFFF"/>
          <w:lang w:val="en-US" w:eastAsia="zh-CN"/>
        </w:rPr>
        <w:t>实行轮岗值班制度。开展政府开放日</w:t>
      </w:r>
      <w:r>
        <w:rPr>
          <w:rFonts w:hint="eastAsia" w:ascii="仿宋_GB2312" w:hAnsi="Calibri" w:eastAsia="仿宋_GB2312" w:cs="仿宋_GB2312"/>
          <w:i w:val="0"/>
          <w:iCs w:val="0"/>
          <w:caps w:val="0"/>
          <w:color w:val="000000"/>
          <w:spacing w:val="0"/>
          <w:sz w:val="32"/>
          <w:szCs w:val="32"/>
          <w:shd w:val="clear" w:fill="FFFFFF"/>
          <w:lang w:val="en-US" w:eastAsia="zh-CN"/>
        </w:rPr>
        <w:t>活动，打通政策落地“最后一公里”。完善政府信息查询、依申请公开受理、办事服务咨询、政策咨询综合服务窗口，制定相关工作机制，</w:t>
      </w:r>
      <w:r>
        <w:rPr>
          <w:rFonts w:hint="eastAsia" w:ascii="仿宋_GB2312" w:hAnsi="Calibri" w:eastAsia="仿宋_GB2312" w:cs="仿宋_GB2312"/>
          <w:i w:val="0"/>
          <w:iCs w:val="0"/>
          <w:caps w:val="0"/>
          <w:color w:val="000000"/>
          <w:spacing w:val="0"/>
          <w:sz w:val="32"/>
          <w:szCs w:val="32"/>
          <w:shd w:val="clear" w:fill="FFFFFF"/>
          <w:lang w:val="en-US" w:eastAsia="zh-CN"/>
        </w:rPr>
        <w:t>不断提高服务质量。</w:t>
      </w:r>
    </w:p>
    <w:p w14:paraId="2AA95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（五）监督保障</w:t>
      </w:r>
    </w:p>
    <w:p w14:paraId="2CB72C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进一步强化监督管理，加强对相关业务经办人员的培训，重点培训村业务经办员在村（街）政务公开栏</w:t>
      </w:r>
      <w:r>
        <w:rPr>
          <w:rFonts w:hint="eastAsia" w:ascii="仿宋_GB2312" w:hAnsi="Calibri" w:eastAsia="仿宋_GB2312" w:cs="仿宋_GB2312"/>
          <w:i w:val="0"/>
          <w:iCs w:val="0"/>
          <w:caps w:val="0"/>
          <w:color w:val="000000"/>
          <w:spacing w:val="0"/>
          <w:sz w:val="32"/>
          <w:szCs w:val="32"/>
          <w:shd w:val="clear" w:fill="FFFFFF"/>
          <w:lang w:val="en-US" w:eastAsia="zh-CN"/>
        </w:rPr>
        <w:t>的公开内容，特别是涉农信息公开不全不及时，泄露群众隐私这两方面。始终坚持将政务公开工作列入目标绩效考核指标，对各村进行村务公开考核。2024年我镇社会评议良好，无产生责任追究结果。</w:t>
      </w:r>
    </w:p>
    <w:p w14:paraId="265EC7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lang w:val="en-US" w:eastAsia="zh-CN"/>
        </w:rPr>
        <w:t>二、</w:t>
      </w:r>
      <w:r>
        <w:rPr>
          <w:rFonts w:hint="eastAsia" w:ascii="黑体" w:hAnsi="宋体" w:eastAsia="黑体" w:cs="黑体"/>
          <w:i w:val="0"/>
          <w:iCs w:val="0"/>
          <w:caps w:val="0"/>
          <w:color w:val="000000"/>
          <w:spacing w:val="0"/>
          <w:sz w:val="32"/>
          <w:szCs w:val="32"/>
          <w:shd w:val="clear" w:fill="FFFFFF"/>
        </w:rPr>
        <w:t>主动公开政府信息情况</w:t>
      </w:r>
    </w:p>
    <w:tbl>
      <w:tblPr>
        <w:tblStyle w:val="4"/>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14:paraId="5237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0E919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第二十条第（一）项</w:t>
            </w:r>
          </w:p>
        </w:tc>
      </w:tr>
      <w:tr w14:paraId="2BAD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13A98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657A2A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1DA150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01AED4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现行有效件数</w:t>
            </w:r>
          </w:p>
        </w:tc>
      </w:tr>
      <w:tr w14:paraId="79F9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10962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1253B0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1CC414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0BBDC4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01C0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81000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77A339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249794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49DDBB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1678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7739D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第二十条第（五）项</w:t>
            </w:r>
          </w:p>
        </w:tc>
      </w:tr>
      <w:tr w14:paraId="21BD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A847A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10247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14:paraId="244A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4AFBC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1145DF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lang w:val="en-US" w:eastAsia="zh-CN"/>
              </w:rPr>
            </w:pPr>
            <w:r>
              <w:rPr>
                <w:rFonts w:hint="eastAsia"/>
                <w:lang w:val="en-US" w:eastAsia="zh-CN"/>
              </w:rPr>
              <w:t>23</w:t>
            </w:r>
          </w:p>
        </w:tc>
      </w:tr>
      <w:tr w14:paraId="11BC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85716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第二十条第（六）项</w:t>
            </w:r>
          </w:p>
        </w:tc>
      </w:tr>
      <w:tr w14:paraId="592B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C57DF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502FBB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14:paraId="6F3F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006F0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286E88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6B6F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D3B19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6393AB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lang w:val="en-US"/>
              </w:rPr>
            </w:pPr>
            <w:r>
              <w:rPr>
                <w:rFonts w:hint="eastAsia" w:ascii="Calibri" w:hAnsi="Calibri" w:eastAsia="微软雅黑" w:cs="Calibri"/>
                <w:i w:val="0"/>
                <w:iCs w:val="0"/>
                <w:caps w:val="0"/>
                <w:color w:val="000000"/>
                <w:spacing w:val="0"/>
                <w:kern w:val="0"/>
                <w:sz w:val="21"/>
                <w:szCs w:val="21"/>
                <w:lang w:val="en-US" w:eastAsia="zh-CN" w:bidi="ar"/>
              </w:rPr>
              <w:t>0</w:t>
            </w:r>
          </w:p>
        </w:tc>
      </w:tr>
      <w:tr w14:paraId="1D7A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E739F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第二十条第（八）项</w:t>
            </w:r>
          </w:p>
        </w:tc>
      </w:tr>
      <w:tr w14:paraId="2DA6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F85D2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51637C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本年收费金额（单位：万元）</w:t>
            </w:r>
          </w:p>
        </w:tc>
      </w:tr>
      <w:tr w14:paraId="462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4CC6F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2C739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bl>
    <w:p w14:paraId="74C0E73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i w:val="0"/>
          <w:iCs w:val="0"/>
          <w:caps w:val="0"/>
          <w:color w:val="000000"/>
          <w:spacing w:val="0"/>
          <w:sz w:val="32"/>
          <w:szCs w:val="32"/>
          <w:shd w:val="clear" w:fill="FFFFFF"/>
        </w:rPr>
      </w:pPr>
    </w:p>
    <w:p w14:paraId="761A919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0" w:leftChars="0" w:right="0" w:rightChars="0"/>
        <w:jc w:val="both"/>
        <w:rPr>
          <w:rFonts w:hint="eastAsia" w:ascii="黑体" w:hAnsi="宋体" w:eastAsia="黑体" w:cs="黑体"/>
          <w:i w:val="0"/>
          <w:iCs w:val="0"/>
          <w:caps w:val="0"/>
          <w:color w:val="000000"/>
          <w:spacing w:val="0"/>
          <w:sz w:val="32"/>
          <w:szCs w:val="32"/>
          <w:shd w:val="clear" w:fill="FFFFFF"/>
        </w:rPr>
      </w:pPr>
    </w:p>
    <w:p w14:paraId="127CB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三、收到和处理政府信息公开申请情况</w:t>
      </w:r>
    </w:p>
    <w:p w14:paraId="620E9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942"/>
        <w:gridCol w:w="3205"/>
        <w:gridCol w:w="686"/>
        <w:gridCol w:w="686"/>
        <w:gridCol w:w="686"/>
        <w:gridCol w:w="686"/>
        <w:gridCol w:w="686"/>
        <w:gridCol w:w="687"/>
        <w:gridCol w:w="715"/>
      </w:tblGrid>
      <w:tr w14:paraId="34F51F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12D4D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752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申请人情况</w:t>
            </w:r>
          </w:p>
        </w:tc>
      </w:tr>
      <w:tr w14:paraId="4F43B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C318119">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D85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1BDB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5D2BC3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r>
      <w:tr w14:paraId="47E2C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2DB115B">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B3FB53">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D232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商业</w:t>
            </w:r>
          </w:p>
          <w:p w14:paraId="11810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2DD4E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科研</w:t>
            </w:r>
          </w:p>
          <w:p w14:paraId="3BB1C4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692B6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CB605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563D3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6CF27612">
            <w:pPr>
              <w:rPr>
                <w:rFonts w:hint="default" w:ascii="Times New Roman" w:hAnsi="Times New Roman" w:cs="Times New Roman"/>
                <w:sz w:val="20"/>
                <w:szCs w:val="20"/>
              </w:rPr>
            </w:pPr>
          </w:p>
        </w:tc>
      </w:tr>
      <w:tr w14:paraId="0E487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23E55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ascii="仿宋_GB2312" w:hAnsi="Calibri" w:eastAsia="仿宋_GB2312" w:cs="仿宋_GB2312"/>
                <w:color w:val="000000"/>
                <w:sz w:val="24"/>
                <w:szCs w:val="24"/>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86B1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E445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A62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3A99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AD58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3B0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A3E2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_GB2312" w:cs="Calibri"/>
                <w:sz w:val="21"/>
                <w:szCs w:val="21"/>
                <w:lang w:val="en-US" w:eastAsia="zh-CN"/>
              </w:rPr>
            </w:pPr>
            <w:r>
              <w:rPr>
                <w:rFonts w:hint="eastAsia" w:ascii="Calibri" w:hAnsi="Calibri" w:eastAsia="仿宋_GB2312" w:cs="Calibri"/>
                <w:sz w:val="21"/>
                <w:szCs w:val="21"/>
                <w:lang w:val="en-US" w:eastAsia="zh-CN"/>
              </w:rPr>
              <w:t>5</w:t>
            </w:r>
          </w:p>
        </w:tc>
      </w:tr>
      <w:tr w14:paraId="6F1CE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EF46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001B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4A09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C9AC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AED7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EB67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F452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D1E1E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r>
      <w:tr w14:paraId="7F1268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0EA99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DBDD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（一）予以公开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2BB6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1BF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6B11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26CA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5E85D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D149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101701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4CF81C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00F16DE">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8EDD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（二）部分公开（区分处理的，只计这一情形，不计其他情形）</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A39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BD87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8A5E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eastAsia" w:ascii="仿宋_GB2312" w:hAnsi="Calibri" w:eastAsia="仿宋_GB2312" w:cs="仿宋_GB2312"/>
                <w:color w:val="000000"/>
                <w:sz w:val="20"/>
                <w:szCs w:val="20"/>
              </w:rPr>
              <w:t> </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92B6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6144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8CDF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5BD1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5</w:t>
            </w:r>
          </w:p>
        </w:tc>
      </w:tr>
      <w:tr w14:paraId="66ED70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7AEB827">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706B7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2D7D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1.</w:t>
            </w:r>
            <w:r>
              <w:rPr>
                <w:rFonts w:hint="eastAsia" w:ascii="仿宋_GB2312" w:hAnsi="Calibri" w:eastAsia="仿宋_GB2312" w:cs="仿宋_GB2312"/>
                <w:color w:val="000000"/>
                <w:sz w:val="24"/>
                <w:szCs w:val="24"/>
              </w:rPr>
              <w:t>属于国家秘密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1A1C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E7AB8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F38FA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73044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0010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07D15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232454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7E221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BD8C15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27A0F9C">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1B5E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2.</w:t>
            </w:r>
            <w:r>
              <w:rPr>
                <w:rFonts w:hint="eastAsia" w:ascii="仿宋_GB2312" w:hAnsi="Calibri" w:eastAsia="仿宋_GB2312" w:cs="仿宋_GB2312"/>
                <w:color w:val="000000"/>
                <w:sz w:val="24"/>
                <w:szCs w:val="24"/>
              </w:rPr>
              <w:t>其他法律行政法规禁止公开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51397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7EA14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9E917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B9867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8BA18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A769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10BD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F1498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58CDE7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A048B60">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38BCF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3.</w:t>
            </w:r>
            <w:r>
              <w:rPr>
                <w:rFonts w:hint="eastAsia" w:ascii="仿宋_GB2312" w:hAnsi="Calibri" w:eastAsia="仿宋_GB2312" w:cs="仿宋_GB2312"/>
                <w:color w:val="000000"/>
                <w:sz w:val="24"/>
                <w:szCs w:val="24"/>
              </w:rPr>
              <w:t>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F899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4A939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03A47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55EA5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4F7A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6B7A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ABA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103401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4C4788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716BF9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BFC66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4.</w:t>
            </w:r>
            <w:r>
              <w:rPr>
                <w:rFonts w:hint="eastAsia" w:ascii="仿宋_GB2312" w:hAnsi="Calibri" w:eastAsia="仿宋_GB2312" w:cs="仿宋_GB2312"/>
                <w:color w:val="000000"/>
                <w:sz w:val="24"/>
                <w:szCs w:val="24"/>
              </w:rPr>
              <w:t>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E1EE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9540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9A95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E884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DF96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7122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B82ED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6B2958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C831EC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0BBFCD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6882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5.</w:t>
            </w:r>
            <w:r>
              <w:rPr>
                <w:rFonts w:hint="eastAsia" w:ascii="仿宋_GB2312" w:hAnsi="Calibri" w:eastAsia="仿宋_GB2312" w:cs="仿宋_GB2312"/>
                <w:color w:val="000000"/>
                <w:sz w:val="24"/>
                <w:szCs w:val="24"/>
              </w:rPr>
              <w:t>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8E73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E747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7A344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6092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FFD39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1DDE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2446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9CE9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B1C7591">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681E32D">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84428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70DE3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FF378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82B1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6314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76D1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D5473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7FF8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757127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798CDC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8E687D9">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23A2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2CE6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34F7E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5EE8E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7C20D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F86F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23292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F53F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8653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1E95A5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25291A">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AEAD4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3DFE5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6DEF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BF37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2A791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243F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37713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B969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93BAF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7401119">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F2826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E1E6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CE0D7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43EAB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B2ED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F22D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F29A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2051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A775F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AF6AE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A64D8C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82C3FF6">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46BD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1E05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3B18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A68E4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1969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2EEBA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D423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0E92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30D1FA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3F77F0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B392F64">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4829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3C09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D7369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4841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D99D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EBC2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42C5D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6ECC8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6905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A065475">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EC87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9636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DED5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1BC6C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5A93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E9D7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7A7AA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CB59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A2125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5B22D6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12658ED">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DFCE21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EB18F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2672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49EEA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4FDB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31749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DC66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8BF91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C670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452D7C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3C0B495">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077679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2373B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A9F8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856B6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198D8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D2A80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B687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9628E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D967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BB61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67DD6E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9B885C">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1ABC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72A3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1AF2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8E6AC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8339E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1A4FB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0F8A7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382B0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22D29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22847EB">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C080214">
            <w:pP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BAB31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C35DA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37F7EB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60C5CB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6E19D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585D78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6D97B4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FEA68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r>
      <w:tr w14:paraId="5E238F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B13C46E">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D78A3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5874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3B5B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BC31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FB4B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BB7F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12C4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73FE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7BE4B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52E16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8810721">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699632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0707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9EB3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D8C5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06B4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9BF4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25C8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1778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D8F0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E51F2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4ABF8E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5C3BE8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9FE07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F8BA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2DB14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3AF1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9713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6A8A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D88E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BF15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3DFB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0541F0B">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65CC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DFD1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3CDA9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4AD6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B91F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9819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51F6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FCA7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r>
      <w:tr w14:paraId="2D768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58AA4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B31A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75D3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122C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69305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1210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76879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8BED9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  0</w:t>
            </w:r>
          </w:p>
        </w:tc>
      </w:tr>
    </w:tbl>
    <w:p w14:paraId="1E3FDE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492F7A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四、政府信息公开行政复议、行政诉讼情况</w:t>
      </w:r>
    </w:p>
    <w:p w14:paraId="68D2A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7859D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461092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20BF9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行政诉讼</w:t>
            </w:r>
          </w:p>
        </w:tc>
      </w:tr>
      <w:tr w14:paraId="15B2C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AA3C6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BF50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CBCA1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56876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D3E27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1594C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37931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复议后起诉</w:t>
            </w:r>
          </w:p>
        </w:tc>
      </w:tr>
      <w:tr w14:paraId="58DB3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E3225F0">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A155137">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2776E04">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0ADD4CF">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6B2A7DF">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9057C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AD0CA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181C8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0B530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E222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5B70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AB033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F77FC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52567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E5EF0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r>
      <w:tr w14:paraId="659613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1A7BC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 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F3BC0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18A89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9B0FA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eastAsia="宋体" w:cs="Calibri"/>
                <w:sz w:val="21"/>
                <w:szCs w:val="21"/>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4</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FA205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eastAsia="宋体" w:cs="Calibri"/>
                <w:sz w:val="21"/>
                <w:szCs w:val="21"/>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4</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E452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8C92C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EA3ED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784B7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ADFAB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4F8BE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4E459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7C05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8E9CC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1309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0</w:t>
            </w:r>
          </w:p>
        </w:tc>
      </w:tr>
    </w:tbl>
    <w:p w14:paraId="41B0B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8F8F8"/>
        </w:rPr>
        <w:t> </w:t>
      </w:r>
    </w:p>
    <w:p w14:paraId="25BAA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五、存在的主要问题及改进情况</w:t>
      </w:r>
    </w:p>
    <w:p w14:paraId="7581B7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对于杭埠镇上一年度存在的相关问题，现做到积极对接各</w:t>
      </w:r>
      <w:r>
        <w:rPr>
          <w:rFonts w:hint="eastAsia" w:ascii="仿宋_GB2312" w:hAnsi="Calibri" w:eastAsia="仿宋_GB2312" w:cs="仿宋_GB2312"/>
          <w:i w:val="0"/>
          <w:iCs w:val="0"/>
          <w:caps w:val="0"/>
          <w:color w:val="000000"/>
          <w:spacing w:val="0"/>
          <w:sz w:val="32"/>
          <w:szCs w:val="32"/>
          <w:shd w:val="clear" w:fill="FFFFFF"/>
          <w:lang w:val="en-US" w:eastAsia="zh-CN"/>
        </w:rPr>
        <w:t>业务经办员，</w:t>
      </w:r>
      <w:r>
        <w:rPr>
          <w:rFonts w:hint="eastAsia" w:ascii="仿宋_GB2312" w:hAnsi="Calibri" w:eastAsia="仿宋_GB2312" w:cs="仿宋_GB2312"/>
          <w:i w:val="0"/>
          <w:iCs w:val="0"/>
          <w:caps w:val="0"/>
          <w:color w:val="000000"/>
          <w:spacing w:val="0"/>
          <w:sz w:val="32"/>
          <w:szCs w:val="32"/>
          <w:shd w:val="clear" w:fill="FFFFFF"/>
          <w:lang w:val="en-US" w:eastAsia="zh-CN"/>
        </w:rPr>
        <w:t>各相关部门明确具体经办人员，保证工作的连续性。通过定期举办业务培训会，对经办人员进行业务培训，一年以来相关经办人员的政务公开意识，和信息公开业务水平得到了较为明显的提升。</w:t>
      </w:r>
    </w:p>
    <w:p w14:paraId="033C5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b/>
          <w:bCs/>
          <w:i w:val="0"/>
          <w:iCs w:val="0"/>
          <w:caps w:val="0"/>
          <w:color w:val="000000"/>
          <w:spacing w:val="0"/>
          <w:sz w:val="32"/>
          <w:szCs w:val="32"/>
          <w:shd w:val="clear" w:fill="FFFFFF"/>
          <w:lang w:val="en-US" w:eastAsia="zh-CN"/>
        </w:rPr>
        <w:t>2024年</w:t>
      </w:r>
      <w:r>
        <w:rPr>
          <w:rFonts w:hint="eastAsia" w:ascii="仿宋_GB2312" w:hAnsi="Calibri" w:eastAsia="仿宋_GB2312" w:cs="仿宋_GB2312"/>
          <w:b/>
          <w:bCs/>
          <w:i w:val="0"/>
          <w:iCs w:val="0"/>
          <w:caps w:val="0"/>
          <w:color w:val="000000"/>
          <w:spacing w:val="0"/>
          <w:sz w:val="32"/>
          <w:szCs w:val="32"/>
          <w:shd w:val="clear" w:fill="FFFFFF"/>
        </w:rPr>
        <w:t>存在问题：</w:t>
      </w:r>
    </w:p>
    <w:p w14:paraId="38ECB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一是</w:t>
      </w:r>
      <w:r>
        <w:rPr>
          <w:rFonts w:hint="eastAsia" w:ascii="仿宋_GB2312" w:hAnsi="Calibri" w:eastAsia="仿宋_GB2312" w:cs="仿宋_GB2312"/>
          <w:i w:val="0"/>
          <w:iCs w:val="0"/>
          <w:caps w:val="0"/>
          <w:color w:val="000000"/>
          <w:spacing w:val="0"/>
          <w:sz w:val="32"/>
          <w:szCs w:val="32"/>
          <w:shd w:val="clear" w:fill="FFFFFF"/>
          <w:lang w:val="en-US" w:eastAsia="zh-CN"/>
        </w:rPr>
        <w:t>责任落实不到位。站所办之间信息沟通不畅，不能及时将相关信息进行公开，导致信息更新存在滞后性。站所办上报公开信息前审查不严格，对于专业性强的内容经办人员</w:t>
      </w:r>
      <w:r>
        <w:rPr>
          <w:rFonts w:hint="eastAsia" w:ascii="仿宋_GB2312" w:hAnsi="Calibri" w:eastAsia="仿宋_GB2312" w:cs="仿宋_GB2312"/>
          <w:i w:val="0"/>
          <w:iCs w:val="0"/>
          <w:caps w:val="0"/>
          <w:color w:val="000000"/>
          <w:spacing w:val="0"/>
          <w:sz w:val="32"/>
          <w:szCs w:val="32"/>
          <w:shd w:val="clear" w:fill="FFFFFF"/>
          <w:lang w:val="en-US" w:eastAsia="zh-CN"/>
        </w:rPr>
        <w:t>无法及时核实内容的准确性，容易导致公开的信息存在错误。</w:t>
      </w:r>
    </w:p>
    <w:p w14:paraId="283FF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二是</w:t>
      </w:r>
      <w:r>
        <w:rPr>
          <w:rFonts w:hint="eastAsia" w:ascii="仿宋_GB2312" w:hAnsi="Calibri" w:eastAsia="仿宋_GB2312" w:cs="仿宋_GB2312"/>
          <w:i w:val="0"/>
          <w:iCs w:val="0"/>
          <w:caps w:val="0"/>
          <w:color w:val="000000"/>
          <w:spacing w:val="0"/>
          <w:sz w:val="32"/>
          <w:szCs w:val="32"/>
          <w:shd w:val="clear" w:fill="FFFFFF"/>
          <w:lang w:val="en-US" w:eastAsia="zh-CN"/>
        </w:rPr>
        <w:t>工作缺乏持续性。具体业务经办人员因工作调动和其他工作影响，导致政务公开不能从始至终由一人经办，经办人员的业务水平不高，导致政务公开的工作难以高质量完成，甚至出现断档现象。</w:t>
      </w:r>
    </w:p>
    <w:p w14:paraId="1A0F1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b/>
          <w:bCs/>
          <w:i w:val="0"/>
          <w:iCs w:val="0"/>
          <w:caps w:val="0"/>
          <w:color w:val="000000"/>
          <w:spacing w:val="0"/>
          <w:sz w:val="32"/>
          <w:szCs w:val="32"/>
          <w:shd w:val="clear" w:fill="FFFFFF"/>
          <w:lang w:val="en-US" w:eastAsia="zh-CN"/>
        </w:rPr>
        <w:t>下一步改进措施</w:t>
      </w:r>
      <w:r>
        <w:rPr>
          <w:rFonts w:hint="eastAsia" w:ascii="仿宋_GB2312" w:hAnsi="Calibri" w:eastAsia="仿宋_GB2312" w:cs="仿宋_GB2312"/>
          <w:b/>
          <w:bCs/>
          <w:i w:val="0"/>
          <w:iCs w:val="0"/>
          <w:caps w:val="0"/>
          <w:color w:val="000000"/>
          <w:spacing w:val="0"/>
          <w:sz w:val="32"/>
          <w:szCs w:val="32"/>
          <w:shd w:val="clear" w:fill="FFFFFF"/>
        </w:rPr>
        <w:t>：</w:t>
      </w:r>
    </w:p>
    <w:p w14:paraId="110AF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一是严格压实责任。加强对各部门的工作人员督查督办，每月定期开展督查，并对需要更新的信息开展检查，压实责任到个人，并对更新内容出现错误的人员进行批评追责，严格执行“三审”制度，确保我镇政务公开及时、准确。</w:t>
      </w:r>
    </w:p>
    <w:p w14:paraId="403A63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二是进一步增强政务公开意识。要求各相关部门明确具体经办人员，并要求具体经办人员要以政务公开工作为主要，避免出现政务公开工作人员随意变动造成工作断档的现象，确保政务公开工作的连续性和完整性。</w:t>
      </w:r>
    </w:p>
    <w:p w14:paraId="1E322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六、其他需要报告的事项</w:t>
      </w:r>
    </w:p>
    <w:p w14:paraId="56C7E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14:paraId="7D6706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B1450"/>
    <w:rsid w:val="01F75CCC"/>
    <w:rsid w:val="03165668"/>
    <w:rsid w:val="040B1450"/>
    <w:rsid w:val="04CE6914"/>
    <w:rsid w:val="078A2998"/>
    <w:rsid w:val="0B4E34C6"/>
    <w:rsid w:val="0C120EFE"/>
    <w:rsid w:val="111D4066"/>
    <w:rsid w:val="115E01DA"/>
    <w:rsid w:val="12DD57BC"/>
    <w:rsid w:val="15565D98"/>
    <w:rsid w:val="171952CF"/>
    <w:rsid w:val="1DEC729A"/>
    <w:rsid w:val="1FE8583F"/>
    <w:rsid w:val="20FC26E7"/>
    <w:rsid w:val="21FC5584"/>
    <w:rsid w:val="229B4DEB"/>
    <w:rsid w:val="24E933F5"/>
    <w:rsid w:val="25464757"/>
    <w:rsid w:val="29D84B76"/>
    <w:rsid w:val="2D751EAA"/>
    <w:rsid w:val="2DD33234"/>
    <w:rsid w:val="2F7013AD"/>
    <w:rsid w:val="30D616E4"/>
    <w:rsid w:val="32195733"/>
    <w:rsid w:val="321F1B41"/>
    <w:rsid w:val="3330332D"/>
    <w:rsid w:val="38F90665"/>
    <w:rsid w:val="3BC748EB"/>
    <w:rsid w:val="3BFF2436"/>
    <w:rsid w:val="3C4C4425"/>
    <w:rsid w:val="3FC574F3"/>
    <w:rsid w:val="408149CF"/>
    <w:rsid w:val="416F3BBA"/>
    <w:rsid w:val="42925DB2"/>
    <w:rsid w:val="42E601D6"/>
    <w:rsid w:val="43803E5D"/>
    <w:rsid w:val="44066879"/>
    <w:rsid w:val="44354C47"/>
    <w:rsid w:val="44BD1D7D"/>
    <w:rsid w:val="45C06D27"/>
    <w:rsid w:val="4B693428"/>
    <w:rsid w:val="4D057181"/>
    <w:rsid w:val="52B21B59"/>
    <w:rsid w:val="56BF371C"/>
    <w:rsid w:val="58935F89"/>
    <w:rsid w:val="5991071A"/>
    <w:rsid w:val="5A173191"/>
    <w:rsid w:val="5A2017D7"/>
    <w:rsid w:val="5C6E089F"/>
    <w:rsid w:val="61F0367B"/>
    <w:rsid w:val="69FC398E"/>
    <w:rsid w:val="6A5C267E"/>
    <w:rsid w:val="6D192AA9"/>
    <w:rsid w:val="6D8D5460"/>
    <w:rsid w:val="6E0A6B18"/>
    <w:rsid w:val="6EEE0EA4"/>
    <w:rsid w:val="752C70F1"/>
    <w:rsid w:val="75A10B47"/>
    <w:rsid w:val="764A5A81"/>
    <w:rsid w:val="77253DF8"/>
    <w:rsid w:val="77A967D7"/>
    <w:rsid w:val="7856695F"/>
    <w:rsid w:val="7AB67B89"/>
    <w:rsid w:val="7C4B4301"/>
    <w:rsid w:val="7CCF6CE0"/>
    <w:rsid w:val="7CD42548"/>
    <w:rsid w:val="7CD60096"/>
    <w:rsid w:val="7DA97531"/>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2862</Words>
  <Characters>2946</Characters>
  <Lines>0</Lines>
  <Paragraphs>0</Paragraphs>
  <TotalTime>23</TotalTime>
  <ScaleCrop>false</ScaleCrop>
  <LinksUpToDate>false</LinksUpToDate>
  <CharactersWithSpaces>3137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2024-12-18T02:04:00Z</dcterms:created>
  <dc:creator>桃之夭夭</dc:creator>
  <cp:lastModifiedBy>桃之夭夭</cp:lastModifiedBy>
  <dcterms:modified xsi:type="dcterms:W3CDTF">2025-01-14T01:39:07Z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978C1AC624DC424DA145822C8C5DC7CB_13</vt:lpwstr>
  </property>
  <property fmtid="{D5CDD505-2E9C-101B-9397-08002B2CF9AE}" pid="4" name="KSOTemplateDocerSaveRecord">
    <vt:lpwstr>eyJoZGlkIjoiZmI5MGI5MDk4ZDMzNTI1ZmRiYmEzNTQ4MGY0MWUyZDYiLCJ1c2VySWQiOiI0NzkyNDkwMzkifQ==</vt:lpwstr>
  </property>
</Properties>
</file>