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3C70C">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24"/>
          <w:szCs w:val="32"/>
        </w:rPr>
      </w:pPr>
      <w:r>
        <w:rPr>
          <w:rFonts w:hint="eastAsia" w:ascii="Times New Roman" w:hAnsi="Times New Roman" w:eastAsia="方正小标宋简体" w:cs="Times New Roman"/>
          <w:color w:val="000000"/>
          <w:kern w:val="0"/>
          <w:sz w:val="44"/>
          <w:szCs w:val="44"/>
          <w:lang w:val="en-US" w:eastAsia="zh-CN"/>
        </w:rPr>
        <w:t>舒城县残疾人联合会2024年政府信息公开工作年度报告</w:t>
      </w:r>
    </w:p>
    <w:p w14:paraId="351748F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宋体"/>
          <w:bCs/>
          <w:color w:val="auto"/>
          <w:kern w:val="0"/>
          <w:sz w:val="32"/>
          <w:szCs w:val="32"/>
          <w:shd w:val="clear" w:color="auto" w:fill="FFFFFF"/>
          <w:lang w:val="en-US" w:eastAsia="zh-CN" w:bidi="ar-SA"/>
        </w:rPr>
      </w:pPr>
      <w:r>
        <w:rPr>
          <w:rFonts w:hint="eastAsia" w:ascii="Times New Roman" w:hAnsi="Times New Roman" w:eastAsia="仿宋_GB2312" w:cs="宋体"/>
          <w:bCs/>
          <w:color w:val="auto"/>
          <w:kern w:val="0"/>
          <w:sz w:val="32"/>
          <w:szCs w:val="32"/>
          <w:shd w:val="clear" w:color="auto" w:fill="FFFFFF"/>
          <w:lang w:val="en-US" w:eastAsia="zh-CN" w:bidi="ar-SA"/>
        </w:rPr>
        <w:t>本年度报告是根据《中华人民共和国政府信息公开条例》（国务院令第711号）和上级文件有关要求，结合政府信息公开工作有关统计数据，由舒城县残疾人联合会编制。全文包括6个部分：总体情况、行政机关主动公开政府信息情况、收到和处理政府信息公开申请情况、政府信息公开行政复议行政诉讼情况、政府信息公开工作存在主要问题及改进情况和其他需要报告事项。</w:t>
      </w:r>
    </w:p>
    <w:p w14:paraId="401A5042">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宋体" w:cs="宋体"/>
          <w:b/>
          <w:color w:val="000000"/>
          <w:kern w:val="0"/>
          <w:sz w:val="24"/>
          <w:szCs w:val="24"/>
          <w:shd w:val="clear" w:color="auto" w:fill="FFFFFF"/>
          <w:lang w:val="en-US" w:eastAsia="zh-CN" w:bidi="ar-SA"/>
        </w:rPr>
      </w:pPr>
      <w:r>
        <w:rPr>
          <w:rFonts w:hint="eastAsia" w:ascii="Times New Roman" w:hAnsi="Times New Roman" w:eastAsia="仿宋_GB2312" w:cs="宋体"/>
          <w:bCs/>
          <w:color w:val="auto"/>
          <w:kern w:val="0"/>
          <w:sz w:val="32"/>
          <w:szCs w:val="32"/>
          <w:shd w:val="clear" w:color="auto" w:fill="FFFFFF"/>
          <w:lang w:val="en-US" w:eastAsia="zh-CN" w:bidi="ar-SA"/>
        </w:rPr>
        <w:t>本年度报告中使用数据统计期限为</w:t>
      </w:r>
      <w:bookmarkStart w:id="0" w:name="_GoBack"/>
      <w:bookmarkEnd w:id="0"/>
      <w:r>
        <w:rPr>
          <w:rFonts w:hint="eastAsia" w:ascii="Times New Roman" w:hAnsi="Times New Roman" w:eastAsia="仿宋_GB2312" w:cs="宋体"/>
          <w:bCs/>
          <w:color w:val="auto"/>
          <w:kern w:val="0"/>
          <w:sz w:val="32"/>
          <w:szCs w:val="32"/>
          <w:shd w:val="clear" w:color="auto" w:fill="FFFFFF"/>
          <w:lang w:val="en-US" w:eastAsia="zh-CN" w:bidi="ar-SA"/>
        </w:rPr>
        <w:t>2024年1月1日至2024年12月31日。如对本报告有任何疑问，请与舒城县残疾人联合会联系（地址：舒城县经济开发区纬一路；邮编：231300；联系电话：0564-2785989）。</w:t>
      </w:r>
    </w:p>
    <w:p w14:paraId="14B47092">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黑体" w:cs="黑体"/>
          <w:b w:val="0"/>
          <w:bCs/>
          <w:color w:val="000000"/>
          <w:kern w:val="0"/>
          <w:sz w:val="32"/>
          <w:szCs w:val="32"/>
          <w:shd w:val="clear" w:color="auto" w:fill="FFFFFF"/>
          <w:lang w:val="en-US" w:eastAsia="zh-CN" w:bidi="ar-SA"/>
        </w:rPr>
      </w:pPr>
      <w:r>
        <w:rPr>
          <w:rFonts w:hint="eastAsia" w:ascii="Times New Roman" w:hAnsi="Times New Roman" w:eastAsia="黑体" w:cs="黑体"/>
          <w:b w:val="0"/>
          <w:bCs/>
          <w:color w:val="000000"/>
          <w:kern w:val="0"/>
          <w:sz w:val="32"/>
          <w:szCs w:val="32"/>
          <w:shd w:val="clear" w:color="auto" w:fill="FFFFFF"/>
          <w:lang w:val="en-US" w:eastAsia="zh-CN" w:bidi="ar-SA"/>
        </w:rPr>
        <w:t>一、总体情况</w:t>
      </w:r>
    </w:p>
    <w:p w14:paraId="2ADC94A6">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宋体"/>
          <w:bCs/>
          <w:color w:val="auto"/>
          <w:kern w:val="0"/>
          <w:sz w:val="32"/>
          <w:szCs w:val="32"/>
          <w:shd w:val="clear" w:color="auto" w:fill="FFFFFF"/>
          <w:lang w:val="en-US" w:eastAsia="zh-CN" w:bidi="ar-SA"/>
        </w:rPr>
      </w:pPr>
      <w:r>
        <w:rPr>
          <w:rFonts w:hint="eastAsia" w:ascii="Times New Roman" w:hAnsi="Times New Roman" w:eastAsia="仿宋_GB2312" w:cs="宋体"/>
          <w:bCs/>
          <w:color w:val="auto"/>
          <w:kern w:val="0"/>
          <w:sz w:val="32"/>
          <w:szCs w:val="32"/>
          <w:shd w:val="clear" w:color="auto" w:fill="FFFFFF"/>
          <w:lang w:val="en-US" w:eastAsia="zh-CN" w:bidi="ar-SA"/>
        </w:rPr>
        <w:t>2024年，舒城县残联认真贯彻落实《中华人民共和国政府信息公开条例》等文件规定，加强政府信息公开的制度化、规范化、常态化建设，积极拓宽公开的领域和范围，在保障公民对残疾人工作的信息需求方面发挥了积极的作用，有力地推动了各项残疾人工作的开展。</w:t>
      </w:r>
    </w:p>
    <w:p w14:paraId="2A2D7D65">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bCs/>
          <w:color w:val="auto"/>
          <w:kern w:val="0"/>
          <w:sz w:val="32"/>
          <w:szCs w:val="32"/>
          <w:shd w:val="clear" w:color="auto" w:fill="FFFFFF"/>
          <w:lang w:val="en-US" w:eastAsia="zh-CN" w:bidi="ar-SA"/>
        </w:rPr>
      </w:pPr>
      <w:r>
        <w:rPr>
          <w:rFonts w:hint="eastAsia" w:ascii="Times New Roman" w:hAnsi="Times New Roman" w:eastAsia="楷体" w:cs="楷体"/>
          <w:b w:val="0"/>
          <w:bCs w:val="0"/>
          <w:color w:val="000000"/>
          <w:kern w:val="0"/>
          <w:sz w:val="32"/>
          <w:szCs w:val="32"/>
          <w:shd w:val="clear" w:color="auto" w:fill="FFFFFF"/>
          <w:lang w:val="en-US" w:eastAsia="zh-CN" w:bidi="ar-SA"/>
        </w:rPr>
        <w:t>1.主动公开情况。</w:t>
      </w:r>
      <w:r>
        <w:rPr>
          <w:rFonts w:hint="eastAsia" w:ascii="Times New Roman" w:hAnsi="Times New Roman" w:eastAsia="仿宋_GB2312" w:cs="宋体"/>
          <w:bCs/>
          <w:color w:val="auto"/>
          <w:kern w:val="0"/>
          <w:sz w:val="32"/>
          <w:szCs w:val="32"/>
          <w:shd w:val="clear" w:color="auto" w:fill="FFFFFF"/>
          <w:lang w:val="en-US" w:eastAsia="zh-CN" w:bidi="ar-SA"/>
        </w:rPr>
        <w:t>县残联政府信息公开工作以舒城县人民政府网站平台为主，按规定公开组织机构信息、部门文件、工作动态、财政预决算和重点领域信息等，做到专人管理，确保信息公开工作质量。全年主动公开政府信息204条，贯彻落实2024年政务公开重点工作，做好公众参与重大决策与政策解读提质增效，本年度向社会公众进行意见征集1条，发布的政策文件解读4条。做好残疾人服务领域工作指南信息的动态更新，确保指南信息长期有效，实时更新各项补助标准和实施情况共30余条。</w:t>
      </w:r>
    </w:p>
    <w:p w14:paraId="05E0CA3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宋体"/>
          <w:bCs/>
          <w:color w:val="auto"/>
          <w:kern w:val="0"/>
          <w:sz w:val="32"/>
          <w:szCs w:val="32"/>
          <w:shd w:val="clear" w:color="auto" w:fill="FFFFFF"/>
          <w:lang w:val="en-US" w:eastAsia="zh-CN" w:bidi="ar-SA"/>
        </w:rPr>
      </w:pPr>
      <w:r>
        <w:rPr>
          <w:rFonts w:hint="eastAsia" w:ascii="Times New Roman" w:hAnsi="Times New Roman" w:eastAsia="楷体" w:cs="楷体"/>
          <w:b w:val="0"/>
          <w:bCs w:val="0"/>
          <w:color w:val="000000"/>
          <w:kern w:val="0"/>
          <w:sz w:val="32"/>
          <w:szCs w:val="32"/>
          <w:shd w:val="clear" w:color="auto" w:fill="FFFFFF"/>
          <w:lang w:val="en-US" w:eastAsia="zh-CN" w:bidi="ar-SA"/>
        </w:rPr>
        <w:t>2.依申请公开。</w:t>
      </w:r>
      <w:r>
        <w:rPr>
          <w:rFonts w:hint="eastAsia" w:ascii="Times New Roman" w:hAnsi="Times New Roman" w:eastAsia="仿宋_GB2312" w:cs="宋体"/>
          <w:bCs/>
          <w:color w:val="auto"/>
          <w:kern w:val="0"/>
          <w:sz w:val="32"/>
          <w:szCs w:val="32"/>
          <w:shd w:val="clear" w:color="auto" w:fill="FFFFFF"/>
          <w:lang w:val="en-US" w:eastAsia="zh-CN" w:bidi="ar-SA"/>
        </w:rPr>
        <w:t>县残联高度重视依申请公开工作，加强对处理流程、公开范围及不予公开情形的理解和学习。2024年，收到政府信息公开依申请要求1件，其中网上申请1件，已按时办结。</w:t>
      </w:r>
    </w:p>
    <w:p w14:paraId="12A9BBC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bCs/>
          <w:color w:val="auto"/>
          <w:kern w:val="0"/>
          <w:sz w:val="32"/>
          <w:szCs w:val="32"/>
          <w:shd w:val="clear" w:color="auto" w:fill="FFFFFF"/>
          <w:lang w:val="en-US" w:eastAsia="zh-CN" w:bidi="ar-SA"/>
        </w:rPr>
      </w:pPr>
      <w:r>
        <w:rPr>
          <w:rFonts w:hint="eastAsia" w:ascii="Times New Roman" w:hAnsi="Times New Roman" w:eastAsia="楷体" w:cs="楷体"/>
          <w:b w:val="0"/>
          <w:bCs w:val="0"/>
          <w:color w:val="000000"/>
          <w:kern w:val="0"/>
          <w:sz w:val="32"/>
          <w:szCs w:val="32"/>
          <w:shd w:val="clear" w:color="auto" w:fill="FFFFFF"/>
          <w:lang w:val="en-US" w:eastAsia="zh-CN" w:bidi="ar-SA"/>
        </w:rPr>
        <w:t>3.政府信息管理。</w:t>
      </w:r>
      <w:r>
        <w:rPr>
          <w:rFonts w:hint="eastAsia" w:ascii="Times New Roman" w:hAnsi="Times New Roman" w:eastAsia="仿宋_GB2312" w:cs="宋体"/>
          <w:bCs/>
          <w:color w:val="auto"/>
          <w:kern w:val="0"/>
          <w:sz w:val="32"/>
          <w:szCs w:val="32"/>
          <w:shd w:val="clear" w:color="auto" w:fill="FFFFFF"/>
          <w:lang w:val="en-US" w:eastAsia="zh-CN" w:bidi="ar-SA"/>
        </w:rPr>
        <w:t>县残联加强对规范性文件和其他文件管理，全部按照规范性文件格式发布，并定期清理。加强对公开文件的保密审核，做到在认定公开属性前，做到对信息进行保密审查，对涉及残疾人个人隐私的，应当听取权利人的意见。对已发布的政府信息情况严格落实发布“三审制”，及时修订完善公开制度。本年度，我单位没有发生涉密信息、违规信息上网问题，开展了隐私排查，没有出现严重表述错误等问题。</w:t>
      </w:r>
    </w:p>
    <w:p w14:paraId="6B813B20">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bCs/>
          <w:color w:val="auto"/>
          <w:kern w:val="0"/>
          <w:sz w:val="32"/>
          <w:szCs w:val="32"/>
          <w:shd w:val="clear" w:color="auto" w:fill="FFFFFF"/>
          <w:lang w:val="en-US" w:eastAsia="zh-CN" w:bidi="ar-SA"/>
        </w:rPr>
      </w:pPr>
      <w:r>
        <w:rPr>
          <w:rFonts w:hint="default" w:ascii="Times New Roman" w:hAnsi="Times New Roman" w:eastAsia="楷体" w:cs="楷体"/>
          <w:b w:val="0"/>
          <w:bCs w:val="0"/>
          <w:color w:val="000000"/>
          <w:kern w:val="0"/>
          <w:sz w:val="32"/>
          <w:szCs w:val="32"/>
          <w:shd w:val="clear" w:color="auto" w:fill="FFFFFF"/>
          <w:lang w:val="en-US" w:eastAsia="zh-CN" w:bidi="ar-SA"/>
        </w:rPr>
        <w:t>4.政府信息公开平台建设情况</w:t>
      </w:r>
      <w:r>
        <w:rPr>
          <w:rFonts w:hint="eastAsia" w:ascii="Times New Roman" w:hAnsi="Times New Roman" w:eastAsia="楷体" w:cs="楷体"/>
          <w:b w:val="0"/>
          <w:bCs w:val="0"/>
          <w:color w:val="000000"/>
          <w:kern w:val="0"/>
          <w:sz w:val="32"/>
          <w:szCs w:val="32"/>
          <w:shd w:val="clear" w:color="auto" w:fill="FFFFFF"/>
          <w:lang w:val="en-US" w:eastAsia="zh-CN" w:bidi="ar-SA"/>
        </w:rPr>
        <w:t>。</w:t>
      </w:r>
      <w:r>
        <w:rPr>
          <w:rFonts w:ascii="Times New Roman" w:hAnsi="Times New Roman" w:eastAsia="仿宋_GB2312" w:cs="宋体"/>
          <w:bCs/>
          <w:color w:val="auto"/>
          <w:kern w:val="0"/>
          <w:sz w:val="32"/>
          <w:szCs w:val="32"/>
          <w:shd w:val="clear" w:color="auto" w:fill="FFFFFF"/>
          <w:lang w:bidi="ar-SA"/>
        </w:rPr>
        <w:t>县残联持续优化信息公开平台，及时更新政策文件库，注重热线服务平台办件的办理，规范信息公开专栏，丰富内容体系，实现精准分类。同时，充分利用公共媒体资源，加大残疾人工作介绍力度，提升为民服务的能力和水平。</w:t>
      </w:r>
    </w:p>
    <w:p w14:paraId="3C3022C4">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宋体"/>
          <w:bCs/>
          <w:color w:val="auto"/>
          <w:kern w:val="0"/>
          <w:sz w:val="32"/>
          <w:szCs w:val="32"/>
          <w:shd w:val="clear" w:color="auto" w:fill="FFFFFF"/>
          <w:lang w:val="en-US" w:eastAsia="zh-CN" w:bidi="ar-SA"/>
        </w:rPr>
      </w:pPr>
      <w:r>
        <w:rPr>
          <w:rFonts w:hint="eastAsia" w:ascii="Times New Roman" w:hAnsi="Times New Roman" w:eastAsia="楷体" w:cs="楷体"/>
          <w:b w:val="0"/>
          <w:bCs w:val="0"/>
          <w:color w:val="000000"/>
          <w:kern w:val="0"/>
          <w:sz w:val="32"/>
          <w:szCs w:val="32"/>
          <w:shd w:val="clear" w:color="auto" w:fill="FFFFFF"/>
          <w:lang w:val="en-US" w:eastAsia="zh-CN" w:bidi="ar-SA"/>
        </w:rPr>
        <w:t>5.监督保障。</w:t>
      </w:r>
      <w:r>
        <w:rPr>
          <w:rFonts w:hint="eastAsia" w:ascii="Times New Roman" w:hAnsi="Times New Roman" w:eastAsia="仿宋_GB2312" w:cs="宋体"/>
          <w:bCs/>
          <w:color w:val="auto"/>
          <w:kern w:val="0"/>
          <w:sz w:val="32"/>
          <w:szCs w:val="32"/>
          <w:shd w:val="clear" w:color="auto" w:fill="FFFFFF"/>
          <w:lang w:val="en-US" w:eastAsia="zh-CN" w:bidi="ar-SA"/>
        </w:rPr>
        <w:t>县残联常态化开展自纠自查工作，每月更新主动公开信息内容。主动接受县政府信息公开办公室对县残联政府信息公开情况的监督，加强对季度反馈问题的整改工作，及时整改公开不到位的内容。全年未开展社会评议工作。全年未出现因信息公开不到位需要进行责任追究的情况。</w:t>
      </w:r>
    </w:p>
    <w:p w14:paraId="23075BC7">
      <w:pPr>
        <w:widowControl/>
        <w:shd w:val="clear" w:color="auto" w:fill="FFFFFF"/>
        <w:spacing w:before="0" w:beforeAutospacing="0" w:after="0" w:afterAutospacing="0"/>
        <w:ind w:firstLine="420"/>
        <w:jc w:val="both"/>
        <w:rPr>
          <w:rFonts w:hint="eastAsia" w:ascii="Times New Roman" w:hAnsi="Times New Roman" w:eastAsia="黑体" w:cs="黑体"/>
          <w:b w:val="0"/>
          <w:bCs/>
          <w:color w:val="000000"/>
          <w:kern w:val="0"/>
          <w:sz w:val="32"/>
          <w:szCs w:val="32"/>
          <w:shd w:val="clear" w:color="auto" w:fill="FFFFFF"/>
          <w:lang w:val="en-US" w:eastAsia="zh-CN" w:bidi="ar-SA"/>
        </w:rPr>
      </w:pPr>
      <w:r>
        <w:rPr>
          <w:rFonts w:hint="eastAsia" w:ascii="Times New Roman" w:hAnsi="Times New Roman" w:eastAsia="黑体" w:cs="黑体"/>
          <w:b w:val="0"/>
          <w:bCs/>
          <w:color w:val="000000"/>
          <w:kern w:val="0"/>
          <w:sz w:val="32"/>
          <w:szCs w:val="32"/>
          <w:shd w:val="clear" w:color="auto" w:fill="FFFFFF"/>
          <w:lang w:val="en-US" w:eastAsia="zh-CN" w:bidi="ar-SA"/>
        </w:rPr>
        <w:t>二、主动公开政府信息情况</w:t>
      </w:r>
    </w:p>
    <w:tbl>
      <w:tblPr>
        <w:tblStyle w:val="3"/>
        <w:tblW w:w="9740" w:type="dxa"/>
        <w:jc w:val="center"/>
        <w:tblLayout w:type="fixed"/>
        <w:tblCellMar>
          <w:top w:w="0" w:type="dxa"/>
          <w:left w:w="0" w:type="dxa"/>
          <w:bottom w:w="0" w:type="dxa"/>
          <w:right w:w="0" w:type="dxa"/>
        </w:tblCellMar>
      </w:tblPr>
      <w:tblGrid>
        <w:gridCol w:w="2435"/>
        <w:gridCol w:w="2435"/>
        <w:gridCol w:w="2435"/>
        <w:gridCol w:w="2435"/>
      </w:tblGrid>
      <w:tr w14:paraId="65DDD646">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785CDDE7">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第二十条第（一）项</w:t>
            </w:r>
          </w:p>
        </w:tc>
      </w:tr>
      <w:tr w14:paraId="25658F6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4C9C362">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1E03E065">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28209F2F">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75D340CE">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现行有效件数</w:t>
            </w:r>
          </w:p>
        </w:tc>
      </w:tr>
      <w:tr w14:paraId="54EC9BC6">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9417E0C">
            <w:pPr>
              <w:widowControl/>
              <w:jc w:val="left"/>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48DAEEB8">
            <w:pPr>
              <w:widowControl/>
              <w:jc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4D8BE841">
            <w:pPr>
              <w:widowControl/>
              <w:jc w:val="center"/>
              <w:rPr>
                <w:rFonts w:hint="eastAsia" w:ascii="Times New Roman" w:hAnsi="Times New Roman" w:eastAsia="宋体" w:cs="宋体"/>
                <w:color w:val="000000"/>
                <w:kern w:val="0"/>
                <w:sz w:val="20"/>
                <w:szCs w:val="20"/>
                <w:lang w:val="en-US" w:eastAsia="zh-CN"/>
              </w:rPr>
            </w:pPr>
            <w:r>
              <w:rPr>
                <w:rFonts w:hint="eastAsia" w:ascii="Times New Roman" w:hAnsi="Times New Roman"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0903FFD4">
            <w:pPr>
              <w:widowControl/>
              <w:jc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lang w:val="en-US" w:eastAsia="zh-CN"/>
              </w:rPr>
              <w:t>0</w:t>
            </w:r>
          </w:p>
        </w:tc>
      </w:tr>
      <w:tr w14:paraId="4697D54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BCDABC3">
            <w:pPr>
              <w:widowControl/>
              <w:jc w:val="left"/>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7AFE68A6">
            <w:pPr>
              <w:widowControl/>
              <w:jc w:val="center"/>
              <w:rPr>
                <w:rFonts w:hint="eastAsia" w:ascii="Times New Roman" w:hAnsi="Times New Roman" w:eastAsia="宋体" w:cs="宋体"/>
                <w:color w:val="000000"/>
                <w:kern w:val="0"/>
                <w:sz w:val="20"/>
                <w:szCs w:val="20"/>
                <w:lang w:val="en-US" w:eastAsia="zh-CN"/>
              </w:rPr>
            </w:pPr>
            <w:r>
              <w:rPr>
                <w:rFonts w:hint="eastAsia" w:ascii="Times New Roman" w:hAnsi="Times New Roman"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2E1FC1E1">
            <w:pPr>
              <w:widowControl/>
              <w:jc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0D613130">
            <w:pPr>
              <w:widowControl/>
              <w:jc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lang w:val="en-US" w:eastAsia="zh-CN"/>
              </w:rPr>
              <w:t>0</w:t>
            </w:r>
          </w:p>
        </w:tc>
      </w:tr>
      <w:tr w14:paraId="1F7C294C">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25CAA34">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第二十条第（五）项</w:t>
            </w:r>
          </w:p>
        </w:tc>
      </w:tr>
      <w:tr w14:paraId="51DF554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D4BE5D3">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615FDE1C">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本年处理决定数量</w:t>
            </w:r>
          </w:p>
        </w:tc>
      </w:tr>
      <w:tr w14:paraId="118DE43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9565A27">
            <w:pPr>
              <w:widowControl/>
              <w:jc w:val="left"/>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B03A559">
            <w:pPr>
              <w:widowControl/>
              <w:jc w:val="center"/>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Calibri"/>
                <w:color w:val="000000"/>
                <w:kern w:val="0"/>
                <w:sz w:val="21"/>
                <w:szCs w:val="21"/>
                <w:lang w:val="en-US" w:eastAsia="zh-CN"/>
              </w:rPr>
              <w:t>0</w:t>
            </w:r>
          </w:p>
        </w:tc>
      </w:tr>
      <w:tr w14:paraId="4D0A8F3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70E112E">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第二十条第（六）项</w:t>
            </w:r>
          </w:p>
        </w:tc>
      </w:tr>
      <w:tr w14:paraId="08D88CC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8235CFC">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5963BB74">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本年处理决定数量</w:t>
            </w:r>
          </w:p>
        </w:tc>
      </w:tr>
      <w:tr w14:paraId="2EEE02B0">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4540616">
            <w:pPr>
              <w:widowControl/>
              <w:jc w:val="left"/>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7BBD6563">
            <w:pPr>
              <w:widowControl/>
              <w:jc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lang w:val="en-US" w:eastAsia="zh-CN"/>
              </w:rPr>
              <w:t>0</w:t>
            </w:r>
            <w:r>
              <w:rPr>
                <w:rFonts w:hint="eastAsia" w:ascii="Times New Roman" w:hAnsi="Times New Roman" w:eastAsia="宋体" w:cs="宋体"/>
                <w:color w:val="000000"/>
                <w:kern w:val="0"/>
                <w:sz w:val="20"/>
                <w:szCs w:val="20"/>
              </w:rPr>
              <w:t>　</w:t>
            </w:r>
          </w:p>
        </w:tc>
      </w:tr>
      <w:tr w14:paraId="49EE28B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8E8D3B6">
            <w:pPr>
              <w:widowControl/>
              <w:jc w:val="left"/>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DC6B576">
            <w:pPr>
              <w:widowControl/>
              <w:jc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lang w:val="en-US" w:eastAsia="zh-CN"/>
              </w:rPr>
              <w:t>0</w:t>
            </w:r>
            <w:r>
              <w:rPr>
                <w:rFonts w:hint="eastAsia" w:ascii="Times New Roman" w:hAnsi="Times New Roman" w:eastAsia="宋体" w:cs="宋体"/>
                <w:color w:val="000000"/>
                <w:kern w:val="0"/>
                <w:sz w:val="20"/>
                <w:szCs w:val="20"/>
              </w:rPr>
              <w:t>　</w:t>
            </w:r>
          </w:p>
        </w:tc>
      </w:tr>
      <w:tr w14:paraId="1D7F8F9A">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2EE78C7">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第二十条第（八）项</w:t>
            </w:r>
          </w:p>
        </w:tc>
      </w:tr>
      <w:tr w14:paraId="1903144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DBC7878">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8F2BAEF">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本年收费金额（单位：万元）</w:t>
            </w:r>
          </w:p>
        </w:tc>
      </w:tr>
      <w:tr w14:paraId="06D6D57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4BE7743">
            <w:pPr>
              <w:widowControl/>
              <w:jc w:val="left"/>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133F1A9">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r>
    </w:tbl>
    <w:p w14:paraId="1EEDC127">
      <w:pPr>
        <w:widowControl/>
        <w:shd w:val="clear" w:color="auto" w:fill="FFFFFF"/>
        <w:spacing w:before="0" w:beforeAutospacing="0" w:after="0" w:afterAutospacing="0"/>
        <w:jc w:val="both"/>
        <w:rPr>
          <w:rFonts w:hint="eastAsia" w:ascii="Times New Roman" w:hAnsi="Times New Roman" w:eastAsia="宋体" w:cs="宋体"/>
          <w:b/>
          <w:color w:val="000000"/>
          <w:kern w:val="0"/>
          <w:sz w:val="24"/>
          <w:szCs w:val="24"/>
          <w:shd w:val="clear" w:color="auto" w:fill="FFFFFF"/>
          <w:lang w:val="en-US" w:eastAsia="zh-CN" w:bidi="ar-SA"/>
        </w:rPr>
      </w:pPr>
    </w:p>
    <w:p w14:paraId="1149A0CB">
      <w:pPr>
        <w:widowControl/>
        <w:shd w:val="clear" w:color="auto" w:fill="FFFFFF"/>
        <w:spacing w:before="0" w:beforeAutospacing="0" w:after="0" w:afterAutospacing="0"/>
        <w:ind w:firstLine="420"/>
        <w:jc w:val="both"/>
        <w:rPr>
          <w:rFonts w:hint="eastAsia" w:ascii="Times New Roman" w:hAnsi="Times New Roman" w:eastAsia="黑体" w:cs="黑体"/>
          <w:b w:val="0"/>
          <w:bCs/>
          <w:color w:val="000000"/>
          <w:kern w:val="0"/>
          <w:sz w:val="32"/>
          <w:szCs w:val="32"/>
          <w:shd w:val="clear" w:color="auto" w:fill="FFFFFF"/>
          <w:lang w:val="en-US" w:eastAsia="zh-CN" w:bidi="ar-SA"/>
        </w:rPr>
      </w:pPr>
      <w:r>
        <w:rPr>
          <w:rFonts w:hint="eastAsia" w:ascii="Times New Roman" w:hAnsi="Times New Roman" w:eastAsia="黑体" w:cs="黑体"/>
          <w:b w:val="0"/>
          <w:bCs/>
          <w:color w:val="000000"/>
          <w:kern w:val="0"/>
          <w:sz w:val="32"/>
          <w:szCs w:val="32"/>
          <w:shd w:val="clear" w:color="auto" w:fill="FFFFFF"/>
          <w:lang w:val="en-US" w:eastAsia="zh-CN" w:bidi="ar-SA"/>
        </w:rPr>
        <w:t>三、收到和处理政府信息公开申请情况</w:t>
      </w:r>
    </w:p>
    <w:tbl>
      <w:tblPr>
        <w:tblStyle w:val="3"/>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649C01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02DE85D5">
            <w:pPr>
              <w:widowControl/>
              <w:jc w:val="left"/>
              <w:rPr>
                <w:rFonts w:ascii="Times New Roman" w:hAnsi="Times New Roman" w:eastAsia="仿宋_GB2312" w:cs="Times New Roman"/>
                <w:color w:val="000000"/>
                <w:sz w:val="32"/>
                <w:szCs w:val="32"/>
              </w:rPr>
            </w:pPr>
            <w:r>
              <w:rPr>
                <w:rFonts w:ascii="Times New Roman" w:hAnsi="Times New Roman" w:eastAsia="楷体" w:cs="楷体"/>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14:paraId="7EE6A303">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申请人情况</w:t>
            </w:r>
          </w:p>
        </w:tc>
      </w:tr>
      <w:tr w14:paraId="571465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2BC1D1EC">
            <w:pPr>
              <w:rPr>
                <w:rFonts w:ascii="Times New Roman" w:hAnsi="Times New Roman" w:eastAsia="仿宋_GB2312" w:cs="Times New Roman"/>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14:paraId="33C5A624">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51372A24">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14:paraId="781E71DC">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总计</w:t>
            </w:r>
          </w:p>
        </w:tc>
      </w:tr>
      <w:tr w14:paraId="2F8830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4C4D3365">
            <w:pPr>
              <w:rPr>
                <w:rFonts w:ascii="Times New Roman" w:hAnsi="Times New Roman" w:eastAsia="仿宋_GB2312" w:cs="Times New Roman"/>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14:paraId="0F74B6EA">
            <w:pPr>
              <w:rPr>
                <w:rFonts w:ascii="Times New Roman" w:hAnsi="Times New Roman" w:eastAsia="仿宋_GB2312" w:cs="Times New Roman"/>
                <w:color w:val="000000"/>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14:paraId="52C2C679">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商业</w:t>
            </w:r>
          </w:p>
          <w:p w14:paraId="0BC1677C">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14:paraId="5E9F840E">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科研</w:t>
            </w:r>
          </w:p>
          <w:p w14:paraId="38A86C81">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1B467640">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74843FF9">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5E0BE1A0">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14:paraId="1CF7CE22">
            <w:pPr>
              <w:rPr>
                <w:rFonts w:ascii="Times New Roman" w:hAnsi="Times New Roman" w:eastAsia="仿宋_GB2312" w:cs="Times New Roman"/>
                <w:color w:val="000000"/>
                <w:sz w:val="24"/>
                <w:szCs w:val="24"/>
              </w:rPr>
            </w:pPr>
          </w:p>
        </w:tc>
      </w:tr>
      <w:tr w14:paraId="2864E5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7FE5967">
            <w:pPr>
              <w:widowControl/>
              <w:jc w:val="left"/>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78008823">
            <w:pPr>
              <w:widowControl/>
              <w:jc w:val="center"/>
              <w:rPr>
                <w:rFonts w:hint="eastAsia" w:ascii="Times New Roman" w:hAnsi="Times New Roman" w:eastAsia="仿宋_GB2312" w:cs="Times New Roman"/>
                <w:color w:val="000000"/>
                <w:sz w:val="32"/>
                <w:szCs w:val="32"/>
                <w:lang w:val="en-US" w:eastAsia="zh-CN"/>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23097E1C">
            <w:pPr>
              <w:widowControl/>
              <w:jc w:val="center"/>
              <w:rPr>
                <w:rFonts w:hint="eastAsia" w:ascii="Times New Roman" w:hAnsi="Times New Roman" w:eastAsia="仿宋_GB2312" w:cs="Times New Roman"/>
                <w:color w:val="000000"/>
                <w:sz w:val="32"/>
                <w:szCs w:val="32"/>
                <w:lang w:val="en-US" w:eastAsia="zh-CN"/>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72AF1B9">
            <w:pPr>
              <w:widowControl/>
              <w:jc w:val="center"/>
              <w:rPr>
                <w:rFonts w:hint="eastAsia" w:ascii="Times New Roman" w:hAnsi="Times New Roman" w:eastAsia="仿宋_GB2312" w:cs="Times New Roman"/>
                <w:color w:val="000000"/>
                <w:sz w:val="32"/>
                <w:szCs w:val="32"/>
                <w:lang w:val="en-US" w:eastAsia="zh-CN"/>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82AB54">
            <w:pPr>
              <w:widowControl/>
              <w:jc w:val="center"/>
              <w:rPr>
                <w:rFonts w:hint="eastAsia" w:ascii="Times New Roman" w:hAnsi="Times New Roman" w:eastAsia="仿宋_GB2312" w:cs="Times New Roman"/>
                <w:color w:val="000000"/>
                <w:sz w:val="32"/>
                <w:szCs w:val="32"/>
                <w:lang w:val="en-US" w:eastAsia="zh-CN"/>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B13FE3">
            <w:pPr>
              <w:widowControl/>
              <w:jc w:val="center"/>
              <w:rPr>
                <w:rFonts w:ascii="Times New Roman" w:hAnsi="Times New Roman" w:eastAsia="仿宋_GB2312" w:cs="Times New Roman"/>
                <w:color w:val="000000"/>
                <w:sz w:val="32"/>
                <w:szCs w:val="32"/>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582912C9">
            <w:pPr>
              <w:widowControl/>
              <w:jc w:val="center"/>
              <w:rPr>
                <w:rFonts w:ascii="Times New Roman" w:hAnsi="Times New Roman" w:eastAsia="仿宋_GB2312" w:cs="Times New Roman"/>
                <w:color w:val="000000"/>
                <w:sz w:val="32"/>
                <w:szCs w:val="32"/>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3ED3981A">
            <w:pPr>
              <w:widowControl/>
              <w:jc w:val="center"/>
              <w:rPr>
                <w:rFonts w:ascii="Times New Roman" w:hAnsi="Times New Roman" w:eastAsia="仿宋_GB2312" w:cs="Times New Roman"/>
                <w:color w:val="000000"/>
                <w:sz w:val="32"/>
                <w:szCs w:val="32"/>
              </w:rPr>
            </w:pPr>
            <w:r>
              <w:rPr>
                <w:rFonts w:hint="eastAsia" w:ascii="Times New Roman" w:hAnsi="Times New Roman" w:eastAsia="仿宋_GB2312" w:cs="Calibri"/>
                <w:color w:val="000000"/>
                <w:kern w:val="0"/>
                <w:sz w:val="20"/>
                <w:szCs w:val="20"/>
                <w:lang w:val="en-US" w:eastAsia="zh-CN"/>
              </w:rPr>
              <w:t>1</w:t>
            </w:r>
            <w:r>
              <w:rPr>
                <w:rFonts w:ascii="Times New Roman" w:hAnsi="Times New Roman" w:eastAsia="仿宋_GB2312" w:cs="Calibri"/>
                <w:color w:val="000000"/>
                <w:kern w:val="0"/>
                <w:sz w:val="20"/>
                <w:szCs w:val="20"/>
              </w:rPr>
              <w:t> </w:t>
            </w:r>
          </w:p>
        </w:tc>
      </w:tr>
      <w:tr w14:paraId="6DFB85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99763A3">
            <w:pPr>
              <w:widowControl/>
              <w:jc w:val="left"/>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6F3C70BF">
            <w:pPr>
              <w:widowControl/>
              <w:jc w:val="center"/>
              <w:rPr>
                <w:rFonts w:ascii="Times New Roman" w:hAnsi="Times New Roman" w:eastAsia="仿宋_GB2312" w:cs="Times New Roman"/>
                <w:color w:val="000000"/>
                <w:sz w:val="32"/>
                <w:szCs w:val="32"/>
              </w:rPr>
            </w:pPr>
            <w:r>
              <w:rPr>
                <w:rFonts w:hint="eastAsia" w:ascii="Times New Roman" w:hAnsi="Times New Roman" w:eastAsia="仿宋_GB2312" w:cs="Calibri"/>
                <w:color w:val="000000"/>
                <w:kern w:val="0"/>
                <w:sz w:val="20"/>
                <w:szCs w:val="20"/>
                <w:lang w:val="en-US" w:eastAsia="zh-CN"/>
              </w:rPr>
              <w:t xml:space="preserve"> 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01F3C2F0">
            <w:pPr>
              <w:widowControl/>
              <w:jc w:val="center"/>
              <w:rPr>
                <w:rFonts w:ascii="Times New Roman" w:hAnsi="Times New Roman" w:eastAsia="仿宋_GB2312" w:cs="Times New Roman"/>
                <w:color w:val="000000"/>
                <w:sz w:val="32"/>
                <w:szCs w:val="32"/>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1B396385">
            <w:pPr>
              <w:widowControl/>
              <w:jc w:val="center"/>
              <w:rPr>
                <w:rFonts w:hint="eastAsia" w:ascii="Times New Roman" w:hAnsi="Times New Roman" w:eastAsia="仿宋_GB2312" w:cs="Times New Roman"/>
                <w:color w:val="000000"/>
                <w:sz w:val="32"/>
                <w:szCs w:val="32"/>
                <w:lang w:val="en-US" w:eastAsia="zh-CN"/>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ECE5C1">
            <w:pPr>
              <w:widowControl/>
              <w:jc w:val="center"/>
              <w:rPr>
                <w:rFonts w:ascii="Times New Roman" w:hAnsi="Times New Roman" w:eastAsia="仿宋_GB2312" w:cs="Times New Roman"/>
                <w:color w:val="000000"/>
                <w:sz w:val="32"/>
                <w:szCs w:val="32"/>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0960034C">
            <w:pPr>
              <w:widowControl/>
              <w:jc w:val="center"/>
              <w:rPr>
                <w:rFonts w:hint="eastAsia" w:ascii="Times New Roman" w:hAnsi="Times New Roman" w:eastAsia="仿宋_GB2312" w:cs="Times New Roman"/>
                <w:color w:val="000000"/>
                <w:sz w:val="32"/>
                <w:szCs w:val="32"/>
                <w:lang w:val="en-US" w:eastAsia="zh-CN"/>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304047">
            <w:pPr>
              <w:widowControl/>
              <w:jc w:val="center"/>
              <w:rPr>
                <w:rFonts w:ascii="Times New Roman" w:hAnsi="Times New Roman" w:eastAsia="仿宋_GB2312" w:cs="Times New Roman"/>
                <w:color w:val="000000"/>
                <w:sz w:val="32"/>
                <w:szCs w:val="32"/>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3C958CC7">
            <w:pPr>
              <w:widowControl/>
              <w:jc w:val="center"/>
              <w:rPr>
                <w:rFonts w:hint="eastAsia" w:ascii="Times New Roman" w:hAnsi="Times New Roman" w:eastAsia="仿宋_GB2312" w:cs="Times New Roman"/>
                <w:color w:val="000000"/>
                <w:sz w:val="32"/>
                <w:szCs w:val="32"/>
                <w:lang w:val="en-US" w:eastAsia="zh-CN"/>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r>
      <w:tr w14:paraId="1FA554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0814D11E">
            <w:pPr>
              <w:widowControl/>
              <w:jc w:val="left"/>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09CAF04F">
            <w:pPr>
              <w:widowControl/>
              <w:jc w:val="left"/>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22A7378">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1</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D6E10EB">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4BEA1D6">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45BD5A5">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E679F4B">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C7B79C2">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14:paraId="4EEAAAE0">
            <w:pPr>
              <w:widowControl/>
              <w:jc w:val="center"/>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1</w:t>
            </w:r>
          </w:p>
        </w:tc>
      </w:tr>
      <w:tr w14:paraId="4B2B2D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B98FA68">
            <w:pPr>
              <w:rPr>
                <w:rFonts w:ascii="Times New Roman"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426A972F">
            <w:pPr>
              <w:widowControl/>
              <w:jc w:val="left"/>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（二）部分公开</w:t>
            </w:r>
            <w:r>
              <w:rPr>
                <w:rFonts w:hint="eastAsia" w:ascii="Times New Roman" w:hAnsi="Times New Roman" w:eastAsia="楷体" w:cs="楷体"/>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DE93BC9">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8ED3324">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76AD38F">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3FE12F4">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0865C28">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5F9EFB7">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56E38A3">
            <w:pPr>
              <w:widowControl/>
              <w:jc w:val="center"/>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r>
      <w:tr w14:paraId="3DD17E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2F119AD">
            <w:pPr>
              <w:rPr>
                <w:rFonts w:ascii="Times New Roman"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5E4C2C9">
            <w:pPr>
              <w:widowControl/>
              <w:jc w:val="left"/>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14:paraId="3177F0D9">
            <w:pPr>
              <w:widowControl/>
              <w:jc w:val="left"/>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1E04173">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EB2F459">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C1FA665">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FD6D6DC">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2CDABAE">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15FC16F">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593F56B1">
            <w:pPr>
              <w:widowControl/>
              <w:jc w:val="center"/>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r>
      <w:tr w14:paraId="6D8455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2008E09">
            <w:pPr>
              <w:rPr>
                <w:rFonts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EFD9970">
            <w:pPr>
              <w:rPr>
                <w:rFonts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4534EA7">
            <w:pPr>
              <w:widowControl/>
              <w:jc w:val="left"/>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8108FCD">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6468BF4">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D04D534">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1DA27B1">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AE90E4F">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A0DD2B4">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1F93368">
            <w:pPr>
              <w:widowControl/>
              <w:jc w:val="center"/>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r>
      <w:tr w14:paraId="166A52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104B23">
            <w:pPr>
              <w:rPr>
                <w:rFonts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A6FC61">
            <w:pPr>
              <w:rPr>
                <w:rFonts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ED00FA7">
            <w:pPr>
              <w:widowControl/>
              <w:jc w:val="left"/>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B153A95">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F1530BB">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96E5FC1">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641957D">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3375436">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0F236F8">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7480BFD">
            <w:pPr>
              <w:widowControl/>
              <w:jc w:val="center"/>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r>
      <w:tr w14:paraId="234BE1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D3F643B">
            <w:pPr>
              <w:rPr>
                <w:rFonts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70833E4">
            <w:pPr>
              <w:rPr>
                <w:rFonts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2DF79DA">
            <w:pPr>
              <w:widowControl/>
              <w:jc w:val="left"/>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06730AE">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4E66C3F">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2E75C91">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9E859A4">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4E504E4">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F816EAF">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112152D">
            <w:pPr>
              <w:widowControl/>
              <w:jc w:val="center"/>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r>
      <w:tr w14:paraId="1728B8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C979CA6">
            <w:pPr>
              <w:rPr>
                <w:rFonts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83E98DB">
            <w:pPr>
              <w:rPr>
                <w:rFonts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687BAA4">
            <w:pPr>
              <w:widowControl/>
              <w:jc w:val="left"/>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B0472EA">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006CAD4">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E6F07F8">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6B4F7C5">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42E90A5">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E84FCBF">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7148D0C">
            <w:pPr>
              <w:widowControl/>
              <w:jc w:val="center"/>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r>
      <w:tr w14:paraId="6E65B7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31125E8">
            <w:pPr>
              <w:rPr>
                <w:rFonts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2EAF640">
            <w:pPr>
              <w:rPr>
                <w:rFonts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1667F443">
            <w:pPr>
              <w:widowControl/>
              <w:jc w:val="left"/>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13AE2CF">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9EAD347">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6FCC020">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A6933EB">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FFD60A7">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66295D1">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4BF151B">
            <w:pPr>
              <w:widowControl/>
              <w:jc w:val="center"/>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r>
      <w:tr w14:paraId="17B1CE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58ABD26">
            <w:pPr>
              <w:rPr>
                <w:rFonts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CCAEDB3">
            <w:pPr>
              <w:rPr>
                <w:rFonts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4BAA979">
            <w:pPr>
              <w:widowControl/>
              <w:jc w:val="left"/>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8346008">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42E70E5">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13116A3">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1AACBC0">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0E1DA5A">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D1037B1">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A86A25A">
            <w:pPr>
              <w:widowControl/>
              <w:jc w:val="center"/>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r>
      <w:tr w14:paraId="7DE1D6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07C25A0">
            <w:pPr>
              <w:rPr>
                <w:rFonts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68EF3DB">
            <w:pPr>
              <w:rPr>
                <w:rFonts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9FB2813">
            <w:pPr>
              <w:widowControl/>
              <w:jc w:val="left"/>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3C86DC6">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5E893E1">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8E2C02C">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286283C">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AC8DED6">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87EF1E5">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20D515D">
            <w:pPr>
              <w:widowControl/>
              <w:jc w:val="center"/>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r>
      <w:tr w14:paraId="481F2D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7FF651C">
            <w:pPr>
              <w:rPr>
                <w:rFonts w:ascii="Times New Roman"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396DAA27">
            <w:pPr>
              <w:widowControl/>
              <w:jc w:val="left"/>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14:paraId="53769790">
            <w:pPr>
              <w:widowControl/>
              <w:jc w:val="left"/>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92DE6F4">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5902E57">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BB29151">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941A76F">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5D9FB61">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AA0D699">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C588906">
            <w:pPr>
              <w:widowControl/>
              <w:jc w:val="center"/>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r>
      <w:tr w14:paraId="67E40E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861A1E4">
            <w:pPr>
              <w:rPr>
                <w:rFonts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153EFC2">
            <w:pPr>
              <w:rPr>
                <w:rFonts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88D874">
            <w:pPr>
              <w:widowControl/>
              <w:jc w:val="left"/>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DA51929">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8400C24">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D8201B6">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9D09E7F">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063A205">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1C2E964">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0BDC57D">
            <w:pPr>
              <w:widowControl/>
              <w:jc w:val="center"/>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r>
      <w:tr w14:paraId="154045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EBFDA0A">
            <w:pPr>
              <w:rPr>
                <w:rFonts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50ECEDB">
            <w:pPr>
              <w:rPr>
                <w:rFonts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8BDEFDB">
            <w:pPr>
              <w:widowControl/>
              <w:jc w:val="left"/>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89E755E">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2DA74C3">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CC01031">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A2A9A30">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D6E0485">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C948F0D">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3BA5E11">
            <w:pPr>
              <w:widowControl/>
              <w:jc w:val="center"/>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r>
      <w:tr w14:paraId="283110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FA6DC9E">
            <w:pPr>
              <w:rPr>
                <w:rFonts w:ascii="Times New Roman"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FDDA652">
            <w:pPr>
              <w:widowControl/>
              <w:jc w:val="left"/>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14:paraId="50622D31">
            <w:pPr>
              <w:widowControl/>
              <w:jc w:val="left"/>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3FED11F">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A9B31D3">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05AFE09">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D1863B0">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D8179E7">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D3DC633">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B296926">
            <w:pPr>
              <w:widowControl/>
              <w:jc w:val="center"/>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r>
      <w:tr w14:paraId="58E6E8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9C55D1C">
            <w:pPr>
              <w:rPr>
                <w:rFonts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EE73AEE">
            <w:pPr>
              <w:rPr>
                <w:rFonts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5B9733">
            <w:pPr>
              <w:widowControl/>
              <w:jc w:val="left"/>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C2B593B">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CC3A390">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505678A">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619F630">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61A248D">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D281D8F">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EE3687B">
            <w:pPr>
              <w:widowControl/>
              <w:jc w:val="center"/>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r>
      <w:tr w14:paraId="0242F8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923D7DA">
            <w:pPr>
              <w:rPr>
                <w:rFonts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B4C0FD0">
            <w:pPr>
              <w:rPr>
                <w:rFonts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4FF4B5A">
            <w:pPr>
              <w:widowControl/>
              <w:jc w:val="left"/>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23DB100">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83183CF">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E23ECFD">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5E4A46C">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DF1BD3E">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1918A0A">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22352DA">
            <w:pPr>
              <w:widowControl/>
              <w:jc w:val="center"/>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r>
      <w:tr w14:paraId="146120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63BA0F1">
            <w:pPr>
              <w:rPr>
                <w:rFonts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F8F6A1">
            <w:pPr>
              <w:rPr>
                <w:rFonts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22B26FA6">
            <w:pPr>
              <w:widowControl/>
              <w:jc w:val="left"/>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1FD677F">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620E8CE">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0CCFC1E">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B9BAA0F">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349EE88">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4E26230">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5653654">
            <w:pPr>
              <w:widowControl/>
              <w:jc w:val="center"/>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r>
      <w:tr w14:paraId="761C81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6EF3D5">
            <w:pPr>
              <w:rPr>
                <w:rFonts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7DA6200">
            <w:pPr>
              <w:rPr>
                <w:rFonts w:ascii="Times New Roman" w:hAnsi="Times New Roman" w:eastAsia="仿宋_GB2312" w:cs="Times New Roman"/>
                <w:color w:val="000000"/>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14:paraId="40FBF65D">
            <w:pPr>
              <w:widowControl/>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5501E8FC">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765C1073">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6D4677DA">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470A54AE">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4DD8A405">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3049937F">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714950F7">
            <w:pPr>
              <w:widowControl/>
              <w:jc w:val="center"/>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r>
      <w:tr w14:paraId="4C9C8A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DA43705">
            <w:pPr>
              <w:rPr>
                <w:rFonts w:ascii="Times New Roman" w:hAnsi="Times New Roman" w:eastAsia="仿宋_GB2312" w:cs="Times New Roman"/>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4CF788D0">
            <w:pPr>
              <w:widowControl/>
              <w:jc w:val="left"/>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14:paraId="22071CAD">
            <w:pPr>
              <w:widowControl/>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DBF002E">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6EE051F">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F0FCC97">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9A1B808">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C00B46F">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5278C56">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BBB5735">
            <w:pPr>
              <w:widowControl/>
              <w:jc w:val="center"/>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r>
      <w:tr w14:paraId="5C3868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B2F0E26">
            <w:pPr>
              <w:rPr>
                <w:rFonts w:ascii="Times New Roman"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5A83E3D4">
            <w:pPr>
              <w:rPr>
                <w:rFonts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239E91DF">
            <w:pPr>
              <w:widowControl/>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ECB896E">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136AE4C">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8FA3E62">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F71C8A9">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9BBBC94">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050788C">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5E552F3">
            <w:pPr>
              <w:widowControl/>
              <w:jc w:val="center"/>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r>
      <w:tr w14:paraId="36233C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FF21817">
            <w:pPr>
              <w:rPr>
                <w:rFonts w:ascii="Times New Roman"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196D8AE4">
            <w:pPr>
              <w:rPr>
                <w:rFonts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691BF32B">
            <w:pPr>
              <w:widowControl/>
              <w:jc w:val="left"/>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13D522A">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5B0E12F">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37DA86B">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56CB003">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8F8EAF4">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2D11C35">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18DC979">
            <w:pPr>
              <w:widowControl/>
              <w:jc w:val="center"/>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r>
      <w:tr w14:paraId="4C23B7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600BAB6">
            <w:pPr>
              <w:rPr>
                <w:rFonts w:ascii="Times New Roman"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7FE6A4BC">
            <w:pPr>
              <w:widowControl/>
              <w:jc w:val="left"/>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518759B">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1</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00850C9">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2E159EF">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444802D">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FD6ABDB">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B722A09">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4F75AB5">
            <w:pPr>
              <w:widowControl/>
              <w:jc w:val="center"/>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1</w:t>
            </w:r>
          </w:p>
        </w:tc>
      </w:tr>
      <w:tr w14:paraId="71B1F9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12E3D087">
            <w:pPr>
              <w:widowControl/>
              <w:jc w:val="left"/>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65BD071">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A5B5986">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11473F9">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5FB4B28">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r>
              <w:rPr>
                <w:rFonts w:ascii="Times New Roman" w:hAnsi="Times New Roman" w:eastAsia="仿宋_GB2312" w:cs="Calibri"/>
                <w:color w:val="000000"/>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999A44E">
            <w:pPr>
              <w:widowControl/>
              <w:jc w:val="center"/>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Calibri"/>
                <w:color w:val="000000"/>
                <w:kern w:val="0"/>
                <w:sz w:val="20"/>
                <w:szCs w:val="20"/>
              </w:rPr>
              <w:t> </w:t>
            </w: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C565E38">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C2046F7">
            <w:pPr>
              <w:widowControl/>
              <w:jc w:val="center"/>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r>
    </w:tbl>
    <w:p w14:paraId="21164A76">
      <w:pPr>
        <w:widowControl/>
        <w:shd w:val="clear" w:color="auto" w:fill="FFFFFF"/>
        <w:jc w:val="center"/>
        <w:rPr>
          <w:rFonts w:ascii="Times New Roman" w:hAnsi="Times New Roman" w:eastAsia="宋体" w:cs="宋体"/>
          <w:color w:val="000000"/>
          <w:sz w:val="24"/>
          <w:szCs w:val="24"/>
        </w:rPr>
      </w:pPr>
    </w:p>
    <w:p w14:paraId="765DC666">
      <w:pPr>
        <w:widowControl/>
        <w:shd w:val="clear" w:color="auto" w:fill="FFFFFF"/>
        <w:spacing w:before="0" w:beforeAutospacing="0" w:after="0" w:afterAutospacing="0"/>
        <w:ind w:firstLine="420"/>
        <w:jc w:val="both"/>
        <w:rPr>
          <w:rFonts w:hint="eastAsia" w:ascii="Times New Roman" w:hAnsi="Times New Roman" w:eastAsia="黑体" w:cs="黑体"/>
          <w:b w:val="0"/>
          <w:bCs/>
          <w:color w:val="000000"/>
          <w:kern w:val="0"/>
          <w:sz w:val="32"/>
          <w:szCs w:val="32"/>
          <w:shd w:val="clear" w:color="auto" w:fill="FFFFFF"/>
          <w:lang w:val="en-US" w:eastAsia="zh-CN" w:bidi="ar-SA"/>
        </w:rPr>
      </w:pPr>
      <w:r>
        <w:rPr>
          <w:rFonts w:hint="eastAsia" w:ascii="Times New Roman" w:hAnsi="Times New Roman" w:eastAsia="黑体" w:cs="黑体"/>
          <w:b w:val="0"/>
          <w:bCs/>
          <w:color w:val="000000"/>
          <w:kern w:val="0"/>
          <w:sz w:val="32"/>
          <w:szCs w:val="32"/>
          <w:shd w:val="clear" w:color="auto" w:fill="FFFFFF"/>
          <w:lang w:val="en-US" w:eastAsia="zh-CN" w:bidi="ar-SA"/>
        </w:rPr>
        <w:t>四、政府信息公开行政复议、行政诉讼情况</w:t>
      </w:r>
    </w:p>
    <w:p w14:paraId="29B7540F">
      <w:pPr>
        <w:widowControl/>
        <w:shd w:val="clear" w:color="auto" w:fill="FFFFFF"/>
        <w:jc w:val="center"/>
        <w:rPr>
          <w:rFonts w:ascii="Times New Roman" w:hAnsi="Times New Roman" w:eastAsia="宋体" w:cs="宋体"/>
          <w:color w:val="000000"/>
          <w:sz w:val="24"/>
          <w:szCs w:val="24"/>
        </w:rPr>
      </w:pPr>
    </w:p>
    <w:tbl>
      <w:tblPr>
        <w:tblStyle w:val="3"/>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449C6F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4890349">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23DEBB">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行政诉讼</w:t>
            </w:r>
          </w:p>
        </w:tc>
      </w:tr>
      <w:tr w14:paraId="5C8EE4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410B7C0">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D3CA460">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结果</w:t>
            </w:r>
            <w:r>
              <w:rPr>
                <w:rFonts w:hint="eastAsia" w:ascii="Times New Roman" w:hAnsi="Times New Roman" w:eastAsia="宋体" w:cs="宋体"/>
                <w:color w:val="000000"/>
                <w:kern w:val="0"/>
                <w:sz w:val="20"/>
                <w:szCs w:val="20"/>
              </w:rPr>
              <w:br w:type="textWrapping"/>
            </w:r>
            <w:r>
              <w:rPr>
                <w:rFonts w:hint="eastAsia" w:ascii="Times New Roman" w:hAnsi="Times New Roman" w:eastAsia="宋体" w:cs="宋体"/>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3145B9E">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其他</w:t>
            </w:r>
            <w:r>
              <w:rPr>
                <w:rFonts w:hint="eastAsia" w:ascii="Times New Roman" w:hAnsi="Times New Roman" w:eastAsia="宋体" w:cs="宋体"/>
                <w:color w:val="000000"/>
                <w:kern w:val="0"/>
                <w:sz w:val="20"/>
                <w:szCs w:val="20"/>
              </w:rPr>
              <w:br w:type="textWrapping"/>
            </w:r>
            <w:r>
              <w:rPr>
                <w:rFonts w:hint="eastAsia" w:ascii="Times New Roman" w:hAnsi="Times New Roman" w:eastAsia="宋体" w:cs="宋体"/>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161E439">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尚未</w:t>
            </w:r>
            <w:r>
              <w:rPr>
                <w:rFonts w:hint="eastAsia" w:ascii="Times New Roman" w:hAnsi="Times New Roman" w:eastAsia="宋体" w:cs="宋体"/>
                <w:color w:val="000000"/>
                <w:kern w:val="0"/>
                <w:sz w:val="20"/>
                <w:szCs w:val="20"/>
              </w:rPr>
              <w:br w:type="textWrapping"/>
            </w:r>
            <w:r>
              <w:rPr>
                <w:rFonts w:hint="eastAsia" w:ascii="Times New Roman" w:hAnsi="Times New Roman" w:eastAsia="宋体" w:cs="宋体"/>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457E0E">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EAF5D62">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E21F27C">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复议后起诉</w:t>
            </w:r>
          </w:p>
        </w:tc>
      </w:tr>
      <w:tr w14:paraId="6F1684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E3CFC9E">
            <w:pPr>
              <w:rPr>
                <w:rFonts w:ascii="Times New Roman" w:hAnsi="Times New Roman" w:eastAsia="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0549596">
            <w:pPr>
              <w:rPr>
                <w:rFonts w:ascii="Times New Roman"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825153D">
            <w:pPr>
              <w:rPr>
                <w:rFonts w:ascii="Times New Roman"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85B2607">
            <w:pPr>
              <w:rPr>
                <w:rFonts w:ascii="Times New Roman"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8193582">
            <w:pPr>
              <w:rPr>
                <w:rFonts w:ascii="Times New Roman"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16A41B9">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结果</w:t>
            </w:r>
            <w:r>
              <w:rPr>
                <w:rFonts w:hint="eastAsia" w:ascii="Times New Roman" w:hAnsi="Times New Roman" w:eastAsia="宋体" w:cs="宋体"/>
                <w:color w:val="000000"/>
                <w:kern w:val="0"/>
                <w:sz w:val="20"/>
                <w:szCs w:val="20"/>
              </w:rPr>
              <w:br w:type="textWrapping"/>
            </w:r>
            <w:r>
              <w:rPr>
                <w:rFonts w:hint="eastAsia" w:ascii="Times New Roman" w:hAnsi="Times New Roman" w:eastAsia="宋体" w:cs="宋体"/>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9A19781">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结果</w:t>
            </w:r>
            <w:r>
              <w:rPr>
                <w:rFonts w:hint="eastAsia" w:ascii="Times New Roman" w:hAnsi="Times New Roman" w:eastAsia="宋体" w:cs="宋体"/>
                <w:color w:val="000000"/>
                <w:kern w:val="0"/>
                <w:sz w:val="20"/>
                <w:szCs w:val="20"/>
              </w:rPr>
              <w:br w:type="textWrapping"/>
            </w:r>
            <w:r>
              <w:rPr>
                <w:rFonts w:hint="eastAsia" w:ascii="Times New Roman" w:hAnsi="Times New Roman"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7477B19">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其他</w:t>
            </w:r>
            <w:r>
              <w:rPr>
                <w:rFonts w:hint="eastAsia" w:ascii="Times New Roman" w:hAnsi="Times New Roman" w:eastAsia="宋体" w:cs="宋体"/>
                <w:color w:val="000000"/>
                <w:kern w:val="0"/>
                <w:sz w:val="20"/>
                <w:szCs w:val="20"/>
              </w:rPr>
              <w:br w:type="textWrapping"/>
            </w:r>
            <w:r>
              <w:rPr>
                <w:rFonts w:hint="eastAsia" w:ascii="Times New Roman" w:hAnsi="Times New Roman"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2D6CB90">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尚未</w:t>
            </w:r>
            <w:r>
              <w:rPr>
                <w:rFonts w:hint="eastAsia" w:ascii="Times New Roman" w:hAnsi="Times New Roman" w:eastAsia="宋体" w:cs="宋体"/>
                <w:color w:val="000000"/>
                <w:kern w:val="0"/>
                <w:sz w:val="20"/>
                <w:szCs w:val="20"/>
              </w:rPr>
              <w:br w:type="textWrapping"/>
            </w:r>
            <w:r>
              <w:rPr>
                <w:rFonts w:hint="eastAsia" w:ascii="Times New Roman" w:hAnsi="Times New Roman"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78596D5">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A8CF5B7">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结果</w:t>
            </w:r>
            <w:r>
              <w:rPr>
                <w:rFonts w:hint="eastAsia" w:ascii="Times New Roman" w:hAnsi="Times New Roman" w:eastAsia="宋体" w:cs="宋体"/>
                <w:color w:val="000000"/>
                <w:kern w:val="0"/>
                <w:sz w:val="20"/>
                <w:szCs w:val="20"/>
              </w:rPr>
              <w:br w:type="textWrapping"/>
            </w:r>
            <w:r>
              <w:rPr>
                <w:rFonts w:hint="eastAsia" w:ascii="Times New Roman" w:hAnsi="Times New Roman" w:eastAsia="宋体" w:cs="宋体"/>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4EAE869">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结果</w:t>
            </w:r>
            <w:r>
              <w:rPr>
                <w:rFonts w:hint="eastAsia" w:ascii="Times New Roman" w:hAnsi="Times New Roman" w:eastAsia="宋体" w:cs="宋体"/>
                <w:color w:val="000000"/>
                <w:kern w:val="0"/>
                <w:sz w:val="20"/>
                <w:szCs w:val="20"/>
              </w:rPr>
              <w:br w:type="textWrapping"/>
            </w:r>
            <w:r>
              <w:rPr>
                <w:rFonts w:hint="eastAsia" w:ascii="Times New Roman" w:hAnsi="Times New Roman"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4240696">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其他</w:t>
            </w:r>
            <w:r>
              <w:rPr>
                <w:rFonts w:hint="eastAsia" w:ascii="Times New Roman" w:hAnsi="Times New Roman" w:eastAsia="宋体" w:cs="宋体"/>
                <w:color w:val="000000"/>
                <w:kern w:val="0"/>
                <w:sz w:val="20"/>
                <w:szCs w:val="20"/>
              </w:rPr>
              <w:br w:type="textWrapping"/>
            </w:r>
            <w:r>
              <w:rPr>
                <w:rFonts w:hint="eastAsia" w:ascii="Times New Roman" w:hAnsi="Times New Roman"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90846FB">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尚未</w:t>
            </w:r>
            <w:r>
              <w:rPr>
                <w:rFonts w:hint="eastAsia" w:ascii="Times New Roman" w:hAnsi="Times New Roman" w:eastAsia="宋体" w:cs="宋体"/>
                <w:color w:val="000000"/>
                <w:kern w:val="0"/>
                <w:sz w:val="20"/>
                <w:szCs w:val="20"/>
              </w:rPr>
              <w:br w:type="textWrapping"/>
            </w:r>
            <w:r>
              <w:rPr>
                <w:rFonts w:hint="eastAsia" w:ascii="Times New Roman" w:hAnsi="Times New Roman"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712E34B">
            <w:pPr>
              <w:widowControl/>
              <w:jc w:val="center"/>
              <w:rPr>
                <w:rFonts w:ascii="Times New Roman" w:hAnsi="Times New Roman" w:eastAsia="仿宋_GB2312" w:cs="Times New Roman"/>
                <w:color w:val="000000"/>
                <w:sz w:val="32"/>
                <w:szCs w:val="32"/>
              </w:rPr>
            </w:pPr>
            <w:r>
              <w:rPr>
                <w:rFonts w:hint="eastAsia" w:ascii="Times New Roman" w:hAnsi="Times New Roman" w:eastAsia="宋体" w:cs="宋体"/>
                <w:color w:val="000000"/>
                <w:kern w:val="0"/>
                <w:sz w:val="20"/>
                <w:szCs w:val="20"/>
              </w:rPr>
              <w:t>总计</w:t>
            </w:r>
          </w:p>
        </w:tc>
      </w:tr>
      <w:tr w14:paraId="762336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2941B33">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3034303">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81F6011">
            <w:pPr>
              <w:widowControl/>
              <w:jc w:val="center"/>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8932FCE">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6A7DBC5">
            <w:pPr>
              <w:widowControl/>
              <w:jc w:val="center"/>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F7F3DE1">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61B64B8">
            <w:pPr>
              <w:widowControl/>
              <w:jc w:val="center"/>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7F70067">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C2788CE">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06E5B7C">
            <w:pPr>
              <w:widowControl/>
              <w:jc w:val="center"/>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3D62A2F">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F4A3944">
            <w:pPr>
              <w:widowControl/>
              <w:jc w:val="center"/>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DC05741">
            <w:pPr>
              <w:widowControl/>
              <w:jc w:val="center"/>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13D8D8B">
            <w:pPr>
              <w:widowControl/>
              <w:jc w:val="center"/>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Calibri"/>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73E7639">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Calibri"/>
                <w:color w:val="000000"/>
                <w:kern w:val="0"/>
                <w:sz w:val="20"/>
                <w:szCs w:val="20"/>
                <w:lang w:val="en-US" w:eastAsia="zh-CN"/>
              </w:rPr>
              <w:t>0</w:t>
            </w:r>
          </w:p>
        </w:tc>
      </w:tr>
    </w:tbl>
    <w:p w14:paraId="178466E7">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黑体" w:cs="黑体"/>
          <w:b w:val="0"/>
          <w:bCs/>
          <w:color w:val="000000"/>
          <w:kern w:val="0"/>
          <w:sz w:val="32"/>
          <w:szCs w:val="32"/>
          <w:lang w:val="en-US" w:eastAsia="zh-CN" w:bidi="ar-SA"/>
        </w:rPr>
      </w:pPr>
      <w:r>
        <w:rPr>
          <w:rFonts w:hint="eastAsia" w:ascii="Times New Roman" w:hAnsi="Times New Roman" w:eastAsia="黑体" w:cs="黑体"/>
          <w:b w:val="0"/>
          <w:bCs/>
          <w:color w:val="000000"/>
          <w:kern w:val="0"/>
          <w:sz w:val="32"/>
          <w:szCs w:val="32"/>
          <w:shd w:val="clear" w:color="auto" w:fill="FFFFFF"/>
          <w:lang w:val="en-US" w:eastAsia="zh-CN" w:bidi="ar-SA"/>
        </w:rPr>
        <w:t>五、存在的主要问题及改进情况</w:t>
      </w:r>
    </w:p>
    <w:p w14:paraId="24D3AF17">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 w:cs="楷体"/>
          <w:color w:val="000000"/>
          <w:kern w:val="0"/>
          <w:sz w:val="32"/>
          <w:szCs w:val="32"/>
          <w:shd w:val="clear" w:color="auto" w:fill="FFFFFF"/>
          <w:lang w:val="en-US" w:eastAsia="zh-CN" w:bidi="ar-SA"/>
        </w:rPr>
      </w:pPr>
      <w:r>
        <w:rPr>
          <w:rFonts w:hint="eastAsia" w:ascii="Times New Roman" w:hAnsi="Times New Roman" w:eastAsia="楷体" w:cs="楷体"/>
          <w:color w:val="000000"/>
          <w:kern w:val="0"/>
          <w:sz w:val="32"/>
          <w:szCs w:val="32"/>
          <w:shd w:val="clear" w:color="auto" w:fill="FFFFFF"/>
          <w:lang w:val="en-US" w:eastAsia="zh-CN" w:bidi="ar-SA"/>
        </w:rPr>
        <w:t>（一）2023年存在问题整改情况</w:t>
      </w:r>
    </w:p>
    <w:p w14:paraId="7296C063">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2312" w:cs="方正仿宋_GB2312"/>
          <w:color w:val="000000"/>
          <w:kern w:val="0"/>
          <w:sz w:val="32"/>
          <w:szCs w:val="32"/>
          <w:shd w:val="clear" w:color="auto" w:fill="FFFFFF"/>
          <w:lang w:val="en-US" w:eastAsia="zh-CN" w:bidi="ar-SA"/>
        </w:rPr>
      </w:pPr>
      <w:r>
        <w:rPr>
          <w:rFonts w:hint="eastAsia" w:ascii="Times New Roman" w:hAnsi="Times New Roman" w:eastAsia="方正仿宋_GB2312" w:cs="方正仿宋_GB2312"/>
          <w:color w:val="000000"/>
          <w:kern w:val="0"/>
          <w:sz w:val="32"/>
          <w:szCs w:val="32"/>
          <w:shd w:val="clear" w:color="auto" w:fill="FFFFFF"/>
          <w:lang w:val="en-US" w:eastAsia="zh-CN" w:bidi="ar-SA"/>
        </w:rPr>
        <w:t>针对2023年度存在的信息公开渠道宣传力度不够，部分残疾群众因条件限制不知晓信息公开和查询的途径；政策解读能力需要提升，在政策性文件解读的覆盖面及解读的精准性方面有待进一步提高的问题，我单位高度重视，一是通过丰富宣传渠道，加大政府信息主动公开工作力度，二是丰富政策解读形式，特别是对涉及群众切身利益的重要政策，通过群众喜闻乐见的图解等形式解读，来提升政策解读水平。</w:t>
      </w:r>
    </w:p>
    <w:p w14:paraId="630CBB1A">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b/>
          <w:bCs/>
          <w:color w:val="000000"/>
          <w:kern w:val="0"/>
          <w:sz w:val="32"/>
          <w:szCs w:val="32"/>
          <w:shd w:val="clear" w:color="auto" w:fill="FFFFFF"/>
          <w:lang w:val="en-US" w:eastAsia="zh-CN" w:bidi="ar-SA"/>
        </w:rPr>
      </w:pPr>
      <w:r>
        <w:rPr>
          <w:rFonts w:hint="eastAsia" w:ascii="Times New Roman" w:hAnsi="Times New Roman" w:eastAsia="楷体" w:cs="楷体"/>
          <w:color w:val="000000"/>
          <w:kern w:val="0"/>
          <w:sz w:val="32"/>
          <w:szCs w:val="32"/>
          <w:shd w:val="clear" w:color="auto" w:fill="FFFFFF"/>
          <w:lang w:val="en-US" w:eastAsia="zh-CN" w:bidi="ar-SA"/>
        </w:rPr>
        <w:t>（二）2024年度主要问题及改进措施</w:t>
      </w:r>
    </w:p>
    <w:p w14:paraId="7F29440D">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Times New Roman" w:hAnsi="Times New Roman" w:eastAsia="仿宋_GB2312" w:cs="仿宋_GB2312"/>
          <w:b w:val="0"/>
          <w:bCs w:val="0"/>
          <w:color w:val="000000"/>
          <w:kern w:val="0"/>
          <w:sz w:val="32"/>
          <w:szCs w:val="32"/>
          <w:shd w:val="clear" w:color="auto" w:fill="FFFFFF"/>
          <w:lang w:val="en-US" w:eastAsia="zh-CN" w:bidi="ar-SA"/>
        </w:rPr>
      </w:pPr>
      <w:r>
        <w:rPr>
          <w:rFonts w:hint="eastAsia" w:ascii="Times New Roman" w:hAnsi="Times New Roman" w:eastAsia="仿宋_GB2312" w:cs="仿宋_GB2312"/>
          <w:b/>
          <w:bCs/>
          <w:color w:val="000000"/>
          <w:kern w:val="0"/>
          <w:sz w:val="32"/>
          <w:szCs w:val="32"/>
          <w:shd w:val="clear" w:color="auto" w:fill="FFFFFF"/>
          <w:lang w:val="en-US" w:eastAsia="zh-CN" w:bidi="ar-SA"/>
        </w:rPr>
        <w:t>存在问题：</w:t>
      </w:r>
      <w:r>
        <w:rPr>
          <w:rFonts w:hint="eastAsia" w:ascii="Times New Roman" w:hAnsi="Times New Roman" w:eastAsia="仿宋_GB2312" w:cs="仿宋_GB2312"/>
          <w:b w:val="0"/>
          <w:bCs w:val="0"/>
          <w:color w:val="000000"/>
          <w:kern w:val="0"/>
          <w:sz w:val="32"/>
          <w:szCs w:val="32"/>
          <w:shd w:val="clear" w:color="auto" w:fill="FFFFFF"/>
          <w:lang w:val="en-US" w:eastAsia="zh-CN" w:bidi="ar-SA"/>
        </w:rPr>
        <w:t>依申请公开工作处理规范性有待提升，虽然均在时限内办结，但仍需加快办理。</w:t>
      </w:r>
    </w:p>
    <w:p w14:paraId="4CA6849F">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Times New Roman" w:hAnsi="Times New Roman" w:eastAsia="仿宋_GB2312" w:cs="仿宋_GB2312"/>
          <w:color w:val="000000"/>
          <w:kern w:val="0"/>
          <w:sz w:val="32"/>
          <w:szCs w:val="32"/>
          <w:shd w:val="clear" w:color="auto" w:fill="FFFFFF"/>
          <w:lang w:val="en-US" w:eastAsia="zh-CN" w:bidi="ar-SA"/>
        </w:rPr>
      </w:pPr>
      <w:r>
        <w:rPr>
          <w:rFonts w:hint="eastAsia" w:ascii="Times New Roman" w:hAnsi="Times New Roman" w:eastAsia="仿宋_GB2312" w:cs="仿宋_GB2312"/>
          <w:b/>
          <w:bCs/>
          <w:color w:val="000000"/>
          <w:kern w:val="0"/>
          <w:sz w:val="32"/>
          <w:szCs w:val="32"/>
          <w:shd w:val="clear" w:color="auto" w:fill="FFFFFF"/>
          <w:lang w:val="en-US" w:eastAsia="zh-CN" w:bidi="ar-SA"/>
        </w:rPr>
        <w:t>改进措施：</w:t>
      </w:r>
      <w:r>
        <w:rPr>
          <w:rFonts w:hint="eastAsia" w:ascii="Times New Roman" w:hAnsi="Times New Roman" w:eastAsia="仿宋_GB2312" w:cs="仿宋_GB2312"/>
          <w:b w:val="0"/>
          <w:bCs w:val="0"/>
          <w:color w:val="000000"/>
          <w:kern w:val="0"/>
          <w:sz w:val="32"/>
          <w:szCs w:val="32"/>
          <w:shd w:val="clear" w:color="auto" w:fill="FFFFFF"/>
          <w:lang w:val="en-US" w:eastAsia="zh-CN" w:bidi="ar-SA"/>
        </w:rPr>
        <w:t>进一步规范依申请公开工作流程，提升答复的准度、精度，缩短答复的时间</w:t>
      </w:r>
      <w:r>
        <w:rPr>
          <w:rFonts w:hint="eastAsia" w:ascii="Times New Roman" w:hAnsi="Times New Roman" w:eastAsia="仿宋_GB2312" w:cs="仿宋_GB2312"/>
          <w:color w:val="000000"/>
          <w:kern w:val="0"/>
          <w:sz w:val="32"/>
          <w:szCs w:val="32"/>
          <w:shd w:val="clear" w:color="auto" w:fill="FFFFFF"/>
          <w:lang w:val="en-US" w:eastAsia="zh-CN" w:bidi="ar-SA"/>
        </w:rPr>
        <w:t>。</w:t>
      </w:r>
    </w:p>
    <w:p w14:paraId="50B92585">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黑体" w:cs="黑体"/>
          <w:b w:val="0"/>
          <w:bCs/>
          <w:color w:val="000000"/>
          <w:kern w:val="0"/>
          <w:sz w:val="32"/>
          <w:szCs w:val="32"/>
          <w:shd w:val="clear" w:color="auto" w:fill="FFFFFF"/>
          <w:lang w:val="en-US" w:eastAsia="zh-CN" w:bidi="ar-SA"/>
        </w:rPr>
      </w:pPr>
      <w:r>
        <w:rPr>
          <w:rFonts w:hint="eastAsia" w:ascii="Times New Roman" w:hAnsi="Times New Roman" w:eastAsia="黑体" w:cs="黑体"/>
          <w:b w:val="0"/>
          <w:bCs/>
          <w:color w:val="000000"/>
          <w:kern w:val="0"/>
          <w:sz w:val="32"/>
          <w:szCs w:val="32"/>
          <w:shd w:val="clear" w:color="auto" w:fill="FFFFFF"/>
          <w:lang w:val="en-US" w:eastAsia="zh-CN" w:bidi="ar-SA"/>
        </w:rPr>
        <w:t>六、其他需要报告的事项</w:t>
      </w:r>
    </w:p>
    <w:p w14:paraId="4F8AD7E8">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color w:val="000000"/>
          <w:kern w:val="0"/>
          <w:sz w:val="32"/>
          <w:szCs w:val="32"/>
          <w:shd w:val="clear" w:color="auto" w:fill="FFFFFF"/>
          <w:lang w:val="en-US" w:eastAsia="zh-CN" w:bidi="ar-SA"/>
        </w:rPr>
      </w:pPr>
      <w:r>
        <w:rPr>
          <w:rFonts w:hint="eastAsia" w:ascii="Times New Roman" w:hAnsi="Times New Roman" w:eastAsia="仿宋_GB2312" w:cs="仿宋_GB2312"/>
          <w:color w:val="000000"/>
          <w:kern w:val="0"/>
          <w:sz w:val="32"/>
          <w:szCs w:val="32"/>
          <w:shd w:val="clear" w:color="auto" w:fill="FFFFFF"/>
          <w:lang w:val="en-US" w:eastAsia="zh-CN" w:bidi="ar-SA"/>
        </w:rPr>
        <w:t>按照《国务院办公厅关于印发〈政府信息公开信息处理费管理办法〉的通知》（国办函〔2020〕109号）规定的按件、按量收费标准，本年度没有产生信息公开处理费。</w:t>
      </w:r>
    </w:p>
    <w:p w14:paraId="70C226C1">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color w:val="000000"/>
          <w:kern w:val="0"/>
          <w:sz w:val="32"/>
          <w:szCs w:val="32"/>
          <w:shd w:val="clear" w:color="auto" w:fill="FFFFFF"/>
          <w:lang w:val="en-US" w:eastAsia="zh-CN" w:bidi="ar-SA"/>
        </w:rPr>
      </w:pPr>
    </w:p>
    <w:sectPr>
      <w:footerReference r:id="rId3" w:type="default"/>
      <w:footerReference r:id="rId4" w:type="even"/>
      <w:pgSz w:w="11906" w:h="16838"/>
      <w:pgMar w:top="1814" w:right="1474" w:bottom="1264" w:left="1588" w:header="851" w:footer="102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01060DC9-7766-48F1-92A6-17AD5C4B51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928B042-FFB8-4EC0-B3F5-CC9AB2757144}"/>
  </w:font>
  <w:font w:name="仿宋_GB2312">
    <w:panose1 w:val="02010609030101010101"/>
    <w:charset w:val="86"/>
    <w:family w:val="modern"/>
    <w:pitch w:val="default"/>
    <w:sig w:usb0="00000001" w:usb1="080E0000" w:usb2="00000000" w:usb3="00000000" w:csb0="00040000" w:csb1="00000000"/>
    <w:embedRegular r:id="rId3" w:fontKey="{2486A6B2-355B-44A5-810B-61F5238A7CC1}"/>
  </w:font>
  <w:font w:name="方正小标宋简体">
    <w:panose1 w:val="03000509000000000000"/>
    <w:charset w:val="86"/>
    <w:family w:val="script"/>
    <w:pitch w:val="default"/>
    <w:sig w:usb0="00000001" w:usb1="080E0000" w:usb2="00000000" w:usb3="00000000" w:csb0="00040000" w:csb1="00000000"/>
    <w:embedRegular r:id="rId4" w:fontKey="{7C8092C3-7840-4AE3-960A-5F6231F7B6C6}"/>
  </w:font>
  <w:font w:name="楷体">
    <w:panose1 w:val="02010609060101010101"/>
    <w:charset w:val="86"/>
    <w:family w:val="modern"/>
    <w:pitch w:val="default"/>
    <w:sig w:usb0="800002BF" w:usb1="38CF7CFA" w:usb2="00000016" w:usb3="00000000" w:csb0="00040001" w:csb1="00000000"/>
    <w:embedRegular r:id="rId5" w:fontKey="{E4B596DC-B624-4A33-B2BC-4E7637CED844}"/>
  </w:font>
  <w:font w:name="方正仿宋_GB2312">
    <w:panose1 w:val="02000000000000000000"/>
    <w:charset w:val="86"/>
    <w:family w:val="auto"/>
    <w:pitch w:val="default"/>
    <w:sig w:usb0="A00002BF" w:usb1="184F6CFA" w:usb2="00000012" w:usb3="00000000" w:csb0="00040001" w:csb1="00000000"/>
    <w:embedRegular r:id="rId6" w:fontKey="{FA4AC0DC-51AB-4A1D-90CE-6B2779D1B3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520C7">
    <w:pPr>
      <w:widowControl w:val="0"/>
      <w:tabs>
        <w:tab w:val="center" w:pos="4153"/>
        <w:tab w:val="right" w:pos="8306"/>
      </w:tabs>
      <w:snapToGrid w:val="0"/>
      <w:jc w:val="righ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84D51CC">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CeTlmS&#10;7QEAANUDAAAOAAAAAAAAAAEAIAAAAB4BAABkcnMvZTJvRG9jLnhtbFBLBQYAAAAABgAGAFkBAAB9&#10;BQAAAAA=&#10;">
              <v:fill on="f" focussize="0,0"/>
              <v:stroke on="f"/>
              <v:imagedata o:title=""/>
              <o:lock v:ext="edit" aspectratio="f"/>
              <v:textbox inset="0mm,0mm,0mm,0mm" style="mso-fit-shape-to-text:t;">
                <w:txbxContent>
                  <w:p w14:paraId="684D51CC">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v:textbox>
            </v:shape>
          </w:pict>
        </mc:Fallback>
      </mc:AlternateContent>
    </w:r>
  </w:p>
  <w:p w14:paraId="2A442F57">
    <w:pPr>
      <w:rPr>
        <w:rFonts w:ascii="仿宋_GB2312" w:hAnsi="Times New Roman" w:eastAsia="仿宋_GB2312" w:cs="Times New Roman"/>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3B631">
    <w:pPr>
      <w:widowControl w:val="0"/>
      <w:tabs>
        <w:tab w:val="center" w:pos="4153"/>
        <w:tab w:val="right" w:pos="8306"/>
      </w:tabs>
      <w:snapToGrid w:val="0"/>
      <w:ind w:right="360" w:firstLine="360"/>
      <w:jc w:val="lef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82F2C51">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RT/Bo&#10;7QEAANUDAAAOAAAAAAAAAAEAIAAAAB4BAABkcnMvZTJvRG9jLnhtbFBLBQYAAAAABgAGAFkBAAB9&#10;BQAAAAA=&#10;">
              <v:fill on="f" focussize="0,0"/>
              <v:stroke on="f"/>
              <v:imagedata o:title=""/>
              <o:lock v:ext="edit" aspectratio="f"/>
              <v:textbox inset="0mm,0mm,0mm,0mm" style="mso-fit-shape-to-text:t;">
                <w:txbxContent>
                  <w:p w14:paraId="382F2C51">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v:textbox>
            </v:shape>
          </w:pict>
        </mc:Fallback>
      </mc:AlternateContent>
    </w:r>
  </w:p>
  <w:p w14:paraId="38F8D623">
    <w:pPr>
      <w:rPr>
        <w:rFonts w:ascii="仿宋_GB2312" w:hAnsi="Times New Roman" w:eastAsia="仿宋_GB2312" w:cs="Times New Roman"/>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E4F60"/>
    <w:rsid w:val="13C317B1"/>
    <w:rsid w:val="23ED77C0"/>
    <w:rsid w:val="2FBD3336"/>
    <w:rsid w:val="430379D9"/>
    <w:rsid w:val="45911970"/>
    <w:rsid w:val="484C7D5F"/>
    <w:rsid w:val="52EA3518"/>
    <w:rsid w:val="5A862E7C"/>
    <w:rsid w:val="5F2B0CC9"/>
    <w:rsid w:val="61744FEB"/>
    <w:rsid w:val="69BC3A13"/>
    <w:rsid w:val="6CEA1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2393</Words>
  <Characters>2472</Characters>
  <Lines>0</Lines>
  <Paragraphs>0</Paragraphs>
  <TotalTime>13</TotalTime>
  <ScaleCrop>false</ScaleCrop>
  <LinksUpToDate>false</LinksUpToDate>
  <CharactersWithSpaces>2603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水瓶胆</cp:lastModifiedBy>
  <dcterms:modified xsi:type="dcterms:W3CDTF">2025-01-16T01:47:31Z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90195B2CCD404D769FFE4564E7BD9A64_12</vt:lpwstr>
  </property>
  <property fmtid="{D5CDD505-2E9C-101B-9397-08002B2CF9AE}" pid="4" name="KSOTemplateDocerSaveRecord">
    <vt:lpwstr>eyJoZGlkIjoiNDcwOTBkMzM2MzRkNTU5MjVmMzQ3YzRkMmEwNDlhOWQiLCJ1c2VySWQiOiIzODE4MDMzNDIifQ==</vt:lpwstr>
  </property>
</Properties>
</file>